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4</w:t>
      </w:r>
      <w:r>
        <w:rPr>
          <w:rFonts w:hint="eastAsia" w:ascii="宋体" w:hAnsi="宋体"/>
          <w:b/>
          <w:iCs/>
          <w:sz w:val="24"/>
          <w:szCs w:val="24"/>
        </w:rPr>
        <w:t>年</w:t>
      </w:r>
      <w:r>
        <w:rPr>
          <w:rFonts w:hint="eastAsia" w:ascii="宋体" w:hAnsi="宋体"/>
          <w:b/>
          <w:iCs/>
          <w:sz w:val="24"/>
          <w:szCs w:val="24"/>
          <w:lang w:val="en-US" w:eastAsia="zh-CN"/>
        </w:rPr>
        <w:t>9</w:t>
      </w:r>
      <w:r>
        <w:rPr>
          <w:rFonts w:hint="eastAsia" w:ascii="宋体" w:hAnsi="宋体"/>
          <w:b/>
          <w:iCs/>
          <w:sz w:val="24"/>
          <w:szCs w:val="24"/>
        </w:rPr>
        <w:t>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99D38DD">
            <w:pPr>
              <w:spacing w:line="360" w:lineRule="auto"/>
              <w:jc w:val="center"/>
              <w:rPr>
                <w:rFonts w:ascii="宋体" w:hAnsi="宋体"/>
                <w:b/>
                <w:bCs/>
                <w:iCs/>
                <w:sz w:val="24"/>
                <w:szCs w:val="24"/>
              </w:rPr>
            </w:pPr>
            <w:r>
              <w:rPr>
                <w:rFonts w:hint="eastAsia" w:ascii="宋体" w:hAnsi="宋体"/>
                <w:b/>
                <w:bCs/>
                <w:iCs/>
                <w:sz w:val="24"/>
                <w:szCs w:val="24"/>
              </w:rPr>
              <w:t>投资者关系活动类别</w:t>
            </w:r>
          </w:p>
        </w:tc>
        <w:tc>
          <w:tcPr>
            <w:tcW w:w="6203" w:type="dxa"/>
            <w:noWrap w:val="0"/>
            <w:vAlign w:val="center"/>
          </w:tcPr>
          <w:p w14:paraId="4936C92A">
            <w:pPr>
              <w:spacing w:line="360" w:lineRule="auto"/>
              <w:rPr>
                <w:rFonts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noWrap w:val="0"/>
            <w:vAlign w:val="top"/>
          </w:tcPr>
          <w:p w14:paraId="7CE61A69">
            <w:pPr>
              <w:spacing w:line="360" w:lineRule="auto"/>
              <w:rPr>
                <w:rFonts w:hint="default" w:ascii="宋体" w:hAnsi="宋体" w:cs="宋体"/>
                <w:sz w:val="24"/>
                <w:szCs w:val="24"/>
                <w:lang w:val="en-US" w:eastAsia="zh-CN"/>
              </w:rPr>
            </w:pPr>
            <w:r>
              <w:rPr>
                <w:rFonts w:hint="eastAsia" w:ascii="宋体" w:hAnsi="宋体" w:cs="宋体"/>
                <w:bCs w:val="0"/>
                <w:iCs w:val="0"/>
                <w:sz w:val="24"/>
                <w:szCs w:val="24"/>
                <w:lang w:val="en-US" w:eastAsia="zh-CN"/>
              </w:rPr>
              <w:t>建信基金、东吴证券</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A8094E6">
            <w:pPr>
              <w:spacing w:line="360" w:lineRule="auto"/>
              <w:jc w:val="center"/>
              <w:rPr>
                <w:rFonts w:ascii="宋体" w:hAnsi="宋体"/>
                <w:b/>
                <w:bCs/>
                <w:iCs/>
                <w:sz w:val="24"/>
                <w:szCs w:val="24"/>
              </w:rPr>
            </w:pPr>
            <w:r>
              <w:rPr>
                <w:rFonts w:hint="eastAsia" w:ascii="宋体" w:hAnsi="宋体"/>
                <w:b/>
                <w:bCs/>
                <w:iCs/>
                <w:sz w:val="24"/>
                <w:szCs w:val="24"/>
              </w:rPr>
              <w:t>时间</w:t>
            </w:r>
          </w:p>
        </w:tc>
        <w:tc>
          <w:tcPr>
            <w:tcW w:w="6203" w:type="dxa"/>
            <w:noWrap w:val="0"/>
            <w:vAlign w:val="top"/>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9</w:t>
            </w:r>
            <w:r>
              <w:rPr>
                <w:rFonts w:hint="eastAsia" w:ascii="宋体" w:hAnsi="宋体"/>
                <w:bCs/>
                <w:iCs/>
                <w:sz w:val="24"/>
                <w:szCs w:val="24"/>
              </w:rPr>
              <w:t>月</w:t>
            </w:r>
            <w:r>
              <w:rPr>
                <w:rFonts w:hint="eastAsia" w:ascii="宋体" w:hAnsi="宋体"/>
                <w:bCs/>
                <w:iCs/>
                <w:sz w:val="24"/>
                <w:szCs w:val="24"/>
                <w:lang w:val="en-US" w:eastAsia="zh-CN"/>
              </w:rPr>
              <w:t>5</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FEB7A8D">
            <w:pPr>
              <w:spacing w:line="360" w:lineRule="auto"/>
              <w:jc w:val="center"/>
              <w:rPr>
                <w:rFonts w:ascii="宋体" w:hAnsi="宋体"/>
                <w:b/>
                <w:bCs/>
                <w:iCs/>
                <w:sz w:val="24"/>
                <w:szCs w:val="24"/>
              </w:rPr>
            </w:pPr>
            <w:r>
              <w:rPr>
                <w:rFonts w:hint="eastAsia" w:ascii="宋体" w:hAnsi="宋体"/>
                <w:b/>
                <w:bCs/>
                <w:iCs/>
                <w:sz w:val="24"/>
                <w:szCs w:val="24"/>
              </w:rPr>
              <w:t>参会方式</w:t>
            </w:r>
          </w:p>
        </w:tc>
        <w:tc>
          <w:tcPr>
            <w:tcW w:w="6203" w:type="dxa"/>
            <w:noWrap w:val="0"/>
            <w:vAlign w:val="top"/>
          </w:tcPr>
          <w:p w14:paraId="4C5F5090">
            <w:pPr>
              <w:spacing w:line="360" w:lineRule="auto"/>
              <w:rPr>
                <w:rFonts w:hint="default" w:ascii="宋体" w:hAnsi="宋体" w:eastAsia="宋体"/>
                <w:bCs/>
                <w:iCs/>
                <w:sz w:val="24"/>
                <w:szCs w:val="24"/>
                <w:lang w:val="en-US" w:eastAsia="zh-CN"/>
              </w:rPr>
            </w:pPr>
            <w:r>
              <w:rPr>
                <w:rFonts w:hint="eastAsia" w:ascii="宋体" w:hAnsi="宋体"/>
                <w:bCs/>
                <w:iCs/>
                <w:sz w:val="24"/>
                <w:szCs w:val="24"/>
                <w:lang w:val="en-US" w:eastAsia="zh-CN"/>
              </w:rPr>
              <w:t>线上会议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noWrap w:val="0"/>
            <w:vAlign w:val="center"/>
          </w:tcPr>
          <w:p w14:paraId="4AA6AA19">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证券事务代表：魏丽萍女士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394FAC4">
            <w:pPr>
              <w:spacing w:line="360" w:lineRule="auto"/>
              <w:jc w:val="center"/>
              <w:rPr>
                <w:rFonts w:ascii="宋体" w:hAnsi="宋体"/>
                <w:b/>
                <w:bCs/>
                <w:iCs/>
                <w:sz w:val="24"/>
                <w:szCs w:val="24"/>
              </w:rPr>
            </w:pPr>
            <w:r>
              <w:rPr>
                <w:rFonts w:hint="eastAsia" w:ascii="宋体" w:hAnsi="宋体"/>
                <w:b/>
                <w:bCs/>
                <w:iCs/>
                <w:sz w:val="24"/>
                <w:szCs w:val="24"/>
              </w:rPr>
              <w:t>投资者关系活动主要内容介绍</w:t>
            </w:r>
          </w:p>
        </w:tc>
        <w:tc>
          <w:tcPr>
            <w:tcW w:w="6203" w:type="dxa"/>
            <w:noWrap w:val="0"/>
            <w:vAlign w:val="top"/>
          </w:tcPr>
          <w:p w14:paraId="4D36C545">
            <w:pPr>
              <w:numPr>
                <w:ilvl w:val="-1"/>
                <w:numId w:val="0"/>
              </w:numPr>
              <w:spacing w:before="156" w:beforeLines="50" w:line="360" w:lineRule="auto"/>
              <w:ind w:firstLine="480" w:firstLineChars="200"/>
              <w:rPr>
                <w:rFonts w:hint="eastAsia" w:ascii="Times New Roman" w:hAnsi="Times New Roman"/>
                <w:b w:val="0"/>
                <w:iCs w:val="0"/>
                <w:sz w:val="24"/>
                <w:szCs w:val="20"/>
                <w:highlight w:val="none"/>
              </w:rPr>
            </w:pPr>
            <w:r>
              <w:rPr>
                <w:rFonts w:hint="eastAsia" w:ascii="Times New Roman" w:hAnsi="Times New Roman"/>
                <w:b w:val="0"/>
                <w:iCs w:val="0"/>
                <w:sz w:val="24"/>
                <w:szCs w:val="20"/>
                <w:highlight w:val="none"/>
                <w:lang w:val="en-US" w:eastAsia="zh-CN"/>
              </w:rPr>
              <w:t>一、</w:t>
            </w:r>
            <w:r>
              <w:rPr>
                <w:rFonts w:hint="eastAsia" w:ascii="Times New Roman" w:hAnsi="Times New Roman"/>
                <w:b w:val="0"/>
                <w:iCs w:val="0"/>
                <w:sz w:val="24"/>
                <w:szCs w:val="20"/>
                <w:highlight w:val="none"/>
              </w:rPr>
              <w:t>公司介绍环节</w:t>
            </w:r>
          </w:p>
          <w:p w14:paraId="7C9D2B36">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4856D602">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2024年1-6月实现营业收入5.63亿元，同比增长22.08%，实现归属于上市公司股东的净利润和归属于上市公司股东的扣除非经常性损益的净利润分别为1.49亿元和1.43亿元，同比增长分别为25.91%和24.49%，基本每股收益为1.33元/股，同比增长26.67%。业务结构方面，药学研究服务，实现营业收入34,285.14万元，同比增长8.29%；临床试验、生物分析及药理药效服务实现营业收入21,655.10万元，同比增长50.28%。权益分成服务实现营业收入333.91万元，同比增长100.00%。</w:t>
            </w:r>
          </w:p>
          <w:p w14:paraId="6E05F572">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目前公司在创新药方面聚焦于多肽类和小核酸类药物的研发，研发标的的来源多为自主立项。截止2024上半年，控股子公司诺和晟泰在研创新药项目“STC007注射液”已经进入临床二期，其主要适应症为治疗接受血液透析（HD）的成人慢性肾脏疾病相关的中至重度瘙痒（CKD-aP）及治疗术后疼痛，“STC008注射液”已获得临床试验许可，其主要适应症为治疗晚期实体瘤的肿瘤恶液质。</w:t>
            </w:r>
          </w:p>
          <w:p w14:paraId="224EE4E9">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截止2024上半年，公司参与研发和自主立项研发的项目中，共8项新药项目已通过NMPA批准进入临床试验，70项药品申报上市注册受理，8项一致性评价注册受理；取得39项药品生产注册批件；7项通过一致性评价；6项原料药通过审评获批。</w:t>
            </w:r>
          </w:p>
          <w:p w14:paraId="7B947842">
            <w:pPr>
              <w:numPr>
                <w:ilvl w:val="-1"/>
                <w:numId w:val="0"/>
              </w:numPr>
              <w:spacing w:before="156" w:beforeLines="50" w:line="360" w:lineRule="auto"/>
              <w:ind w:firstLine="480" w:firstLineChars="200"/>
              <w:rPr>
                <w:rFonts w:hint="default"/>
                <w:kern w:val="0"/>
                <w:sz w:val="24"/>
                <w:szCs w:val="20"/>
              </w:rPr>
            </w:pPr>
            <w:r>
              <w:rPr>
                <w:rFonts w:hint="eastAsia" w:ascii="Times New Roman" w:hAnsi="Times New Roman" w:cs="Times New Roman"/>
                <w:kern w:val="2"/>
                <w:sz w:val="24"/>
                <w:highlight w:val="none"/>
              </w:rPr>
              <w:t>公司规模逐渐扩大，研发人员团队持续增长。公司目前在北京、上海、南京、无锡、成都、武汉均有子公司覆盖，共计拥有3.79万平方米的研发实验室。公司员工1,394人，其中研发人员1,163人，占员工总数的比例为83.43%。</w:t>
            </w:r>
          </w:p>
          <w:p w14:paraId="48231B26">
            <w:pPr>
              <w:numPr>
                <w:ilvl w:val="-1"/>
                <w:numId w:val="0"/>
              </w:numPr>
              <w:spacing w:before="156" w:beforeLines="50" w:line="360" w:lineRule="auto"/>
              <w:ind w:firstLine="482" w:firstLineChars="200"/>
              <w:rPr>
                <w:rFonts w:ascii="宋体" w:hAnsi="宋体"/>
                <w:b/>
                <w:iCs/>
                <w:sz w:val="24"/>
                <w:szCs w:val="24"/>
              </w:rPr>
            </w:pPr>
            <w:r>
              <w:rPr>
                <w:rFonts w:hint="eastAsia" w:ascii="宋体" w:hAnsi="宋体"/>
                <w:b/>
                <w:iCs/>
                <w:sz w:val="24"/>
                <w:szCs w:val="24"/>
                <w:lang w:val="en-US" w:eastAsia="zh-CN"/>
              </w:rPr>
              <w:t>二、</w:t>
            </w:r>
            <w:r>
              <w:rPr>
                <w:rFonts w:hint="eastAsia" w:ascii="宋体" w:hAnsi="宋体"/>
                <w:b/>
                <w:iCs/>
                <w:sz w:val="24"/>
                <w:szCs w:val="24"/>
              </w:rPr>
              <w:t>问答环节</w:t>
            </w:r>
          </w:p>
          <w:p w14:paraId="6D598109">
            <w:pPr>
              <w:numPr>
                <w:ilvl w:val="-1"/>
                <w:numId w:val="0"/>
              </w:numPr>
              <w:spacing w:before="156" w:beforeLines="50" w:line="360" w:lineRule="auto"/>
              <w:ind w:firstLine="482" w:firstLineChars="200"/>
              <w:rPr>
                <w:rFonts w:hint="eastAsia" w:ascii="宋体" w:hAnsi="宋体"/>
                <w:b/>
                <w:bCs w:val="0"/>
                <w:iCs/>
                <w:sz w:val="24"/>
                <w:szCs w:val="24"/>
                <w:highlight w:val="none"/>
              </w:rPr>
            </w:pPr>
            <w:r>
              <w:rPr>
                <w:rFonts w:hint="eastAsia" w:ascii="宋体" w:hAnsi="宋体"/>
                <w:b/>
                <w:bCs w:val="0"/>
                <w:iCs/>
                <w:sz w:val="24"/>
                <w:szCs w:val="24"/>
                <w:highlight w:val="none"/>
                <w:lang w:val="en-US" w:eastAsia="zh-CN"/>
              </w:rPr>
              <w:t>1.公司主要核心技术体现在哪</w:t>
            </w:r>
            <w:r>
              <w:rPr>
                <w:rFonts w:hint="eastAsia" w:ascii="宋体" w:hAnsi="宋体"/>
                <w:b/>
                <w:bCs w:val="0"/>
                <w:iCs/>
                <w:sz w:val="24"/>
                <w:szCs w:val="24"/>
                <w:highlight w:val="none"/>
              </w:rPr>
              <w:t>？</w:t>
            </w:r>
          </w:p>
          <w:p w14:paraId="77DF18C1">
            <w:pPr>
              <w:numPr>
                <w:ilvl w:val="-1"/>
                <w:numId w:val="0"/>
              </w:numPr>
              <w:spacing w:before="156" w:beforeLines="50" w:line="360" w:lineRule="auto"/>
              <w:ind w:firstLine="480" w:firstLineChars="200"/>
              <w:rPr>
                <w:rFonts w:hint="eastAsia" w:ascii="宋体" w:hAnsi="宋体" w:eastAsia="宋体"/>
                <w:bCs/>
                <w:iCs/>
                <w:sz w:val="24"/>
                <w:szCs w:val="24"/>
                <w:highlight w:val="none"/>
                <w:lang w:val="en-US" w:eastAsia="zh-CN"/>
              </w:rPr>
            </w:pPr>
            <w:r>
              <w:rPr>
                <w:rFonts w:hint="eastAsia" w:ascii="宋体" w:hAnsi="宋体"/>
                <w:bCs/>
                <w:iCs/>
                <w:sz w:val="24"/>
                <w:szCs w:val="24"/>
                <w:highlight w:val="none"/>
              </w:rPr>
              <w:t>公司主营业务是为医药企业提供专业化研发外包服务，致力于协助中国医药制造企业加速实现进口替代和自主创新。公司成立至今，凭借优秀稳定的研发团队与健全的质量检测和控制体系，及时匹配最新的药物研发法规要求，确保高效合规的为客户提供品质卓越的技术服务。公司围绕药物发现、药理药效、药学研究、临床研究及生物分析领域发展的需求，通过自身多年积累的丰富经验形成多个领先技术平台，发展核心技术及管理体系，掌握了一系列药物研发关键技术与评价模型。</w:t>
            </w:r>
          </w:p>
          <w:p w14:paraId="740F8D08">
            <w:pPr>
              <w:numPr>
                <w:ilvl w:val="-1"/>
                <w:numId w:val="0"/>
              </w:numPr>
              <w:spacing w:before="156" w:beforeLines="50" w:line="360" w:lineRule="auto"/>
              <w:ind w:firstLine="482" w:firstLineChars="200"/>
              <w:rPr>
                <w:rFonts w:hint="eastAsia"/>
                <w:b/>
                <w:bCs w:val="0"/>
                <w:sz w:val="24"/>
              </w:rPr>
            </w:pPr>
            <w:r>
              <w:rPr>
                <w:rFonts w:hint="eastAsia" w:cs="Times New Roman"/>
                <w:b/>
                <w:bCs w:val="0"/>
                <w:iCs/>
                <w:sz w:val="24"/>
                <w:szCs w:val="24"/>
                <w:lang w:val="en-US" w:eastAsia="zh-CN"/>
              </w:rPr>
              <w:t>2</w:t>
            </w:r>
            <w:r>
              <w:rPr>
                <w:rFonts w:hint="default" w:ascii="Times New Roman" w:hAnsi="Times New Roman" w:cs="Times New Roman"/>
                <w:b/>
                <w:bCs w:val="0"/>
                <w:iCs/>
                <w:sz w:val="24"/>
                <w:szCs w:val="24"/>
                <w:lang w:val="en-US" w:eastAsia="zh-CN"/>
              </w:rPr>
              <w:t>.</w:t>
            </w:r>
            <w:r>
              <w:rPr>
                <w:rFonts w:hint="eastAsia" w:cs="Times New Roman"/>
                <w:b/>
                <w:bCs w:val="0"/>
                <w:iCs/>
                <w:sz w:val="24"/>
                <w:szCs w:val="24"/>
                <w:lang w:val="en-US" w:eastAsia="zh-CN"/>
              </w:rPr>
              <w:t>公司2024上半年订单情况如何</w:t>
            </w:r>
            <w:r>
              <w:rPr>
                <w:rFonts w:hint="eastAsia"/>
                <w:b/>
                <w:bCs w:val="0"/>
                <w:sz w:val="24"/>
                <w:lang w:eastAsia="zh-CN"/>
              </w:rPr>
              <w:t>？</w:t>
            </w:r>
          </w:p>
          <w:p w14:paraId="56F66271">
            <w:pPr>
              <w:numPr>
                <w:ilvl w:val="-1"/>
                <w:numId w:val="0"/>
              </w:numPr>
              <w:spacing w:before="156" w:beforeLines="50" w:line="360" w:lineRule="auto"/>
              <w:ind w:firstLine="480" w:firstLineChars="200"/>
              <w:rPr>
                <w:rFonts w:hint="eastAsia"/>
                <w:b w:val="0"/>
                <w:bCs/>
                <w:sz w:val="24"/>
              </w:rPr>
            </w:pPr>
            <w:r>
              <w:rPr>
                <w:rFonts w:hint="eastAsia"/>
                <w:bCs/>
                <w:sz w:val="24"/>
              </w:rPr>
              <w:t>公司上半年新签订单稳定增长，目前在手订单充足，为公司未来的业绩发展提供了有力支撑。</w:t>
            </w:r>
            <w:r>
              <w:rPr>
                <w:rFonts w:hint="eastAsia"/>
                <w:bCs/>
                <w:sz w:val="24"/>
                <w:lang w:val="en-US" w:eastAsia="zh-CN"/>
              </w:rPr>
              <w:t>随着公司临床体系的逐渐完善和项目经验的积累，订单结构也发生了较大变化，</w:t>
            </w:r>
            <w:r>
              <w:rPr>
                <w:rFonts w:hint="eastAsia"/>
                <w:bCs/>
                <w:sz w:val="24"/>
              </w:rPr>
              <w:t>从公司2024年上半年新增订单的情况来看，创新药服务的占比正在稳步上升。公司正积极拓展国内的商务网络布局，同时致力于强化商务团队的建设与发展</w:t>
            </w:r>
            <w:r>
              <w:rPr>
                <w:rFonts w:hint="eastAsia"/>
                <w:bCs/>
                <w:sz w:val="24"/>
                <w:lang w:eastAsia="zh-CN"/>
              </w:rPr>
              <w:t>，</w:t>
            </w:r>
            <w:r>
              <w:rPr>
                <w:rFonts w:hint="eastAsia"/>
                <w:bCs/>
                <w:sz w:val="24"/>
                <w:lang w:val="en-US" w:eastAsia="zh-CN"/>
              </w:rPr>
              <w:t>广泛参加学术交流活动，</w:t>
            </w:r>
            <w:r>
              <w:rPr>
                <w:rFonts w:hint="eastAsia"/>
                <w:bCs/>
                <w:sz w:val="24"/>
              </w:rPr>
              <w:t>通过多渠道的推广方式提升公司在医药研发领域的专业形象和影响力</w:t>
            </w:r>
            <w:r>
              <w:rPr>
                <w:rFonts w:hint="eastAsia"/>
                <w:bCs/>
                <w:sz w:val="24"/>
                <w:lang w:eastAsia="zh-CN"/>
              </w:rPr>
              <w:t>。</w:t>
            </w:r>
          </w:p>
          <w:p w14:paraId="6D609E8C">
            <w:pPr>
              <w:numPr>
                <w:ilvl w:val="-1"/>
                <w:numId w:val="0"/>
              </w:numPr>
              <w:spacing w:before="156" w:beforeLines="50" w:line="360" w:lineRule="auto"/>
              <w:ind w:left="0" w:leftChars="0" w:firstLine="482" w:firstLineChars="200"/>
              <w:rPr>
                <w:rFonts w:hint="default" w:eastAsia="宋体"/>
                <w:b/>
                <w:bCs w:val="0"/>
                <w:sz w:val="24"/>
                <w:highlight w:val="none"/>
                <w:lang w:val="en-US" w:eastAsia="zh-CN"/>
              </w:rPr>
            </w:pPr>
            <w:r>
              <w:rPr>
                <w:rFonts w:hint="eastAsia" w:ascii="宋体" w:hAnsi="宋体"/>
                <w:b/>
                <w:bCs w:val="0"/>
                <w:iCs/>
                <w:sz w:val="24"/>
                <w:szCs w:val="24"/>
                <w:highlight w:val="none"/>
                <w:lang w:val="en-US" w:eastAsia="zh-CN"/>
              </w:rPr>
              <w:t>3.</w:t>
            </w:r>
            <w:r>
              <w:rPr>
                <w:rFonts w:hint="eastAsia"/>
                <w:b/>
                <w:bCs w:val="0"/>
                <w:sz w:val="24"/>
                <w:highlight w:val="none"/>
                <w:lang w:val="en-US" w:eastAsia="zh-CN"/>
              </w:rPr>
              <w:t>公司在生物分析方面的技术布局？</w:t>
            </w:r>
          </w:p>
          <w:p w14:paraId="2E243E5F">
            <w:pPr>
              <w:numPr>
                <w:ilvl w:val="-1"/>
                <w:numId w:val="0"/>
              </w:numPr>
              <w:spacing w:before="156" w:beforeLines="50" w:line="360" w:lineRule="auto"/>
              <w:ind w:left="0" w:leftChars="0" w:firstLine="480" w:firstLineChars="200"/>
              <w:rPr>
                <w:rFonts w:hint="default" w:ascii="宋体" w:hAnsi="宋体" w:eastAsia="宋体" w:cs="Times New Roman"/>
                <w:b/>
                <w:iCs/>
                <w:sz w:val="24"/>
                <w:szCs w:val="24"/>
                <w:highlight w:val="none"/>
                <w:lang w:val="en-US" w:eastAsia="zh-CN"/>
              </w:rPr>
            </w:pPr>
            <w:r>
              <w:rPr>
                <w:rFonts w:hint="eastAsia"/>
                <w:sz w:val="24"/>
                <w:highlight w:val="none"/>
              </w:rPr>
              <w:t>公司开展涵盖大、小分子创新药物的药代动力学、免疫原性、药效学、生物标志物及定量药理学等相关研究，并提供临床前及临床阶段样本生物分析服务，以满足客户从早期药物发现到申报各阶段研发需求。公司目前正在运行100余项创新药临床前、临床I期项目，包括小分子靶向抑制剂、多肽类、ADC、PDC、单克隆抗体、干细胞产品、核酸药物、疫苗产品、病毒产品、中药创新药等，适应症包括：肿瘤、免疫、心血管疾病、降压、降糖、抑酸、脑卒中、干眼症、中重度肠炎、流感、HIV等，其中高效推进两项创新药项目免二进三，一项国内自主知识产权P-CAB创新药待批准上市。仿制药方面：尤其擅长内源性药物、吸入制剂药物、手性药物、肽类药物、核酸类药物、ADC药物及多化合物及不稳定药物检测。公司自主开发700多个小分子生物分析方法，100多个大分子生物分析方法。</w:t>
            </w:r>
          </w:p>
          <w:p w14:paraId="77694562">
            <w:pPr>
              <w:numPr>
                <w:ilvl w:val="0"/>
                <w:numId w:val="1"/>
              </w:numPr>
              <w:spacing w:before="156" w:beforeLines="50" w:line="360" w:lineRule="auto"/>
              <w:ind w:left="0" w:leftChars="0" w:firstLine="482" w:firstLineChars="200"/>
              <w:rPr>
                <w:rFonts w:hint="eastAsia"/>
                <w:b/>
                <w:sz w:val="24"/>
                <w:highlight w:val="none"/>
              </w:rPr>
            </w:pPr>
            <w:r>
              <w:rPr>
                <w:rFonts w:hint="eastAsia"/>
                <w:b/>
                <w:sz w:val="24"/>
                <w:highlight w:val="none"/>
              </w:rPr>
              <w:t>公司</w:t>
            </w:r>
            <w:r>
              <w:rPr>
                <w:rFonts w:hint="eastAsia"/>
                <w:b/>
                <w:sz w:val="24"/>
                <w:highlight w:val="none"/>
                <w:lang w:val="en-US" w:eastAsia="zh-CN"/>
              </w:rPr>
              <w:t>的收入确认节奏是</w:t>
            </w:r>
            <w:r>
              <w:rPr>
                <w:rFonts w:hint="eastAsia"/>
                <w:b/>
                <w:sz w:val="24"/>
                <w:highlight w:val="none"/>
              </w:rPr>
              <w:t xml:space="preserve">？ </w:t>
            </w:r>
          </w:p>
          <w:p w14:paraId="5242BECC">
            <w:pPr>
              <w:numPr>
                <w:ilvl w:val="-1"/>
                <w:numId w:val="0"/>
              </w:numPr>
              <w:spacing w:before="156" w:beforeLines="50" w:line="360" w:lineRule="auto"/>
              <w:ind w:left="0" w:leftChars="0" w:firstLine="480" w:firstLineChars="200"/>
              <w:rPr>
                <w:rFonts w:hint="eastAsia" w:eastAsia="宋体"/>
                <w:b w:val="0"/>
                <w:bCs w:val="0"/>
                <w:sz w:val="24"/>
                <w:highlight w:val="none"/>
                <w:lang w:val="en-US" w:eastAsia="zh-CN"/>
              </w:rPr>
            </w:pPr>
            <w:r>
              <w:rPr>
                <w:rFonts w:hint="eastAsia"/>
                <w:sz w:val="24"/>
                <w:highlight w:val="none"/>
              </w:rPr>
              <w:t>公司根据研发进度，分阶段确认收入。仿制药从立项到完成工艺交接大概需要12-18个月时间，可确认药学研究合同额70%的收入；完成BE临床试验大概需要6-12个月时间，可确认生物等效性临床合同额100%的收入；完成申报取得注册批件需要12-18个月，申报及取得注册批件可以确认药学研究合同额30%的收入。大临床研究项目，按成本发生，临床I期的研究周期通常需要1-2年，临床II-III期研究周期大约分别需要2-3年。临床前及临床生物分析、PK/PD相关研究业务执行周期的通常不超过1年时间。</w:t>
            </w:r>
            <w:bookmarkStart w:id="0" w:name="_GoBack"/>
            <w:bookmarkEnd w:id="0"/>
          </w:p>
          <w:p w14:paraId="0D203ACF">
            <w:pPr>
              <w:numPr>
                <w:ilvl w:val="0"/>
                <w:numId w:val="1"/>
              </w:numPr>
              <w:spacing w:before="156" w:beforeLines="50" w:line="360" w:lineRule="auto"/>
              <w:ind w:left="0" w:leftChars="0" w:firstLine="482" w:firstLineChars="200"/>
              <w:rPr>
                <w:rFonts w:hint="eastAsia"/>
                <w:b/>
                <w:sz w:val="24"/>
                <w:highlight w:val="none"/>
              </w:rPr>
            </w:pPr>
            <w:r>
              <w:rPr>
                <w:rFonts w:hint="eastAsia"/>
                <w:b/>
                <w:sz w:val="24"/>
                <w:highlight w:val="none"/>
              </w:rPr>
              <w:t xml:space="preserve">公司业绩表现优异的原因？ </w:t>
            </w:r>
          </w:p>
          <w:p w14:paraId="5D3797B2">
            <w:pPr>
              <w:numPr>
                <w:ilvl w:val="-1"/>
                <w:numId w:val="0"/>
              </w:numPr>
              <w:spacing w:before="156" w:beforeLines="50" w:line="360" w:lineRule="auto"/>
              <w:ind w:firstLine="480" w:firstLineChars="200"/>
              <w:rPr>
                <w:rFonts w:hint="eastAsia" w:ascii="宋体" w:hAnsi="宋体"/>
                <w:bCs/>
                <w:iCs/>
                <w:sz w:val="24"/>
                <w:szCs w:val="24"/>
                <w:highlight w:val="none"/>
                <w:lang w:val="en-US" w:eastAsia="zh-CN"/>
              </w:rPr>
            </w:pPr>
            <w:r>
              <w:rPr>
                <w:rFonts w:hint="eastAsia"/>
                <w:sz w:val="24"/>
                <w:highlight w:val="none"/>
              </w:rPr>
              <w:t>首先是</w:t>
            </w:r>
            <w:r>
              <w:rPr>
                <w:rFonts w:hint="eastAsia"/>
                <w:sz w:val="24"/>
                <w:highlight w:val="none"/>
                <w:lang w:val="en-US" w:eastAsia="zh-CN"/>
              </w:rPr>
              <w:t>公司客户大部分是传统中大型医药企业，每年有稳定的现金流和产品管线布局的需求，通过前期合作基础公司已经树立了良好的口碑和信誉，客户</w:t>
            </w:r>
            <w:r>
              <w:rPr>
                <w:rFonts w:hint="eastAsia"/>
                <w:sz w:val="24"/>
                <w:highlight w:val="none"/>
              </w:rPr>
              <w:t>粘性好</w:t>
            </w:r>
            <w:r>
              <w:rPr>
                <w:rFonts w:hint="eastAsia"/>
                <w:sz w:val="24"/>
                <w:highlight w:val="none"/>
                <w:lang w:eastAsia="zh-CN"/>
              </w:rPr>
              <w:t>。</w:t>
            </w:r>
            <w:r>
              <w:rPr>
                <w:rFonts w:hint="eastAsia"/>
                <w:sz w:val="24"/>
                <w:highlight w:val="none"/>
                <w:lang w:val="en-US" w:eastAsia="zh-CN"/>
              </w:rPr>
              <w:t>公司为客户提供仿制药、改良型新药和创新药的临床前+临床一体化的研发服务，在临床领域形成了自身的优势适应症布局，临床贡献的收入增长较快，2024上半年在临床试验和生物分析服务的收入达到21,655.10万元，占营业收入的比例将近40%。其次，公司综合毛利率处于较高水平，2024年上半公司毛利率为</w:t>
            </w:r>
            <w:r>
              <w:rPr>
                <w:rFonts w:hint="eastAsia" w:ascii="Times New Roman" w:hAnsi="Times New Roman"/>
                <w:sz w:val="24"/>
                <w:highlight w:val="none"/>
              </w:rPr>
              <w:t>55.99%</w:t>
            </w:r>
            <w:r>
              <w:rPr>
                <w:rFonts w:hint="eastAsia"/>
                <w:sz w:val="24"/>
                <w:highlight w:val="none"/>
                <w:lang w:eastAsia="zh-CN"/>
              </w:rPr>
              <w:t>。</w:t>
            </w:r>
            <w:r>
              <w:rPr>
                <w:rFonts w:hint="eastAsia"/>
                <w:sz w:val="24"/>
                <w:highlight w:val="none"/>
                <w:lang w:val="en-US" w:eastAsia="zh-CN"/>
              </w:rPr>
              <w:t>此外</w:t>
            </w:r>
            <w:r>
              <w:rPr>
                <w:rFonts w:hint="eastAsia"/>
                <w:sz w:val="24"/>
                <w:highlight w:val="none"/>
              </w:rPr>
              <w:t>，公司费用控制良好。2024年上半年，公司营业收入增长</w:t>
            </w:r>
            <w:r>
              <w:rPr>
                <w:rFonts w:hint="eastAsia"/>
                <w:sz w:val="24"/>
                <w:highlight w:val="none"/>
                <w:lang w:val="en-US" w:eastAsia="zh-CN"/>
              </w:rPr>
              <w:t>22.08</w:t>
            </w:r>
            <w:r>
              <w:rPr>
                <w:rFonts w:hint="eastAsia"/>
                <w:sz w:val="24"/>
                <w:highlight w:val="none"/>
              </w:rPr>
              <w:t>%，</w:t>
            </w:r>
            <w:r>
              <w:rPr>
                <w:rFonts w:hint="eastAsia"/>
                <w:sz w:val="24"/>
                <w:highlight w:val="none"/>
                <w:lang w:val="en-US" w:eastAsia="zh-CN"/>
              </w:rPr>
              <w:t>期间</w:t>
            </w:r>
            <w:r>
              <w:rPr>
                <w:rFonts w:hint="eastAsia"/>
                <w:sz w:val="24"/>
                <w:highlight w:val="none"/>
              </w:rPr>
              <w:t>费用</w:t>
            </w:r>
            <w:r>
              <w:rPr>
                <w:rFonts w:hint="eastAsia"/>
                <w:sz w:val="24"/>
                <w:highlight w:val="none"/>
                <w:lang w:val="en-US" w:eastAsia="zh-CN"/>
              </w:rPr>
              <w:t>率下降0.71</w:t>
            </w:r>
            <w:r>
              <w:rPr>
                <w:rFonts w:hint="eastAsia"/>
                <w:sz w:val="24"/>
                <w:highlight w:val="none"/>
              </w:rPr>
              <w:t>%，良好的费用控制带来利润增长。</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noWrap w:val="0"/>
            <w:vAlign w:val="center"/>
          </w:tcPr>
          <w:p w14:paraId="49E359F1">
            <w:pPr>
              <w:spacing w:line="360" w:lineRule="auto"/>
              <w:jc w:val="left"/>
              <w:rPr>
                <w:rFonts w:ascii="宋体" w:hAnsi="宋体"/>
                <w:b/>
                <w:bCs/>
                <w:iCs/>
                <w:sz w:val="24"/>
                <w:szCs w:val="24"/>
              </w:rPr>
            </w:pPr>
            <w:r>
              <w:rPr>
                <w:rFonts w:hint="eastAsia" w:ascii="宋体" w:hAnsi="宋体"/>
                <w:b/>
                <w:bCs/>
                <w:iCs/>
                <w:sz w:val="24"/>
                <w:szCs w:val="24"/>
              </w:rPr>
              <w:t>附件清单（如有）</w:t>
            </w:r>
          </w:p>
        </w:tc>
        <w:tc>
          <w:tcPr>
            <w:tcW w:w="6203" w:type="dxa"/>
            <w:noWrap w:val="0"/>
            <w:vAlign w:val="top"/>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17A6FD2">
            <w:pPr>
              <w:spacing w:line="360" w:lineRule="auto"/>
              <w:jc w:val="left"/>
              <w:rPr>
                <w:rFonts w:ascii="宋体" w:hAnsi="宋体"/>
                <w:b/>
                <w:bCs/>
                <w:iCs/>
                <w:sz w:val="24"/>
                <w:szCs w:val="24"/>
              </w:rPr>
            </w:pPr>
            <w:r>
              <w:rPr>
                <w:rFonts w:hint="eastAsia" w:ascii="宋体" w:hAnsi="宋体"/>
                <w:b/>
                <w:bCs/>
                <w:iCs/>
                <w:sz w:val="24"/>
                <w:szCs w:val="24"/>
              </w:rPr>
              <w:t>日期</w:t>
            </w:r>
          </w:p>
        </w:tc>
        <w:tc>
          <w:tcPr>
            <w:tcW w:w="6203" w:type="dxa"/>
            <w:noWrap w:val="0"/>
            <w:vAlign w:val="top"/>
          </w:tcPr>
          <w:p w14:paraId="1087953D">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9</w:t>
            </w:r>
            <w:r>
              <w:rPr>
                <w:rFonts w:hint="eastAsia" w:ascii="宋体" w:hAnsi="宋体"/>
                <w:bCs/>
                <w:iCs/>
                <w:sz w:val="24"/>
                <w:szCs w:val="24"/>
              </w:rPr>
              <w:t>月</w:t>
            </w:r>
            <w:r>
              <w:rPr>
                <w:rFonts w:hint="eastAsia" w:ascii="宋体" w:hAnsi="宋体"/>
                <w:bCs/>
                <w:iCs/>
                <w:sz w:val="24"/>
                <w:szCs w:val="24"/>
                <w:lang w:val="en-US" w:eastAsia="zh-CN"/>
              </w:rPr>
              <w:t>5</w:t>
            </w:r>
            <w:r>
              <w:rPr>
                <w:rFonts w:hint="eastAsia" w:ascii="宋体" w:hAnsi="宋体"/>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3AC75"/>
    <w:multiLevelType w:val="singleLevel"/>
    <w:tmpl w:val="81D3AC75"/>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TRlOTE5NzU3Y2FhZmJjMTA4ODAwNjMyZWVhZDcifQ=="/>
  </w:docVars>
  <w:rsids>
    <w:rsidRoot w:val="52FF551A"/>
    <w:rsid w:val="00E31C19"/>
    <w:rsid w:val="01AC06BF"/>
    <w:rsid w:val="01CC4519"/>
    <w:rsid w:val="02290130"/>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612D69"/>
    <w:rsid w:val="0D174ABA"/>
    <w:rsid w:val="0DBE3551"/>
    <w:rsid w:val="0DCC4700"/>
    <w:rsid w:val="0E086001"/>
    <w:rsid w:val="0EB77202"/>
    <w:rsid w:val="0F824FAF"/>
    <w:rsid w:val="0FE77118"/>
    <w:rsid w:val="11866453"/>
    <w:rsid w:val="122E5DAC"/>
    <w:rsid w:val="12527029"/>
    <w:rsid w:val="12B62932"/>
    <w:rsid w:val="12DB5893"/>
    <w:rsid w:val="134A000D"/>
    <w:rsid w:val="13CF5910"/>
    <w:rsid w:val="144F54F1"/>
    <w:rsid w:val="14EC5248"/>
    <w:rsid w:val="14ED4281"/>
    <w:rsid w:val="15930D03"/>
    <w:rsid w:val="15AA2CEE"/>
    <w:rsid w:val="15B14D16"/>
    <w:rsid w:val="16DA51E9"/>
    <w:rsid w:val="17345A11"/>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62320E"/>
    <w:rsid w:val="23910C76"/>
    <w:rsid w:val="23D01B44"/>
    <w:rsid w:val="23D06D2E"/>
    <w:rsid w:val="23EB5621"/>
    <w:rsid w:val="241427AF"/>
    <w:rsid w:val="249D14E3"/>
    <w:rsid w:val="24BB0950"/>
    <w:rsid w:val="256D51A0"/>
    <w:rsid w:val="26D51ECB"/>
    <w:rsid w:val="271625E5"/>
    <w:rsid w:val="273725B6"/>
    <w:rsid w:val="29093405"/>
    <w:rsid w:val="29706363"/>
    <w:rsid w:val="29DE4401"/>
    <w:rsid w:val="2AC65169"/>
    <w:rsid w:val="2AD401BA"/>
    <w:rsid w:val="2B061EFA"/>
    <w:rsid w:val="2B9F7FE4"/>
    <w:rsid w:val="2C535356"/>
    <w:rsid w:val="2CA85D23"/>
    <w:rsid w:val="2CB67043"/>
    <w:rsid w:val="2CE05AC2"/>
    <w:rsid w:val="2DCD4D3B"/>
    <w:rsid w:val="2E6F33D5"/>
    <w:rsid w:val="2EA00B62"/>
    <w:rsid w:val="2EA9018A"/>
    <w:rsid w:val="2F4F0EF9"/>
    <w:rsid w:val="2FA368BA"/>
    <w:rsid w:val="308E0410"/>
    <w:rsid w:val="30A2064A"/>
    <w:rsid w:val="31060FA7"/>
    <w:rsid w:val="31093612"/>
    <w:rsid w:val="31BF300D"/>
    <w:rsid w:val="32A42B73"/>
    <w:rsid w:val="32D27F68"/>
    <w:rsid w:val="33231F8D"/>
    <w:rsid w:val="33260499"/>
    <w:rsid w:val="332F655B"/>
    <w:rsid w:val="33687BF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830B91"/>
    <w:rsid w:val="4AAF5236"/>
    <w:rsid w:val="4AB212D8"/>
    <w:rsid w:val="4B1A52D2"/>
    <w:rsid w:val="4B265D22"/>
    <w:rsid w:val="4BB85758"/>
    <w:rsid w:val="4C014C57"/>
    <w:rsid w:val="4C020555"/>
    <w:rsid w:val="4C1E0FC8"/>
    <w:rsid w:val="4C556F25"/>
    <w:rsid w:val="4C84793E"/>
    <w:rsid w:val="4D0E2637"/>
    <w:rsid w:val="4D6024B5"/>
    <w:rsid w:val="4D9C101F"/>
    <w:rsid w:val="4DF658A7"/>
    <w:rsid w:val="4EF8205F"/>
    <w:rsid w:val="4F444544"/>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3622C3"/>
    <w:rsid w:val="576D5BCE"/>
    <w:rsid w:val="58836DC8"/>
    <w:rsid w:val="58BA5B76"/>
    <w:rsid w:val="599C16F8"/>
    <w:rsid w:val="5A2A67F5"/>
    <w:rsid w:val="5A4F27F0"/>
    <w:rsid w:val="5A880128"/>
    <w:rsid w:val="5AAE4583"/>
    <w:rsid w:val="5B1D47FA"/>
    <w:rsid w:val="5D012421"/>
    <w:rsid w:val="5DD427BF"/>
    <w:rsid w:val="5DEC4365"/>
    <w:rsid w:val="5E7435BA"/>
    <w:rsid w:val="5E932ED8"/>
    <w:rsid w:val="60760873"/>
    <w:rsid w:val="60C214BD"/>
    <w:rsid w:val="60C265CF"/>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A45979"/>
    <w:rsid w:val="6EEB2130"/>
    <w:rsid w:val="700B2EC6"/>
    <w:rsid w:val="70754AA5"/>
    <w:rsid w:val="70B8083E"/>
    <w:rsid w:val="7171086E"/>
    <w:rsid w:val="719510A4"/>
    <w:rsid w:val="71A66548"/>
    <w:rsid w:val="71FA4772"/>
    <w:rsid w:val="71FC4DEA"/>
    <w:rsid w:val="728671BF"/>
    <w:rsid w:val="72C94CD5"/>
    <w:rsid w:val="73300DA4"/>
    <w:rsid w:val="744616E9"/>
    <w:rsid w:val="745A380B"/>
    <w:rsid w:val="74A02866"/>
    <w:rsid w:val="75580D0F"/>
    <w:rsid w:val="76440F92"/>
    <w:rsid w:val="772F3652"/>
    <w:rsid w:val="779F15A2"/>
    <w:rsid w:val="77AE1328"/>
    <w:rsid w:val="77B6383C"/>
    <w:rsid w:val="78423920"/>
    <w:rsid w:val="78A45D63"/>
    <w:rsid w:val="794D08AD"/>
    <w:rsid w:val="79661C63"/>
    <w:rsid w:val="79D25FC2"/>
    <w:rsid w:val="79EA2C4D"/>
    <w:rsid w:val="79F90BEF"/>
    <w:rsid w:val="7A774554"/>
    <w:rsid w:val="7A7F1400"/>
    <w:rsid w:val="7AD051DC"/>
    <w:rsid w:val="7ADB0A5E"/>
    <w:rsid w:val="7AE62B2D"/>
    <w:rsid w:val="7B28387D"/>
    <w:rsid w:val="7BA223D0"/>
    <w:rsid w:val="7C064AE8"/>
    <w:rsid w:val="7C29373A"/>
    <w:rsid w:val="7C6A3054"/>
    <w:rsid w:val="7CE44ECC"/>
    <w:rsid w:val="7CE571C4"/>
    <w:rsid w:val="7D0375F5"/>
    <w:rsid w:val="7D546905"/>
    <w:rsid w:val="7D6D7ABB"/>
    <w:rsid w:val="7D7234FB"/>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2146</Words>
  <Characters>2390</Characters>
  <Lines>0</Lines>
  <Paragraphs>0</Paragraphs>
  <TotalTime>108</TotalTime>
  <ScaleCrop>false</ScaleCrop>
  <LinksUpToDate>false</LinksUpToDate>
  <CharactersWithSpaces>2458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2024-03-05T05:09:00Z</dcterms:created>
  <dc:creator>杨贵娇</dc:creator>
  <cp:lastModifiedBy>杨贵娇</cp:lastModifiedBy>
  <dcterms:modified xsi:type="dcterms:W3CDTF">2024-09-06T05:07:02Z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EE2AB1D740C247FCAADF775BD1D1EB79_13</vt:lpwstr>
  </property>
</Properties>
</file>