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723E8">
      <w:pPr>
        <w:spacing w:before="156" w:beforeLines="50" w:after="156" w:afterLines="50" w:line="400" w:lineRule="exact"/>
        <w:jc w:val="left"/>
        <w:rPr>
          <w:bCs/>
          <w:iCs/>
          <w:color w:val="000000"/>
          <w:sz w:val="24"/>
        </w:rPr>
      </w:pPr>
      <w:r>
        <w:rPr>
          <w:bCs/>
          <w:iCs/>
          <w:color w:val="000000"/>
          <w:sz w:val="24"/>
        </w:rPr>
        <w:t>证券代码：688793                                     证券简称：倍轻松</w:t>
      </w:r>
    </w:p>
    <w:p w14:paraId="4A494469">
      <w:pPr>
        <w:spacing w:before="156" w:beforeLines="50" w:after="156" w:afterLines="50" w:line="400" w:lineRule="exact"/>
        <w:ind w:firstLine="720" w:firstLineChars="300"/>
        <w:rPr>
          <w:bCs/>
          <w:iCs/>
          <w:color w:val="000000"/>
          <w:sz w:val="24"/>
        </w:rPr>
      </w:pPr>
    </w:p>
    <w:p w14:paraId="77D254C5">
      <w:pPr>
        <w:spacing w:before="156" w:beforeLines="50" w:after="156" w:afterLines="50" w:line="400" w:lineRule="exact"/>
        <w:jc w:val="center"/>
        <w:rPr>
          <w:b/>
          <w:bCs/>
          <w:iCs/>
          <w:color w:val="000000"/>
          <w:sz w:val="32"/>
          <w:szCs w:val="32"/>
        </w:rPr>
      </w:pPr>
      <w:r>
        <w:rPr>
          <w:b/>
          <w:bCs/>
          <w:iCs/>
          <w:color w:val="000000"/>
          <w:sz w:val="32"/>
          <w:szCs w:val="32"/>
        </w:rPr>
        <w:t>深圳市倍轻松科技股份有限公司</w:t>
      </w:r>
    </w:p>
    <w:p w14:paraId="5B0B0798">
      <w:pPr>
        <w:spacing w:before="156" w:beforeLines="50" w:after="156" w:afterLines="50" w:line="400" w:lineRule="exact"/>
        <w:jc w:val="center"/>
        <w:rPr>
          <w:b/>
          <w:bCs/>
          <w:iCs/>
          <w:color w:val="000000"/>
          <w:sz w:val="32"/>
          <w:szCs w:val="32"/>
        </w:rPr>
      </w:pPr>
      <w:r>
        <w:rPr>
          <w:b/>
          <w:bCs/>
          <w:iCs/>
          <w:color w:val="000000"/>
          <w:sz w:val="32"/>
          <w:szCs w:val="32"/>
        </w:rPr>
        <w:t>投资者关系活动记录表</w:t>
      </w:r>
    </w:p>
    <w:p w14:paraId="512F4023">
      <w:pPr>
        <w:spacing w:line="400" w:lineRule="exact"/>
        <w:jc w:val="right"/>
        <w:rPr>
          <w:rFonts w:hint="eastAsia" w:eastAsia="宋体"/>
          <w:bCs/>
          <w:iCs/>
          <w:color w:val="000000"/>
          <w:sz w:val="24"/>
          <w:szCs w:val="24"/>
          <w:lang w:val="en-US" w:eastAsia="zh-CN"/>
        </w:rPr>
      </w:pPr>
      <w:r>
        <w:rPr>
          <w:bCs/>
          <w:iCs/>
          <w:color w:val="000000"/>
          <w:sz w:val="24"/>
        </w:rPr>
        <w:t xml:space="preserve">                                                     </w:t>
      </w:r>
      <w:r>
        <w:rPr>
          <w:bCs/>
          <w:iCs/>
          <w:color w:val="000000"/>
          <w:sz w:val="24"/>
          <w:szCs w:val="24"/>
        </w:rPr>
        <w:t>编号：2024-00</w:t>
      </w:r>
      <w:r>
        <w:rPr>
          <w:rFonts w:hint="eastAsia"/>
          <w:bCs/>
          <w:iCs/>
          <w:color w:val="000000"/>
          <w:sz w:val="24"/>
          <w:szCs w:val="24"/>
          <w:lang w:val="en-US" w:eastAsia="zh-CN"/>
        </w:rPr>
        <w:t>5</w:t>
      </w:r>
    </w:p>
    <w:tbl>
      <w:tblPr>
        <w:tblStyle w:val="8"/>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087"/>
      </w:tblGrid>
      <w:tr w14:paraId="52C16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1CBC6A77">
            <w:pPr>
              <w:spacing w:line="480" w:lineRule="atLeast"/>
              <w:jc w:val="center"/>
              <w:rPr>
                <w:b/>
                <w:bCs/>
                <w:iCs/>
                <w:color w:val="000000"/>
                <w:sz w:val="24"/>
                <w:szCs w:val="24"/>
              </w:rPr>
            </w:pPr>
            <w:r>
              <w:rPr>
                <w:b/>
                <w:bCs/>
                <w:iCs/>
                <w:color w:val="000000"/>
                <w:sz w:val="24"/>
                <w:szCs w:val="24"/>
              </w:rPr>
              <w:t>投资者关系活动类别</w:t>
            </w:r>
          </w:p>
        </w:tc>
        <w:tc>
          <w:tcPr>
            <w:tcW w:w="7087" w:type="dxa"/>
          </w:tcPr>
          <w:p w14:paraId="034D125A">
            <w:pPr>
              <w:rPr>
                <w:bCs/>
                <w:iCs/>
                <w:color w:val="000000"/>
                <w:sz w:val="24"/>
                <w:szCs w:val="24"/>
              </w:rPr>
            </w:pPr>
            <w:r>
              <w:rPr>
                <w:rFonts w:hint="eastAsia" w:ascii="Segoe UI Symbol" w:hAnsi="Segoe UI Symbol" w:cs="Segoe UI Symbol"/>
                <w:bCs/>
                <w:iCs/>
                <w:color w:val="000000"/>
                <w:sz w:val="24"/>
                <w:szCs w:val="24"/>
                <w:lang w:eastAsia="zh-CN"/>
              </w:rPr>
              <w:t>☑</w:t>
            </w:r>
            <w:r>
              <w:rPr>
                <w:bCs/>
                <w:iCs/>
                <w:color w:val="000000"/>
                <w:sz w:val="24"/>
                <w:szCs w:val="24"/>
              </w:rPr>
              <w:t xml:space="preserve">特定对象调研       </w:t>
            </w:r>
            <w:r>
              <w:rPr>
                <w:rFonts w:hint="eastAsia"/>
                <w:bCs/>
                <w:iCs/>
                <w:color w:val="000000"/>
                <w:sz w:val="24"/>
                <w:szCs w:val="24"/>
                <w:lang w:val="en-US" w:eastAsia="zh-CN"/>
              </w:rPr>
              <w:t xml:space="preserve"> </w:t>
            </w:r>
            <w:r>
              <w:rPr>
                <w:rFonts w:hint="eastAsia"/>
                <w:bCs/>
                <w:iCs/>
                <w:color w:val="000000"/>
                <w:sz w:val="24"/>
                <w:szCs w:val="24"/>
                <w:lang w:eastAsia="zh-CN"/>
              </w:rPr>
              <w:t>□</w:t>
            </w:r>
            <w:r>
              <w:rPr>
                <w:bCs/>
                <w:iCs/>
                <w:color w:val="000000"/>
                <w:sz w:val="24"/>
                <w:szCs w:val="24"/>
              </w:rPr>
              <w:t>分析师会议</w:t>
            </w:r>
          </w:p>
          <w:p w14:paraId="3EC5C63C">
            <w:pPr>
              <w:rPr>
                <w:bCs/>
                <w:iCs/>
                <w:color w:val="000000"/>
                <w:sz w:val="24"/>
                <w:szCs w:val="24"/>
              </w:rPr>
            </w:pPr>
            <w:r>
              <w:rPr>
                <w:rFonts w:hint="eastAsia"/>
                <w:bCs/>
                <w:iCs/>
                <w:color w:val="000000"/>
                <w:sz w:val="24"/>
                <w:szCs w:val="24"/>
                <w:lang w:eastAsia="zh-CN"/>
              </w:rPr>
              <w:t>□</w:t>
            </w:r>
            <w:r>
              <w:rPr>
                <w:bCs/>
                <w:iCs/>
                <w:color w:val="000000"/>
                <w:sz w:val="24"/>
                <w:szCs w:val="24"/>
              </w:rPr>
              <w:t xml:space="preserve">媒体采访            </w:t>
            </w:r>
            <w:r>
              <w:rPr>
                <w:rFonts w:hint="eastAsia"/>
                <w:bCs/>
                <w:iCs/>
                <w:color w:val="000000"/>
                <w:sz w:val="24"/>
                <w:szCs w:val="24"/>
                <w:lang w:eastAsia="zh-CN"/>
              </w:rPr>
              <w:t>□</w:t>
            </w:r>
            <w:r>
              <w:rPr>
                <w:bCs/>
                <w:iCs/>
                <w:color w:val="000000"/>
                <w:sz w:val="24"/>
                <w:szCs w:val="24"/>
              </w:rPr>
              <w:t>业绩说明会</w:t>
            </w:r>
          </w:p>
          <w:p w14:paraId="4452C6D6">
            <w:pPr>
              <w:rPr>
                <w:bCs/>
                <w:iCs/>
                <w:color w:val="000000"/>
                <w:sz w:val="24"/>
                <w:szCs w:val="24"/>
              </w:rPr>
            </w:pPr>
            <w:r>
              <w:rPr>
                <w:rFonts w:hint="eastAsia"/>
                <w:bCs/>
                <w:iCs/>
                <w:color w:val="000000"/>
                <w:sz w:val="24"/>
                <w:szCs w:val="24"/>
                <w:lang w:eastAsia="zh-CN"/>
              </w:rPr>
              <w:t>□</w:t>
            </w:r>
            <w:r>
              <w:rPr>
                <w:bCs/>
                <w:iCs/>
                <w:color w:val="000000"/>
                <w:sz w:val="24"/>
                <w:szCs w:val="24"/>
              </w:rPr>
              <w:t xml:space="preserve">新闻发布会          </w:t>
            </w:r>
            <w:r>
              <w:rPr>
                <w:rFonts w:hint="eastAsia"/>
                <w:bCs/>
                <w:iCs/>
                <w:color w:val="000000"/>
                <w:sz w:val="24"/>
                <w:szCs w:val="24"/>
                <w:lang w:eastAsia="zh-CN"/>
              </w:rPr>
              <w:t>□</w:t>
            </w:r>
            <w:r>
              <w:rPr>
                <w:bCs/>
                <w:iCs/>
                <w:color w:val="000000"/>
                <w:sz w:val="24"/>
                <w:szCs w:val="24"/>
              </w:rPr>
              <w:t>路演活动</w:t>
            </w:r>
          </w:p>
          <w:p w14:paraId="36A2E4D2">
            <w:pPr>
              <w:rPr>
                <w:bCs/>
                <w:iCs/>
                <w:color w:val="000000"/>
                <w:sz w:val="24"/>
                <w:szCs w:val="24"/>
              </w:rPr>
            </w:pPr>
            <w:r>
              <w:rPr>
                <w:rFonts w:hint="eastAsia"/>
                <w:bCs/>
                <w:iCs/>
                <w:color w:val="000000"/>
                <w:sz w:val="24"/>
                <w:szCs w:val="24"/>
                <w:lang w:eastAsia="zh-CN"/>
              </w:rPr>
              <w:t>☑</w:t>
            </w:r>
            <w:r>
              <w:rPr>
                <w:bCs/>
                <w:iCs/>
                <w:color w:val="000000"/>
                <w:sz w:val="24"/>
                <w:szCs w:val="24"/>
              </w:rPr>
              <w:t>现场参观</w:t>
            </w:r>
          </w:p>
          <w:p w14:paraId="22312767">
            <w:pPr>
              <w:rPr>
                <w:bCs/>
                <w:iCs/>
                <w:color w:val="000000"/>
                <w:sz w:val="24"/>
                <w:szCs w:val="24"/>
              </w:rPr>
            </w:pPr>
            <w:r>
              <w:rPr>
                <w:rFonts w:hint="eastAsia"/>
                <w:bCs/>
                <w:iCs/>
                <w:color w:val="000000"/>
                <w:sz w:val="24"/>
                <w:szCs w:val="24"/>
                <w:lang w:eastAsia="zh-CN"/>
              </w:rPr>
              <w:t>□</w:t>
            </w:r>
            <w:r>
              <w:rPr>
                <w:bCs/>
                <w:iCs/>
                <w:color w:val="000000"/>
                <w:sz w:val="24"/>
                <w:szCs w:val="24"/>
              </w:rPr>
              <w:t xml:space="preserve">其他：电话会议 </w:t>
            </w:r>
          </w:p>
        </w:tc>
      </w:tr>
      <w:tr w14:paraId="3714E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1526" w:type="dxa"/>
            <w:vAlign w:val="center"/>
          </w:tcPr>
          <w:p w14:paraId="61DDE1EC">
            <w:pPr>
              <w:spacing w:line="480" w:lineRule="atLeast"/>
              <w:jc w:val="center"/>
              <w:rPr>
                <w:b/>
                <w:bCs/>
                <w:iCs/>
                <w:color w:val="000000"/>
                <w:sz w:val="24"/>
                <w:szCs w:val="24"/>
              </w:rPr>
            </w:pPr>
            <w:r>
              <w:rPr>
                <w:b/>
                <w:bCs/>
                <w:iCs/>
                <w:color w:val="000000"/>
                <w:sz w:val="24"/>
                <w:szCs w:val="24"/>
              </w:rPr>
              <w:t>参与单位</w:t>
            </w:r>
          </w:p>
          <w:p w14:paraId="183115B2">
            <w:pPr>
              <w:spacing w:line="480" w:lineRule="atLeast"/>
              <w:jc w:val="center"/>
              <w:rPr>
                <w:b/>
                <w:bCs/>
                <w:iCs/>
                <w:color w:val="000000"/>
                <w:sz w:val="24"/>
                <w:szCs w:val="24"/>
              </w:rPr>
            </w:pPr>
            <w:r>
              <w:rPr>
                <w:b/>
                <w:bCs/>
                <w:iCs/>
                <w:color w:val="000000"/>
                <w:sz w:val="24"/>
                <w:szCs w:val="24"/>
              </w:rPr>
              <w:t>名称</w:t>
            </w:r>
          </w:p>
        </w:tc>
        <w:tc>
          <w:tcPr>
            <w:tcW w:w="7087" w:type="dxa"/>
            <w:vAlign w:val="center"/>
          </w:tcPr>
          <w:p w14:paraId="2E1A03EA">
            <w:pPr>
              <w:widowControl/>
              <w:spacing w:line="360" w:lineRule="auto"/>
              <w:jc w:val="left"/>
              <w:rPr>
                <w:rFonts w:hint="default" w:eastAsia="宋体"/>
                <w:bCs/>
                <w:iCs/>
                <w:color w:val="000000"/>
                <w:sz w:val="24"/>
                <w:szCs w:val="24"/>
                <w:lang w:val="en-US" w:eastAsia="zh-CN"/>
              </w:rPr>
            </w:pPr>
            <w:r>
              <w:rPr>
                <w:rFonts w:hint="eastAsia"/>
                <w:bCs/>
                <w:iCs/>
                <w:color w:val="000000"/>
                <w:sz w:val="24"/>
                <w:szCs w:val="24"/>
                <w:lang w:val="en-US" w:eastAsia="zh-CN"/>
              </w:rPr>
              <w:t>互联智道投资管理（深圳）有限公司、言行私募证券投资基金管理（广州）有限公司、佳许盈海(上海)私募基金管理有限公司、上海华鑫股份有限公司等</w:t>
            </w:r>
          </w:p>
        </w:tc>
      </w:tr>
      <w:tr w14:paraId="45C3D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39205418">
            <w:pPr>
              <w:spacing w:line="480" w:lineRule="atLeast"/>
              <w:jc w:val="center"/>
              <w:rPr>
                <w:b/>
                <w:bCs/>
                <w:iCs/>
                <w:color w:val="000000"/>
                <w:sz w:val="24"/>
                <w:szCs w:val="24"/>
              </w:rPr>
            </w:pPr>
            <w:r>
              <w:rPr>
                <w:b/>
                <w:bCs/>
                <w:iCs/>
                <w:color w:val="000000"/>
                <w:sz w:val="24"/>
                <w:szCs w:val="24"/>
              </w:rPr>
              <w:t>时  间</w:t>
            </w:r>
          </w:p>
        </w:tc>
        <w:tc>
          <w:tcPr>
            <w:tcW w:w="7087" w:type="dxa"/>
            <w:vAlign w:val="center"/>
          </w:tcPr>
          <w:p w14:paraId="2846F8CF">
            <w:pPr>
              <w:spacing w:line="480" w:lineRule="atLeast"/>
              <w:rPr>
                <w:bCs/>
                <w:iCs/>
                <w:color w:val="000000"/>
                <w:sz w:val="24"/>
                <w:szCs w:val="24"/>
              </w:rPr>
            </w:pPr>
            <w:r>
              <w:rPr>
                <w:bCs/>
                <w:iCs/>
                <w:color w:val="000000"/>
                <w:sz w:val="24"/>
                <w:szCs w:val="24"/>
              </w:rPr>
              <w:t>2024年0</w:t>
            </w:r>
            <w:r>
              <w:rPr>
                <w:rFonts w:hint="eastAsia"/>
                <w:bCs/>
                <w:iCs/>
                <w:color w:val="000000"/>
                <w:sz w:val="24"/>
                <w:szCs w:val="24"/>
                <w:lang w:val="en-US" w:eastAsia="zh-CN"/>
              </w:rPr>
              <w:t>9</w:t>
            </w:r>
            <w:r>
              <w:rPr>
                <w:bCs/>
                <w:iCs/>
                <w:color w:val="000000"/>
                <w:sz w:val="24"/>
                <w:szCs w:val="24"/>
              </w:rPr>
              <w:t>月</w:t>
            </w:r>
            <w:r>
              <w:rPr>
                <w:rFonts w:hint="eastAsia"/>
                <w:bCs/>
                <w:iCs/>
                <w:color w:val="000000"/>
                <w:sz w:val="24"/>
                <w:szCs w:val="24"/>
                <w:lang w:val="en-US" w:eastAsia="zh-CN"/>
              </w:rPr>
              <w:t>02</w:t>
            </w:r>
            <w:r>
              <w:rPr>
                <w:bCs/>
                <w:iCs/>
                <w:color w:val="000000"/>
                <w:sz w:val="24"/>
                <w:szCs w:val="24"/>
              </w:rPr>
              <w:t>日</w:t>
            </w:r>
            <w:r>
              <w:rPr>
                <w:rFonts w:hint="eastAsia"/>
                <w:bCs/>
                <w:iCs/>
                <w:color w:val="000000"/>
                <w:sz w:val="24"/>
                <w:szCs w:val="24"/>
                <w:lang w:eastAsia="zh-CN"/>
              </w:rPr>
              <w:t>、</w:t>
            </w:r>
            <w:r>
              <w:rPr>
                <w:bCs/>
                <w:iCs/>
                <w:color w:val="000000"/>
                <w:sz w:val="24"/>
                <w:szCs w:val="24"/>
              </w:rPr>
              <w:t>2024年0</w:t>
            </w:r>
            <w:r>
              <w:rPr>
                <w:rFonts w:hint="eastAsia"/>
                <w:bCs/>
                <w:iCs/>
                <w:color w:val="000000"/>
                <w:sz w:val="24"/>
                <w:szCs w:val="24"/>
                <w:lang w:val="en-US" w:eastAsia="zh-CN"/>
              </w:rPr>
              <w:t>9</w:t>
            </w:r>
            <w:r>
              <w:rPr>
                <w:bCs/>
                <w:iCs/>
                <w:color w:val="000000"/>
                <w:sz w:val="24"/>
                <w:szCs w:val="24"/>
              </w:rPr>
              <w:t>月</w:t>
            </w:r>
            <w:r>
              <w:rPr>
                <w:rFonts w:hint="eastAsia"/>
                <w:bCs/>
                <w:iCs/>
                <w:color w:val="000000"/>
                <w:sz w:val="24"/>
                <w:szCs w:val="24"/>
                <w:lang w:val="en-US" w:eastAsia="zh-CN"/>
              </w:rPr>
              <w:t>11</w:t>
            </w:r>
            <w:r>
              <w:rPr>
                <w:bCs/>
                <w:iCs/>
                <w:color w:val="000000"/>
                <w:sz w:val="24"/>
                <w:szCs w:val="24"/>
              </w:rPr>
              <w:t>日</w:t>
            </w:r>
          </w:p>
        </w:tc>
      </w:tr>
      <w:tr w14:paraId="57B05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05851EE0">
            <w:pPr>
              <w:spacing w:line="480" w:lineRule="atLeast"/>
              <w:jc w:val="center"/>
              <w:rPr>
                <w:b/>
                <w:bCs/>
                <w:iCs/>
                <w:color w:val="000000"/>
                <w:sz w:val="24"/>
                <w:szCs w:val="24"/>
              </w:rPr>
            </w:pPr>
            <w:r>
              <w:rPr>
                <w:b/>
                <w:bCs/>
                <w:iCs/>
                <w:color w:val="000000"/>
                <w:sz w:val="24"/>
                <w:szCs w:val="24"/>
              </w:rPr>
              <w:t>地  点</w:t>
            </w:r>
          </w:p>
        </w:tc>
        <w:tc>
          <w:tcPr>
            <w:tcW w:w="7087" w:type="dxa"/>
            <w:vAlign w:val="center"/>
          </w:tcPr>
          <w:p w14:paraId="5EFE2A79">
            <w:pPr>
              <w:spacing w:line="480" w:lineRule="atLeast"/>
              <w:rPr>
                <w:rFonts w:hint="default" w:eastAsia="宋体"/>
                <w:bCs/>
                <w:iCs/>
                <w:color w:val="000000"/>
                <w:sz w:val="24"/>
                <w:szCs w:val="24"/>
                <w:lang w:val="en-US" w:eastAsia="zh-CN"/>
              </w:rPr>
            </w:pPr>
            <w:r>
              <w:rPr>
                <w:rFonts w:hint="eastAsia"/>
                <w:bCs/>
                <w:iCs/>
                <w:color w:val="000000"/>
                <w:sz w:val="24"/>
                <w:szCs w:val="24"/>
                <w:lang w:val="en-US" w:eastAsia="zh-CN"/>
              </w:rPr>
              <w:t>公司会议室</w:t>
            </w:r>
          </w:p>
        </w:tc>
      </w:tr>
      <w:tr w14:paraId="73B49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526" w:type="dxa"/>
            <w:vAlign w:val="center"/>
          </w:tcPr>
          <w:p w14:paraId="244D1296">
            <w:pPr>
              <w:spacing w:line="480" w:lineRule="atLeast"/>
              <w:jc w:val="center"/>
              <w:rPr>
                <w:b/>
                <w:bCs/>
                <w:iCs/>
                <w:color w:val="000000"/>
                <w:sz w:val="24"/>
                <w:szCs w:val="24"/>
              </w:rPr>
            </w:pPr>
            <w:r>
              <w:rPr>
                <w:b/>
                <w:bCs/>
                <w:iCs/>
                <w:color w:val="000000"/>
                <w:sz w:val="24"/>
                <w:szCs w:val="24"/>
              </w:rPr>
              <w:t>上市公司接待人员姓名</w:t>
            </w:r>
          </w:p>
        </w:tc>
        <w:tc>
          <w:tcPr>
            <w:tcW w:w="7087" w:type="dxa"/>
            <w:vAlign w:val="center"/>
          </w:tcPr>
          <w:p w14:paraId="082ECBD5">
            <w:pPr>
              <w:spacing w:line="480" w:lineRule="atLeast"/>
              <w:rPr>
                <w:bCs/>
                <w:iCs/>
                <w:color w:val="000000"/>
                <w:sz w:val="24"/>
                <w:szCs w:val="24"/>
              </w:rPr>
            </w:pPr>
            <w:r>
              <w:rPr>
                <w:bCs/>
                <w:iCs/>
                <w:color w:val="000000"/>
                <w:sz w:val="24"/>
                <w:szCs w:val="24"/>
              </w:rPr>
              <w:t>董事会秘书：刘林</w:t>
            </w:r>
          </w:p>
          <w:p w14:paraId="4D77BDA6">
            <w:pPr>
              <w:spacing w:line="480" w:lineRule="atLeast"/>
              <w:rPr>
                <w:rFonts w:hint="default" w:eastAsia="宋体"/>
                <w:bCs/>
                <w:iCs/>
                <w:color w:val="000000"/>
                <w:sz w:val="24"/>
                <w:szCs w:val="24"/>
                <w:lang w:val="en-US" w:eastAsia="zh-CN"/>
              </w:rPr>
            </w:pPr>
            <w:r>
              <w:rPr>
                <w:rFonts w:hint="eastAsia"/>
                <w:bCs/>
                <w:iCs/>
                <w:color w:val="000000"/>
                <w:sz w:val="24"/>
                <w:szCs w:val="24"/>
                <w:lang w:val="en-US" w:eastAsia="zh-CN"/>
              </w:rPr>
              <w:t>财务总监：赵红云</w:t>
            </w:r>
          </w:p>
          <w:p w14:paraId="095096C4">
            <w:pPr>
              <w:spacing w:line="480" w:lineRule="atLeast"/>
              <w:rPr>
                <w:bCs/>
                <w:iCs/>
                <w:color w:val="000000"/>
                <w:sz w:val="24"/>
                <w:szCs w:val="24"/>
              </w:rPr>
            </w:pPr>
            <w:r>
              <w:rPr>
                <w:bCs/>
                <w:iCs/>
                <w:color w:val="000000"/>
                <w:sz w:val="24"/>
                <w:szCs w:val="24"/>
              </w:rPr>
              <w:t>证券事务代表：林夏婷</w:t>
            </w:r>
          </w:p>
        </w:tc>
      </w:tr>
      <w:tr w14:paraId="1EF4B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526" w:type="dxa"/>
            <w:vAlign w:val="center"/>
          </w:tcPr>
          <w:p w14:paraId="72052A89">
            <w:pPr>
              <w:spacing w:line="480" w:lineRule="atLeast"/>
              <w:rPr>
                <w:b/>
                <w:bCs/>
                <w:iCs/>
                <w:color w:val="000000"/>
                <w:sz w:val="24"/>
                <w:szCs w:val="24"/>
              </w:rPr>
            </w:pPr>
            <w:r>
              <w:rPr>
                <w:b/>
                <w:bCs/>
                <w:iCs/>
                <w:color w:val="000000"/>
                <w:sz w:val="24"/>
                <w:szCs w:val="24"/>
              </w:rPr>
              <w:t>投资者关系活动主要内容介绍</w:t>
            </w:r>
          </w:p>
        </w:tc>
        <w:tc>
          <w:tcPr>
            <w:tcW w:w="7087" w:type="dxa"/>
          </w:tcPr>
          <w:p w14:paraId="1D508086">
            <w:pPr>
              <w:snapToGrid w:val="0"/>
              <w:spacing w:line="360" w:lineRule="auto"/>
              <w:ind w:firstLine="482" w:firstLineChars="200"/>
              <w:rPr>
                <w:b/>
                <w:iCs/>
                <w:color w:val="000000"/>
                <w:sz w:val="24"/>
                <w:szCs w:val="24"/>
                <w:lang w:eastAsia="zh-Hans"/>
              </w:rPr>
            </w:pPr>
            <w:r>
              <w:rPr>
                <w:b/>
                <w:iCs/>
                <w:color w:val="000000"/>
                <w:sz w:val="24"/>
                <w:szCs w:val="24"/>
                <w:lang w:eastAsia="zh-Hans"/>
              </w:rPr>
              <w:t>问</w:t>
            </w:r>
            <w:r>
              <w:rPr>
                <w:b/>
                <w:iCs/>
                <w:color w:val="000000"/>
                <w:sz w:val="24"/>
                <w:szCs w:val="24"/>
              </w:rPr>
              <w:t>1</w:t>
            </w:r>
            <w:r>
              <w:rPr>
                <w:b/>
                <w:iCs/>
                <w:color w:val="000000"/>
                <w:sz w:val="24"/>
                <w:szCs w:val="24"/>
                <w:lang w:eastAsia="zh-Hans"/>
              </w:rPr>
              <w:t>：</w:t>
            </w:r>
            <w:r>
              <w:rPr>
                <w:rFonts w:hint="eastAsia"/>
                <w:b/>
                <w:iCs/>
                <w:color w:val="000000"/>
                <w:sz w:val="24"/>
                <w:szCs w:val="24"/>
                <w:lang w:eastAsia="zh-Hans"/>
              </w:rPr>
              <w:t>海外市场收入有起色，请问在海外布局扩张的策略是什么</w:t>
            </w:r>
            <w:r>
              <w:rPr>
                <w:b/>
                <w:iCs/>
                <w:color w:val="000000"/>
                <w:sz w:val="24"/>
                <w:szCs w:val="24"/>
                <w:lang w:eastAsia="zh-Hans"/>
              </w:rPr>
              <w:t>？</w:t>
            </w:r>
          </w:p>
          <w:p w14:paraId="2AB1EF6F">
            <w:pPr>
              <w:snapToGrid w:val="0"/>
              <w:spacing w:line="360" w:lineRule="auto"/>
              <w:ind w:firstLine="482" w:firstLineChars="200"/>
              <w:rPr>
                <w:bCs/>
                <w:iCs/>
                <w:color w:val="000000"/>
                <w:sz w:val="24"/>
                <w:szCs w:val="24"/>
              </w:rPr>
            </w:pPr>
            <w:r>
              <w:rPr>
                <w:b/>
                <w:iCs/>
                <w:color w:val="000000"/>
                <w:sz w:val="24"/>
                <w:szCs w:val="24"/>
                <w:lang w:eastAsia="zh-Hans"/>
              </w:rPr>
              <w:t>答：</w:t>
            </w:r>
            <w:r>
              <w:rPr>
                <w:rFonts w:hint="eastAsia"/>
                <w:bCs/>
                <w:iCs/>
                <w:color w:val="000000"/>
                <w:sz w:val="24"/>
                <w:szCs w:val="24"/>
                <w:lang w:eastAsia="zh-Hans"/>
              </w:rPr>
              <w:t>公司设立了海外销售部以拓展海外业务，通过线上与线下双渠销售模式共同推进海外业务发展。线下渠道方面，公司在主要业务区域设立子公司以辅助海外线下渠道的开拓与发展；线上渠道方面，公司成功布局了亚马逊、美国独立站、东南亚的虾皮和LAZADA等高速增长的海外电商平台，充分利用了电子商务的便捷性和覆盖面，以更好、更全面地服务海外客户。</w:t>
            </w:r>
          </w:p>
          <w:p w14:paraId="2D72D6EF">
            <w:pPr>
              <w:snapToGrid w:val="0"/>
              <w:spacing w:line="360" w:lineRule="auto"/>
              <w:ind w:firstLine="482" w:firstLineChars="200"/>
              <w:rPr>
                <w:b/>
                <w:iCs/>
                <w:color w:val="000000"/>
                <w:sz w:val="24"/>
                <w:szCs w:val="24"/>
              </w:rPr>
            </w:pPr>
            <w:r>
              <w:rPr>
                <w:b/>
                <w:iCs/>
                <w:color w:val="000000"/>
                <w:sz w:val="24"/>
                <w:szCs w:val="24"/>
                <w:lang w:eastAsia="zh-Hans"/>
              </w:rPr>
              <w:t>问2：</w:t>
            </w:r>
            <w:r>
              <w:rPr>
                <w:rFonts w:hint="eastAsia"/>
                <w:b/>
                <w:iCs/>
                <w:color w:val="000000"/>
                <w:sz w:val="24"/>
                <w:szCs w:val="24"/>
                <w:lang w:eastAsia="zh-Hans"/>
              </w:rPr>
              <w:t>关于公司毛利率同比有提升，未来毛利率</w:t>
            </w:r>
            <w:r>
              <w:rPr>
                <w:rFonts w:hint="eastAsia"/>
                <w:b/>
                <w:iCs/>
                <w:color w:val="000000"/>
                <w:sz w:val="24"/>
                <w:szCs w:val="24"/>
                <w:lang w:val="en-US" w:eastAsia="zh-CN"/>
              </w:rPr>
              <w:t>如何规划，空间有多大</w:t>
            </w:r>
            <w:r>
              <w:rPr>
                <w:b/>
                <w:iCs/>
                <w:color w:val="000000"/>
                <w:sz w:val="24"/>
                <w:szCs w:val="24"/>
                <w:lang w:eastAsia="zh-Hans"/>
              </w:rPr>
              <w:t>？</w:t>
            </w:r>
          </w:p>
          <w:p w14:paraId="40087165">
            <w:pPr>
              <w:spacing w:before="50" w:after="50" w:line="360" w:lineRule="auto"/>
              <w:ind w:firstLine="482" w:firstLineChars="200"/>
              <w:rPr>
                <w:rFonts w:hint="eastAsia"/>
                <w:bCs/>
                <w:iCs/>
                <w:color w:val="000000"/>
                <w:sz w:val="24"/>
                <w:szCs w:val="24"/>
                <w:lang w:eastAsia="zh-Hans"/>
              </w:rPr>
            </w:pPr>
            <w:r>
              <w:rPr>
                <w:b/>
                <w:iCs/>
                <w:color w:val="000000"/>
                <w:sz w:val="24"/>
                <w:szCs w:val="24"/>
                <w:lang w:eastAsia="zh-Hans"/>
              </w:rPr>
              <w:t>答：</w:t>
            </w:r>
            <w:r>
              <w:rPr>
                <w:b/>
                <w:iCs/>
                <w:color w:val="000000"/>
                <w:sz w:val="24"/>
                <w:szCs w:val="24"/>
              </w:rPr>
              <w:t xml:space="preserve"> </w:t>
            </w:r>
            <w:r>
              <w:rPr>
                <w:rFonts w:hint="eastAsia"/>
                <w:bCs/>
                <w:iCs/>
                <w:color w:val="000000"/>
                <w:sz w:val="24"/>
                <w:szCs w:val="24"/>
                <w:lang w:eastAsia="zh-Hans"/>
              </w:rPr>
              <w:t>公司整体毛利率同比有一定增幅，主要是因为公司价格体系实施了更加科学精准调整，以及进一步优化降低公司产品生产成本。未来公司会继续不断地进行产品升级迭代与创新等多种措施，来维持产品毛利率与产品竞争力。</w:t>
            </w:r>
          </w:p>
          <w:p w14:paraId="46C224E5">
            <w:pPr>
              <w:snapToGrid w:val="0"/>
              <w:spacing w:line="360" w:lineRule="auto"/>
              <w:ind w:firstLine="482" w:firstLineChars="200"/>
              <w:rPr>
                <w:b/>
                <w:iCs/>
                <w:color w:val="000000"/>
                <w:sz w:val="24"/>
                <w:szCs w:val="24"/>
              </w:rPr>
            </w:pPr>
            <w:r>
              <w:rPr>
                <w:b/>
                <w:iCs/>
                <w:color w:val="000000"/>
                <w:sz w:val="24"/>
                <w:szCs w:val="24"/>
                <w:lang w:eastAsia="zh-Hans"/>
              </w:rPr>
              <w:t>问3：</w:t>
            </w:r>
            <w:r>
              <w:rPr>
                <w:rFonts w:hint="eastAsia"/>
                <w:b/>
                <w:iCs/>
                <w:color w:val="000000"/>
                <w:sz w:val="24"/>
                <w:szCs w:val="24"/>
                <w:lang w:val="en-US" w:eastAsia="zh-CN"/>
              </w:rPr>
              <w:t>全年</w:t>
            </w:r>
            <w:r>
              <w:rPr>
                <w:rFonts w:hint="eastAsia"/>
                <w:b/>
                <w:iCs/>
                <w:color w:val="000000"/>
                <w:sz w:val="24"/>
                <w:szCs w:val="24"/>
                <w:lang w:eastAsia="zh-Hans"/>
              </w:rPr>
              <w:t>的新品推出情况如何？</w:t>
            </w:r>
          </w:p>
          <w:p w14:paraId="7621C58C">
            <w:pPr>
              <w:snapToGrid w:val="0"/>
              <w:spacing w:line="360" w:lineRule="auto"/>
              <w:ind w:firstLine="482" w:firstLineChars="200"/>
              <w:rPr>
                <w:rFonts w:hint="eastAsia"/>
                <w:bCs/>
                <w:iCs/>
                <w:color w:val="000000"/>
                <w:sz w:val="24"/>
                <w:szCs w:val="24"/>
                <w:lang w:eastAsia="zh-Hans"/>
              </w:rPr>
            </w:pPr>
            <w:r>
              <w:rPr>
                <w:b/>
                <w:iCs/>
                <w:color w:val="000000"/>
                <w:sz w:val="24"/>
                <w:szCs w:val="24"/>
                <w:lang w:eastAsia="zh-Hans"/>
              </w:rPr>
              <w:t>答：</w:t>
            </w:r>
            <w:r>
              <w:rPr>
                <w:rFonts w:hint="eastAsia"/>
                <w:bCs/>
                <w:iCs/>
                <w:color w:val="000000"/>
                <w:sz w:val="24"/>
                <w:szCs w:val="24"/>
                <w:lang w:eastAsia="zh-Hans"/>
              </w:rPr>
              <w:t>2024年上半年，公司研发投入持续加强，推出了一系列创新且多样化的新品。公司陆续推出了包括Scalp 3S、N6 mini、Z6强力开肩按摩器、膝部按摩器 X2、See 7冷热眼部按摩器、美肌经络仪、大路灯 L8 Pro等十逾款新品，为用户带来了更加丰富和个性化的消费体验，获得了市场的广泛认可和积极反馈。</w:t>
            </w:r>
          </w:p>
          <w:p w14:paraId="3C2D1537">
            <w:pPr>
              <w:snapToGrid w:val="0"/>
              <w:spacing w:line="360" w:lineRule="auto"/>
              <w:ind w:firstLine="480" w:firstLineChars="200"/>
              <w:rPr>
                <w:b/>
                <w:iCs/>
                <w:color w:val="000000"/>
                <w:sz w:val="24"/>
                <w:szCs w:val="24"/>
              </w:rPr>
            </w:pPr>
            <w:r>
              <w:rPr>
                <w:rFonts w:hint="eastAsia"/>
                <w:bCs/>
                <w:iCs/>
                <w:color w:val="000000"/>
                <w:sz w:val="24"/>
                <w:szCs w:val="24"/>
                <w:lang w:val="en-US" w:eastAsia="zh-CN"/>
              </w:rPr>
              <w:t>2024年下半年，公司预计会持续推出更多新的产品，同时部分现有产品也会有新的迭代升级。后续敬请投资者关注相关新品上市</w:t>
            </w:r>
            <w:r>
              <w:rPr>
                <w:bCs/>
                <w:iCs/>
                <w:color w:val="000000"/>
                <w:sz w:val="24"/>
                <w:szCs w:val="24"/>
              </w:rPr>
              <w:t>。</w:t>
            </w:r>
          </w:p>
          <w:p w14:paraId="2893AEA2">
            <w:pPr>
              <w:snapToGrid w:val="0"/>
              <w:spacing w:line="360" w:lineRule="auto"/>
              <w:ind w:firstLine="482" w:firstLineChars="200"/>
              <w:rPr>
                <w:b/>
                <w:iCs/>
                <w:color w:val="000000"/>
                <w:sz w:val="24"/>
                <w:szCs w:val="24"/>
                <w:lang w:eastAsia="zh-Hans"/>
              </w:rPr>
            </w:pPr>
            <w:r>
              <w:rPr>
                <w:b/>
                <w:iCs/>
                <w:color w:val="000000"/>
                <w:sz w:val="24"/>
                <w:szCs w:val="24"/>
                <w:lang w:eastAsia="zh-Hans"/>
              </w:rPr>
              <w:t>问</w:t>
            </w:r>
            <w:r>
              <w:rPr>
                <w:b/>
                <w:iCs/>
                <w:color w:val="000000"/>
                <w:sz w:val="24"/>
                <w:szCs w:val="24"/>
              </w:rPr>
              <w:t>4</w:t>
            </w:r>
            <w:r>
              <w:rPr>
                <w:b/>
                <w:iCs/>
                <w:color w:val="000000"/>
                <w:sz w:val="24"/>
                <w:szCs w:val="24"/>
                <w:lang w:eastAsia="zh-Hans"/>
              </w:rPr>
              <w:t>：</w:t>
            </w:r>
            <w:r>
              <w:rPr>
                <w:rFonts w:hint="eastAsia"/>
                <w:b/>
                <w:iCs/>
                <w:color w:val="000000"/>
                <w:sz w:val="24"/>
                <w:szCs w:val="24"/>
                <w:lang w:val="en-US" w:eastAsia="zh-CN"/>
              </w:rPr>
              <w:t>公司是否有脑机接口业务布局？或者和其他公司合作脑机接口</w:t>
            </w:r>
            <w:r>
              <w:rPr>
                <w:b/>
                <w:iCs/>
                <w:color w:val="000000"/>
                <w:sz w:val="24"/>
                <w:szCs w:val="24"/>
              </w:rPr>
              <w:t>？</w:t>
            </w:r>
          </w:p>
          <w:p w14:paraId="319AF476">
            <w:pPr>
              <w:snapToGrid w:val="0"/>
              <w:spacing w:line="360" w:lineRule="auto"/>
              <w:ind w:firstLine="482" w:firstLineChars="200"/>
              <w:rPr>
                <w:bCs/>
                <w:iCs/>
                <w:color w:val="000000"/>
                <w:sz w:val="24"/>
                <w:szCs w:val="24"/>
              </w:rPr>
            </w:pPr>
            <w:r>
              <w:rPr>
                <w:b/>
                <w:iCs/>
                <w:color w:val="000000"/>
                <w:sz w:val="24"/>
                <w:szCs w:val="24"/>
                <w:lang w:eastAsia="zh-Hans"/>
              </w:rPr>
              <w:t>答：</w:t>
            </w:r>
            <w:r>
              <w:rPr>
                <w:rFonts w:hint="eastAsia"/>
                <w:bCs/>
                <w:iCs/>
                <w:color w:val="000000"/>
                <w:sz w:val="24"/>
                <w:szCs w:val="24"/>
                <w:lang w:eastAsia="zh-Hans"/>
              </w:rPr>
              <w:t>公司一直坚定以中医为核心，做对人类健康有影响力的事。公司历经这些年的发展，逐步形成了自</w:t>
            </w:r>
            <w:bookmarkStart w:id="0" w:name="_GoBack"/>
            <w:bookmarkEnd w:id="0"/>
            <w:r>
              <w:rPr>
                <w:rFonts w:hint="eastAsia"/>
                <w:bCs/>
                <w:iCs/>
                <w:color w:val="000000"/>
                <w:sz w:val="24"/>
                <w:szCs w:val="24"/>
                <w:lang w:eastAsia="zh-Hans"/>
              </w:rPr>
              <w:t>己的中医AI小模型，未来也将逐步探索中医AI大模型。相关产品也基于此有所突破，例如与相关科研院所联合开发的带有脑电波检测仪的头部按摩器等产品就应用到了大数据算法模型</w:t>
            </w:r>
            <w:r>
              <w:rPr>
                <w:bCs/>
                <w:iCs/>
                <w:color w:val="000000"/>
                <w:sz w:val="24"/>
                <w:szCs w:val="24"/>
              </w:rPr>
              <w:t>。</w:t>
            </w:r>
          </w:p>
          <w:p w14:paraId="256E991D">
            <w:pPr>
              <w:snapToGrid w:val="0"/>
              <w:spacing w:line="360" w:lineRule="auto"/>
              <w:ind w:firstLine="480" w:firstLineChars="200"/>
              <w:rPr>
                <w:bCs/>
                <w:iCs/>
                <w:color w:val="000000"/>
                <w:sz w:val="24"/>
                <w:szCs w:val="24"/>
              </w:rPr>
            </w:pPr>
          </w:p>
        </w:tc>
      </w:tr>
      <w:tr w14:paraId="6C99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526" w:type="dxa"/>
            <w:vAlign w:val="center"/>
          </w:tcPr>
          <w:p w14:paraId="2CE27E75">
            <w:pPr>
              <w:spacing w:line="480" w:lineRule="atLeast"/>
              <w:rPr>
                <w:b/>
                <w:bCs/>
                <w:iCs/>
                <w:color w:val="000000"/>
                <w:sz w:val="24"/>
                <w:szCs w:val="24"/>
              </w:rPr>
            </w:pPr>
            <w:r>
              <w:rPr>
                <w:b/>
                <w:bCs/>
                <w:iCs/>
                <w:color w:val="000000"/>
                <w:sz w:val="24"/>
                <w:szCs w:val="24"/>
              </w:rPr>
              <w:t>附件清单（如有）</w:t>
            </w:r>
          </w:p>
        </w:tc>
        <w:tc>
          <w:tcPr>
            <w:tcW w:w="7087" w:type="dxa"/>
          </w:tcPr>
          <w:p w14:paraId="081A1B62">
            <w:pPr>
              <w:spacing w:line="480" w:lineRule="atLeast"/>
              <w:rPr>
                <w:bCs/>
                <w:iCs/>
                <w:color w:val="000000"/>
                <w:sz w:val="24"/>
                <w:szCs w:val="24"/>
              </w:rPr>
            </w:pPr>
            <w:r>
              <w:rPr>
                <w:bCs/>
                <w:iCs/>
                <w:color w:val="000000"/>
                <w:sz w:val="24"/>
                <w:szCs w:val="24"/>
              </w:rPr>
              <w:t>无</w:t>
            </w:r>
          </w:p>
        </w:tc>
      </w:tr>
    </w:tbl>
    <w:p w14:paraId="4E39A2E2">
      <w:pPr>
        <w:spacing w:line="480" w:lineRule="atLeast"/>
        <w:rPr>
          <w:sz w:val="24"/>
          <w:szCs w:val="24"/>
        </w:rPr>
      </w:pPr>
    </w:p>
    <w:p w14:paraId="0D9C7EC9">
      <w:pPr>
        <w:spacing w:line="480" w:lineRule="atLeast"/>
      </w:pPr>
    </w:p>
    <w:sectPr>
      <w:footerReference r:id="rId3" w:type="default"/>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8E141">
    <w:pPr>
      <w:pStyle w:val="3"/>
      <w:jc w:val="center"/>
    </w:pPr>
    <w:r>
      <w:rPr>
        <w:rStyle w:val="10"/>
      </w:rPr>
      <w:fldChar w:fldCharType="begin"/>
    </w:r>
    <w:r>
      <w:rPr>
        <w:rStyle w:val="10"/>
      </w:rPr>
      <w:instrText xml:space="preserve"> PAGE </w:instrText>
    </w:r>
    <w:r>
      <w:rPr>
        <w:rStyle w:val="10"/>
      </w:rPr>
      <w:fldChar w:fldCharType="separate"/>
    </w:r>
    <w:r>
      <w:rPr>
        <w:rStyle w:val="10"/>
      </w:rPr>
      <w:t>1</w:t>
    </w:r>
    <w:r>
      <w:rPr>
        <w:rStyle w:val="10"/>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5MDI4M2QxOWM1MjQ0ODBiNzM1MDE0NzRiMmU1MDYifQ=="/>
  </w:docVars>
  <w:rsids>
    <w:rsidRoot w:val="00172A27"/>
    <w:rsid w:val="00007FA2"/>
    <w:rsid w:val="00014E56"/>
    <w:rsid w:val="00033280"/>
    <w:rsid w:val="000339D2"/>
    <w:rsid w:val="00055846"/>
    <w:rsid w:val="00060930"/>
    <w:rsid w:val="00075C98"/>
    <w:rsid w:val="000843E5"/>
    <w:rsid w:val="000B64CF"/>
    <w:rsid w:val="000B7A4F"/>
    <w:rsid w:val="000C40C7"/>
    <w:rsid w:val="000D580D"/>
    <w:rsid w:val="000E221F"/>
    <w:rsid w:val="000E3E2A"/>
    <w:rsid w:val="000E4652"/>
    <w:rsid w:val="000E7713"/>
    <w:rsid w:val="000F0BB0"/>
    <w:rsid w:val="000F5CC1"/>
    <w:rsid w:val="000F6467"/>
    <w:rsid w:val="0010717F"/>
    <w:rsid w:val="001145CE"/>
    <w:rsid w:val="00114FBE"/>
    <w:rsid w:val="00115106"/>
    <w:rsid w:val="00117012"/>
    <w:rsid w:val="001263CA"/>
    <w:rsid w:val="00140CED"/>
    <w:rsid w:val="00147E51"/>
    <w:rsid w:val="00165B75"/>
    <w:rsid w:val="00166D29"/>
    <w:rsid w:val="0017142F"/>
    <w:rsid w:val="00172A27"/>
    <w:rsid w:val="00174E61"/>
    <w:rsid w:val="00184288"/>
    <w:rsid w:val="001A67A1"/>
    <w:rsid w:val="001C413B"/>
    <w:rsid w:val="001D1FF5"/>
    <w:rsid w:val="001D5C41"/>
    <w:rsid w:val="001D5D67"/>
    <w:rsid w:val="001E1699"/>
    <w:rsid w:val="001E31A9"/>
    <w:rsid w:val="001E53C9"/>
    <w:rsid w:val="00207B5E"/>
    <w:rsid w:val="00212EA1"/>
    <w:rsid w:val="0024044D"/>
    <w:rsid w:val="002422BE"/>
    <w:rsid w:val="00254E9F"/>
    <w:rsid w:val="0026070F"/>
    <w:rsid w:val="00264E86"/>
    <w:rsid w:val="0028462D"/>
    <w:rsid w:val="002B1903"/>
    <w:rsid w:val="002C6D2F"/>
    <w:rsid w:val="00302D08"/>
    <w:rsid w:val="00314FD5"/>
    <w:rsid w:val="003374A3"/>
    <w:rsid w:val="00346B85"/>
    <w:rsid w:val="00350EC7"/>
    <w:rsid w:val="00362EAF"/>
    <w:rsid w:val="003A4F18"/>
    <w:rsid w:val="003B3132"/>
    <w:rsid w:val="003C6540"/>
    <w:rsid w:val="003E4369"/>
    <w:rsid w:val="003E6FB7"/>
    <w:rsid w:val="003F3FDE"/>
    <w:rsid w:val="00427F5E"/>
    <w:rsid w:val="00435066"/>
    <w:rsid w:val="00453A1E"/>
    <w:rsid w:val="0047657D"/>
    <w:rsid w:val="004A51DD"/>
    <w:rsid w:val="004A524B"/>
    <w:rsid w:val="004D4D3D"/>
    <w:rsid w:val="004E2617"/>
    <w:rsid w:val="004E3F77"/>
    <w:rsid w:val="004E6447"/>
    <w:rsid w:val="004F777F"/>
    <w:rsid w:val="00501FD8"/>
    <w:rsid w:val="0051067B"/>
    <w:rsid w:val="0051391E"/>
    <w:rsid w:val="005151AC"/>
    <w:rsid w:val="00534FCA"/>
    <w:rsid w:val="0055347E"/>
    <w:rsid w:val="00580F88"/>
    <w:rsid w:val="005A237F"/>
    <w:rsid w:val="005A267D"/>
    <w:rsid w:val="005D3C70"/>
    <w:rsid w:val="005E30DB"/>
    <w:rsid w:val="00622216"/>
    <w:rsid w:val="00631122"/>
    <w:rsid w:val="00640EDB"/>
    <w:rsid w:val="00646261"/>
    <w:rsid w:val="006728DB"/>
    <w:rsid w:val="00683FED"/>
    <w:rsid w:val="006A0B47"/>
    <w:rsid w:val="006B164F"/>
    <w:rsid w:val="006B71C8"/>
    <w:rsid w:val="006C1C46"/>
    <w:rsid w:val="006F4816"/>
    <w:rsid w:val="007063C7"/>
    <w:rsid w:val="00706C3C"/>
    <w:rsid w:val="007238C1"/>
    <w:rsid w:val="00724126"/>
    <w:rsid w:val="0076265E"/>
    <w:rsid w:val="00762C4B"/>
    <w:rsid w:val="007755AC"/>
    <w:rsid w:val="0079116B"/>
    <w:rsid w:val="00796585"/>
    <w:rsid w:val="007B26FB"/>
    <w:rsid w:val="007C338F"/>
    <w:rsid w:val="007C352D"/>
    <w:rsid w:val="007C3F6C"/>
    <w:rsid w:val="007C6A5E"/>
    <w:rsid w:val="007E2CD7"/>
    <w:rsid w:val="00800036"/>
    <w:rsid w:val="00800873"/>
    <w:rsid w:val="00800DE3"/>
    <w:rsid w:val="00803640"/>
    <w:rsid w:val="008154BB"/>
    <w:rsid w:val="00816656"/>
    <w:rsid w:val="00820223"/>
    <w:rsid w:val="008361A9"/>
    <w:rsid w:val="008701C4"/>
    <w:rsid w:val="00887153"/>
    <w:rsid w:val="008D1938"/>
    <w:rsid w:val="008D7A2D"/>
    <w:rsid w:val="008E3052"/>
    <w:rsid w:val="00914631"/>
    <w:rsid w:val="009322A1"/>
    <w:rsid w:val="0093647E"/>
    <w:rsid w:val="00936881"/>
    <w:rsid w:val="009416D5"/>
    <w:rsid w:val="00942B29"/>
    <w:rsid w:val="00975582"/>
    <w:rsid w:val="009800B7"/>
    <w:rsid w:val="00981084"/>
    <w:rsid w:val="009A3F4B"/>
    <w:rsid w:val="009A677E"/>
    <w:rsid w:val="009A6A0C"/>
    <w:rsid w:val="009C2F99"/>
    <w:rsid w:val="009F0C4B"/>
    <w:rsid w:val="009F473E"/>
    <w:rsid w:val="00A05FE5"/>
    <w:rsid w:val="00A072BB"/>
    <w:rsid w:val="00A10CB5"/>
    <w:rsid w:val="00A2717A"/>
    <w:rsid w:val="00A315DE"/>
    <w:rsid w:val="00A6238D"/>
    <w:rsid w:val="00A633BF"/>
    <w:rsid w:val="00A642EA"/>
    <w:rsid w:val="00A657F9"/>
    <w:rsid w:val="00A8623C"/>
    <w:rsid w:val="00A902B1"/>
    <w:rsid w:val="00A95EE9"/>
    <w:rsid w:val="00AB3700"/>
    <w:rsid w:val="00AE13D6"/>
    <w:rsid w:val="00AF1B44"/>
    <w:rsid w:val="00AF6F79"/>
    <w:rsid w:val="00B009C0"/>
    <w:rsid w:val="00B009C4"/>
    <w:rsid w:val="00B0444A"/>
    <w:rsid w:val="00B049EC"/>
    <w:rsid w:val="00B15282"/>
    <w:rsid w:val="00B203F7"/>
    <w:rsid w:val="00B33532"/>
    <w:rsid w:val="00B40122"/>
    <w:rsid w:val="00B41E3A"/>
    <w:rsid w:val="00B47BD3"/>
    <w:rsid w:val="00B54F3B"/>
    <w:rsid w:val="00B8046E"/>
    <w:rsid w:val="00B81FB7"/>
    <w:rsid w:val="00BA0715"/>
    <w:rsid w:val="00BA7F0A"/>
    <w:rsid w:val="00BC0FCD"/>
    <w:rsid w:val="00BD4FCC"/>
    <w:rsid w:val="00BE00B5"/>
    <w:rsid w:val="00BE61DE"/>
    <w:rsid w:val="00BF3CF1"/>
    <w:rsid w:val="00C14413"/>
    <w:rsid w:val="00C20449"/>
    <w:rsid w:val="00C2138E"/>
    <w:rsid w:val="00C3326B"/>
    <w:rsid w:val="00C60143"/>
    <w:rsid w:val="00C65821"/>
    <w:rsid w:val="00C706FD"/>
    <w:rsid w:val="00CB11EA"/>
    <w:rsid w:val="00CB67C8"/>
    <w:rsid w:val="00CC3CFC"/>
    <w:rsid w:val="00CD3CE5"/>
    <w:rsid w:val="00CE1329"/>
    <w:rsid w:val="00CE65E1"/>
    <w:rsid w:val="00CF7CB0"/>
    <w:rsid w:val="00D06B3A"/>
    <w:rsid w:val="00D33FBB"/>
    <w:rsid w:val="00D3497C"/>
    <w:rsid w:val="00D35303"/>
    <w:rsid w:val="00D44D06"/>
    <w:rsid w:val="00D5472F"/>
    <w:rsid w:val="00D66E89"/>
    <w:rsid w:val="00D77B70"/>
    <w:rsid w:val="00D80A29"/>
    <w:rsid w:val="00D80C8F"/>
    <w:rsid w:val="00D81D93"/>
    <w:rsid w:val="00D87672"/>
    <w:rsid w:val="00D92CF7"/>
    <w:rsid w:val="00DA6617"/>
    <w:rsid w:val="00DB14BC"/>
    <w:rsid w:val="00DC6684"/>
    <w:rsid w:val="00DD1369"/>
    <w:rsid w:val="00DD3DC1"/>
    <w:rsid w:val="00DE12DB"/>
    <w:rsid w:val="00DF1F95"/>
    <w:rsid w:val="00DF2F52"/>
    <w:rsid w:val="00DF7AE3"/>
    <w:rsid w:val="00E004A1"/>
    <w:rsid w:val="00E04163"/>
    <w:rsid w:val="00E10734"/>
    <w:rsid w:val="00E13D55"/>
    <w:rsid w:val="00E378D6"/>
    <w:rsid w:val="00E41BCC"/>
    <w:rsid w:val="00E4651A"/>
    <w:rsid w:val="00E66795"/>
    <w:rsid w:val="00E80249"/>
    <w:rsid w:val="00E931E5"/>
    <w:rsid w:val="00EB11CD"/>
    <w:rsid w:val="00EB2225"/>
    <w:rsid w:val="00EB4131"/>
    <w:rsid w:val="00EB6AF2"/>
    <w:rsid w:val="00EB6B07"/>
    <w:rsid w:val="00ED0D47"/>
    <w:rsid w:val="00ED6D34"/>
    <w:rsid w:val="00EF13AC"/>
    <w:rsid w:val="00EF2697"/>
    <w:rsid w:val="00F03B9C"/>
    <w:rsid w:val="00F119FC"/>
    <w:rsid w:val="00F51B5E"/>
    <w:rsid w:val="00F625B7"/>
    <w:rsid w:val="00F62C86"/>
    <w:rsid w:val="00F67CEF"/>
    <w:rsid w:val="00F75CE2"/>
    <w:rsid w:val="00FB49FA"/>
    <w:rsid w:val="00FD0D7C"/>
    <w:rsid w:val="00FD12FB"/>
    <w:rsid w:val="00FD290F"/>
    <w:rsid w:val="00FD5518"/>
    <w:rsid w:val="00FD5B56"/>
    <w:rsid w:val="00FF373C"/>
    <w:rsid w:val="00FF4ACE"/>
    <w:rsid w:val="021E497E"/>
    <w:rsid w:val="0D5C636E"/>
    <w:rsid w:val="100624ED"/>
    <w:rsid w:val="16EE4CFB"/>
    <w:rsid w:val="25A504F9"/>
    <w:rsid w:val="287153DB"/>
    <w:rsid w:val="2D8E2236"/>
    <w:rsid w:val="2DD80E6F"/>
    <w:rsid w:val="33D43F81"/>
    <w:rsid w:val="34A66311"/>
    <w:rsid w:val="3A9424B6"/>
    <w:rsid w:val="4240335C"/>
    <w:rsid w:val="426F53E0"/>
    <w:rsid w:val="438628B9"/>
    <w:rsid w:val="4D822B1B"/>
    <w:rsid w:val="50507457"/>
    <w:rsid w:val="51F2387E"/>
    <w:rsid w:val="58C27562"/>
    <w:rsid w:val="5B1E58A3"/>
    <w:rsid w:val="63F31E28"/>
    <w:rsid w:val="6502071E"/>
    <w:rsid w:val="69485881"/>
    <w:rsid w:val="6A6F5900"/>
    <w:rsid w:val="6A8F6D47"/>
    <w:rsid w:val="6C8251EB"/>
    <w:rsid w:val="70AB7EBB"/>
    <w:rsid w:val="7B565ACE"/>
    <w:rsid w:val="7ED60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qFormat/>
    <w:uiPriority w:val="0"/>
    <w:pPr>
      <w:snapToGrid w:val="0"/>
      <w:jc w:val="left"/>
    </w:pPr>
    <w:rPr>
      <w:sz w:val="18"/>
    </w:rPr>
  </w:style>
  <w:style w:type="paragraph" w:styleId="6">
    <w:name w:val="Normal (Web)"/>
    <w:basedOn w:val="1"/>
    <w:qFormat/>
    <w:uiPriority w:val="0"/>
    <w:pPr>
      <w:widowControl/>
      <w:spacing w:before="100" w:beforeAutospacing="1" w:after="100" w:afterAutospacing="1"/>
      <w:jc w:val="left"/>
    </w:pPr>
    <w:rPr>
      <w:rFonts w:ascii="宋体" w:hAnsi="宋体"/>
      <w:kern w:val="0"/>
      <w:sz w:val="24"/>
    </w:rPr>
  </w:style>
  <w:style w:type="paragraph" w:styleId="7">
    <w:name w:val="annotation subject"/>
    <w:basedOn w:val="2"/>
    <w:next w:val="2"/>
    <w:link w:val="21"/>
    <w:qFormat/>
    <w:uiPriority w:val="0"/>
    <w:rPr>
      <w:b/>
      <w:bCs/>
    </w:rPr>
  </w:style>
  <w:style w:type="character" w:styleId="10">
    <w:name w:val="page number"/>
    <w:basedOn w:val="9"/>
    <w:qFormat/>
    <w:uiPriority w:val="0"/>
  </w:style>
  <w:style w:type="character" w:styleId="11">
    <w:name w:val="Emphasis"/>
    <w:qFormat/>
    <w:uiPriority w:val="20"/>
    <w:rPr>
      <w:color w:val="CC0000"/>
    </w:rPr>
  </w:style>
  <w:style w:type="character" w:styleId="12">
    <w:name w:val="Hyperlink"/>
    <w:unhideWhenUsed/>
    <w:qFormat/>
    <w:uiPriority w:val="99"/>
    <w:rPr>
      <w:color w:val="0000FF"/>
      <w:u w:val="single"/>
    </w:rPr>
  </w:style>
  <w:style w:type="character" w:styleId="13">
    <w:name w:val="annotation reference"/>
    <w:basedOn w:val="9"/>
    <w:qFormat/>
    <w:uiPriority w:val="0"/>
    <w:rPr>
      <w:sz w:val="21"/>
      <w:szCs w:val="21"/>
    </w:rPr>
  </w:style>
  <w:style w:type="paragraph" w:customStyle="1" w:styleId="14">
    <w:name w:val="p0"/>
    <w:basedOn w:val="1"/>
    <w:qFormat/>
    <w:uiPriority w:val="0"/>
    <w:pPr>
      <w:widowControl/>
    </w:pPr>
    <w:rPr>
      <w:kern w:val="0"/>
      <w:szCs w:val="21"/>
    </w:rPr>
  </w:style>
  <w:style w:type="character" w:customStyle="1" w:styleId="15">
    <w:name w:val="西矿招股书正文 Char"/>
    <w:link w:val="16"/>
    <w:qFormat/>
    <w:uiPriority w:val="0"/>
    <w:rPr>
      <w:rFonts w:eastAsia="宋体"/>
      <w:kern w:val="2"/>
      <w:sz w:val="24"/>
      <w:szCs w:val="24"/>
      <w:lang w:val="en-US" w:eastAsia="zh-CN" w:bidi="ar-SA"/>
    </w:rPr>
  </w:style>
  <w:style w:type="paragraph" w:customStyle="1" w:styleId="16">
    <w:name w:val="西矿招股书正文"/>
    <w:basedOn w:val="1"/>
    <w:link w:val="15"/>
    <w:qFormat/>
    <w:uiPriority w:val="0"/>
    <w:pPr>
      <w:overflowPunct w:val="0"/>
      <w:autoSpaceDE w:val="0"/>
      <w:autoSpaceDN w:val="0"/>
      <w:adjustRightInd w:val="0"/>
      <w:snapToGrid w:val="0"/>
      <w:spacing w:before="120" w:line="360" w:lineRule="auto"/>
      <w:ind w:firstLine="200" w:firstLineChars="200"/>
      <w:jc w:val="left"/>
    </w:pPr>
    <w:rPr>
      <w:sz w:val="24"/>
      <w:szCs w:val="24"/>
    </w:rPr>
  </w:style>
  <w:style w:type="paragraph" w:customStyle="1" w:styleId="17">
    <w:name w:val="Char"/>
    <w:basedOn w:val="1"/>
    <w:qFormat/>
    <w:uiPriority w:val="0"/>
    <w:pPr>
      <w:tabs>
        <w:tab w:val="left" w:pos="360"/>
      </w:tabs>
    </w:p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列表段落1"/>
    <w:basedOn w:val="1"/>
    <w:qFormat/>
    <w:uiPriority w:val="34"/>
    <w:pPr>
      <w:ind w:firstLine="420" w:firstLineChars="200"/>
    </w:pPr>
    <w:rPr>
      <w:rFonts w:ascii="Calibri" w:hAnsi="Calibri"/>
      <w:szCs w:val="22"/>
    </w:rPr>
  </w:style>
  <w:style w:type="character" w:customStyle="1" w:styleId="20">
    <w:name w:val="批注文字 字符"/>
    <w:basedOn w:val="9"/>
    <w:link w:val="2"/>
    <w:qFormat/>
    <w:uiPriority w:val="0"/>
    <w:rPr>
      <w:kern w:val="2"/>
      <w:sz w:val="21"/>
    </w:rPr>
  </w:style>
  <w:style w:type="character" w:customStyle="1" w:styleId="21">
    <w:name w:val="批注主题 字符"/>
    <w:basedOn w:val="20"/>
    <w:link w:val="7"/>
    <w:qFormat/>
    <w:uiPriority w:val="0"/>
    <w:rPr>
      <w:b/>
      <w:bCs/>
      <w:kern w:val="2"/>
      <w:sz w:val="21"/>
    </w:rPr>
  </w:style>
  <w:style w:type="paragraph" w:customStyle="1" w:styleId="22">
    <w:name w:val="修订1"/>
    <w:hidden/>
    <w:semiHidden/>
    <w:qFormat/>
    <w:uiPriority w:val="99"/>
    <w:rPr>
      <w:rFonts w:ascii="Times New Roman" w:hAnsi="Times New Roman" w:eastAsia="宋体" w:cs="Times New Roman"/>
      <w:kern w:val="2"/>
      <w:sz w:val="21"/>
      <w:lang w:val="en-US" w:eastAsia="zh-CN" w:bidi="ar-SA"/>
    </w:rPr>
  </w:style>
  <w:style w:type="paragraph" w:customStyle="1" w:styleId="23">
    <w:name w:val="修订2"/>
    <w:hidden/>
    <w:semiHidden/>
    <w:qFormat/>
    <w:uiPriority w:val="99"/>
    <w:rPr>
      <w:rFonts w:ascii="Times New Roman" w:hAnsi="Times New Roman" w:eastAsia="宋体" w:cs="Times New Roman"/>
      <w:kern w:val="2"/>
      <w:sz w:val="21"/>
      <w:lang w:val="en-US" w:eastAsia="zh-CN" w:bidi="ar-SA"/>
    </w:rPr>
  </w:style>
  <w:style w:type="paragraph" w:styleId="24">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25">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930</Words>
  <Characters>981</Characters>
  <Lines>20</Lines>
  <Paragraphs>5</Paragraphs>
  <TotalTime>25</TotalTime>
  <ScaleCrop>false</ScaleCrop>
  <LinksUpToDate>false</LinksUpToDate>
  <CharactersWithSpaces>1113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2023-09-13T07:30:00Z</dcterms:created>
  <dc:creator>User</dc:creator>
  <cp:lastModifiedBy>Brittany</cp:lastModifiedBy>
  <cp:lastPrinted>2017-11-28T08:20:00Z</cp:lastPrinted>
  <dcterms:modified xsi:type="dcterms:W3CDTF">2024-09-11T08:51:49Z</dcterms:modified>
  <cp:revision>161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6D678661553645A29045304B51AA34DC_13</vt:lpwstr>
  </property>
</Properties>
</file>