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F1A" w:rsidRDefault="00FE4526">
      <w:pPr>
        <w:spacing w:beforeLines="100" w:before="312" w:afterLines="100" w:after="312" w:line="360" w:lineRule="auto"/>
        <w:rPr>
          <w:rFonts w:ascii="宋体" w:eastAsia="宋体" w:hAnsi="宋体" w:cs="宋体"/>
        </w:rPr>
      </w:pPr>
      <w:r>
        <w:rPr>
          <w:rFonts w:ascii="宋体" w:eastAsia="宋体" w:hAnsi="宋体" w:cs="宋体" w:hint="eastAsia"/>
          <w:sz w:val="24"/>
        </w:rPr>
        <w:t>证券代码：688561                                     证券简称：奇安信</w:t>
      </w:r>
    </w:p>
    <w:p w:rsidR="00E33F1A" w:rsidRDefault="00FE4526">
      <w:pPr>
        <w:spacing w:beforeLines="50" w:before="156" w:afterLines="50" w:after="156" w:line="240" w:lineRule="auto"/>
        <w:jc w:val="center"/>
        <w:rPr>
          <w:rFonts w:ascii="宋体" w:eastAsia="宋体" w:hAnsi="宋体" w:cs="宋体"/>
          <w:b/>
          <w:bCs/>
          <w:sz w:val="32"/>
        </w:rPr>
      </w:pPr>
      <w:r>
        <w:rPr>
          <w:rFonts w:ascii="宋体" w:eastAsia="宋体" w:hAnsi="宋体" w:cs="宋体" w:hint="eastAsia"/>
          <w:b/>
          <w:bCs/>
          <w:sz w:val="32"/>
        </w:rPr>
        <w:t>奇安信科技集团股份有限公司</w:t>
      </w:r>
    </w:p>
    <w:p w:rsidR="00E33F1A" w:rsidRDefault="00FE4526">
      <w:pPr>
        <w:spacing w:beforeLines="50" w:before="156" w:afterLines="50" w:after="156" w:line="240" w:lineRule="auto"/>
        <w:jc w:val="center"/>
        <w:rPr>
          <w:rFonts w:ascii="宋体" w:eastAsia="宋体" w:hAnsi="宋体" w:cs="宋体"/>
          <w:b/>
          <w:bCs/>
          <w:sz w:val="32"/>
        </w:rPr>
      </w:pPr>
      <w:r>
        <w:rPr>
          <w:rFonts w:ascii="宋体" w:eastAsia="宋体" w:hAnsi="宋体" w:cs="宋体" w:hint="eastAsia"/>
          <w:b/>
          <w:bCs/>
          <w:sz w:val="32"/>
        </w:rPr>
        <w:t>投资者关系活动记录表</w:t>
      </w:r>
    </w:p>
    <w:p w:rsidR="00E33F1A" w:rsidRDefault="00FE4526">
      <w:pPr>
        <w:spacing w:after="0"/>
        <w:ind w:left="1179"/>
        <w:jc w:val="right"/>
        <w:rPr>
          <w:rFonts w:ascii="宋体" w:eastAsia="宋体" w:hAnsi="宋体" w:cs="宋体"/>
        </w:rPr>
      </w:pPr>
      <w:r>
        <w:rPr>
          <w:rFonts w:ascii="宋体" w:eastAsia="宋体" w:hAnsi="宋体" w:cs="宋体" w:hint="eastAsia"/>
          <w:sz w:val="21"/>
        </w:rPr>
        <w:t>编号：2024-00</w:t>
      </w:r>
      <w:r w:rsidR="00656DFA">
        <w:rPr>
          <w:rFonts w:ascii="宋体" w:eastAsia="宋体" w:hAnsi="宋体" w:cs="宋体"/>
          <w:sz w:val="21"/>
        </w:rPr>
        <w:t>5</w:t>
      </w:r>
    </w:p>
    <w:tbl>
      <w:tblPr>
        <w:tblW w:w="9976" w:type="dxa"/>
        <w:jc w:val="center"/>
        <w:tblLayout w:type="fixed"/>
        <w:tblCellMar>
          <w:bottom w:w="41" w:type="dxa"/>
          <w:right w:w="0" w:type="dxa"/>
        </w:tblCellMar>
        <w:tblLook w:val="04A0" w:firstRow="1" w:lastRow="0" w:firstColumn="1" w:lastColumn="0" w:noHBand="0" w:noVBand="1"/>
      </w:tblPr>
      <w:tblGrid>
        <w:gridCol w:w="2100"/>
        <w:gridCol w:w="7876"/>
      </w:tblGrid>
      <w:tr w:rsidR="00E33F1A">
        <w:trPr>
          <w:trHeight w:val="1673"/>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F1A" w:rsidRDefault="00FE4526">
            <w:pPr>
              <w:snapToGrid w:val="0"/>
              <w:spacing w:after="0" w:line="360" w:lineRule="auto"/>
              <w:jc w:val="center"/>
              <w:rPr>
                <w:rFonts w:ascii="等线" w:eastAsia="等线" w:hAnsi="等线" w:cs="等线"/>
                <w:sz w:val="24"/>
                <w:szCs w:val="24"/>
              </w:rPr>
            </w:pPr>
            <w:r>
              <w:rPr>
                <w:rFonts w:ascii="等线" w:eastAsia="等线" w:hAnsi="等线" w:cs="等线" w:hint="eastAsia"/>
                <w:sz w:val="24"/>
                <w:szCs w:val="24"/>
              </w:rPr>
              <w:t>投资者关系活动类别</w:t>
            </w:r>
          </w:p>
        </w:tc>
        <w:tc>
          <w:tcPr>
            <w:tcW w:w="78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F1A" w:rsidRDefault="00FE4526">
            <w:pPr>
              <w:snapToGrid w:val="0"/>
              <w:spacing w:after="0" w:line="360" w:lineRule="auto"/>
              <w:rPr>
                <w:rFonts w:ascii="等线" w:eastAsia="等线" w:hAnsi="等线" w:cs="等线"/>
                <w:sz w:val="24"/>
                <w:szCs w:val="24"/>
              </w:rPr>
            </w:pPr>
            <w:r>
              <w:rPr>
                <w:rFonts w:ascii="等线" w:eastAsia="等线" w:hAnsi="等线" w:cs="等线" w:hint="eastAsia"/>
                <w:sz w:val="24"/>
                <w:szCs w:val="24"/>
              </w:rPr>
              <w:sym w:font="Wingdings 2" w:char="00A3"/>
            </w:r>
            <w:r>
              <w:rPr>
                <w:rFonts w:ascii="等线" w:eastAsia="等线" w:hAnsi="等线" w:cs="等线" w:hint="eastAsia"/>
                <w:sz w:val="24"/>
                <w:szCs w:val="24"/>
              </w:rPr>
              <w:t xml:space="preserve">特定对象调研         </w:t>
            </w:r>
            <w:r>
              <w:rPr>
                <w:rFonts w:ascii="等线" w:eastAsia="等线" w:hAnsi="等线" w:cs="等线" w:hint="eastAsia"/>
                <w:sz w:val="24"/>
                <w:szCs w:val="24"/>
              </w:rPr>
              <w:sym w:font="Wingdings 2" w:char="00A3"/>
            </w:r>
            <w:r>
              <w:rPr>
                <w:rFonts w:ascii="等线" w:eastAsia="等线" w:hAnsi="等线" w:cs="等线" w:hint="eastAsia"/>
                <w:sz w:val="24"/>
                <w:szCs w:val="24"/>
              </w:rPr>
              <w:t xml:space="preserve">分析师会议     </w:t>
            </w:r>
            <w:r>
              <w:rPr>
                <w:rFonts w:ascii="等线" w:eastAsia="等线" w:hAnsi="等线" w:cs="等线" w:hint="eastAsia"/>
                <w:sz w:val="24"/>
                <w:szCs w:val="24"/>
              </w:rPr>
              <w:sym w:font="Wingdings 2" w:char="00A3"/>
            </w:r>
            <w:r>
              <w:rPr>
                <w:rFonts w:ascii="等线" w:eastAsia="等线" w:hAnsi="等线" w:cs="等线" w:hint="eastAsia"/>
                <w:sz w:val="24"/>
                <w:szCs w:val="24"/>
              </w:rPr>
              <w:t xml:space="preserve">媒体采访     </w:t>
            </w:r>
            <w:r>
              <w:rPr>
                <w:rFonts w:ascii="等线" w:eastAsia="等线" w:hAnsi="等线" w:cs="等线" w:hint="eastAsia"/>
                <w:sz w:val="24"/>
                <w:szCs w:val="24"/>
              </w:rPr>
              <w:sym w:font="Wingdings 2" w:char="00A3"/>
            </w:r>
            <w:r>
              <w:rPr>
                <w:rFonts w:ascii="等线" w:eastAsia="等线" w:hAnsi="等线" w:cs="等线" w:hint="eastAsia"/>
                <w:sz w:val="24"/>
                <w:szCs w:val="24"/>
              </w:rPr>
              <w:t xml:space="preserve">现场参观   </w:t>
            </w:r>
          </w:p>
          <w:p w:rsidR="00E33F1A" w:rsidRDefault="00FE4526">
            <w:pPr>
              <w:snapToGrid w:val="0"/>
              <w:spacing w:after="0" w:line="360" w:lineRule="auto"/>
              <w:rPr>
                <w:rFonts w:ascii="等线" w:eastAsia="等线" w:hAnsi="等线" w:cs="等线"/>
                <w:sz w:val="24"/>
                <w:szCs w:val="24"/>
              </w:rPr>
            </w:pPr>
            <w:r>
              <w:rPr>
                <w:rFonts w:ascii="等线" w:eastAsia="等线" w:hAnsi="等线" w:cs="等线" w:hint="eastAsia"/>
                <w:sz w:val="24"/>
                <w:szCs w:val="24"/>
              </w:rPr>
              <w:sym w:font="Wingdings 2" w:char="0052"/>
            </w:r>
            <w:r>
              <w:rPr>
                <w:rFonts w:ascii="等线" w:eastAsia="等线" w:hAnsi="等线" w:cs="等线" w:hint="eastAsia"/>
                <w:sz w:val="24"/>
                <w:szCs w:val="24"/>
              </w:rPr>
              <w:t xml:space="preserve">业绩说明会         </w:t>
            </w:r>
            <w:r>
              <w:rPr>
                <w:rFonts w:ascii="等线" w:eastAsia="等线" w:hAnsi="等线" w:cs="等线"/>
                <w:sz w:val="24"/>
                <w:szCs w:val="24"/>
              </w:rPr>
              <w:t xml:space="preserve"> </w:t>
            </w:r>
            <w:r>
              <w:rPr>
                <w:rFonts w:ascii="等线" w:eastAsia="等线" w:hAnsi="等线" w:cs="等线" w:hint="eastAsia"/>
                <w:sz w:val="24"/>
                <w:szCs w:val="24"/>
              </w:rPr>
              <w:sym w:font="Wingdings 2" w:char="00A3"/>
            </w:r>
            <w:r>
              <w:rPr>
                <w:rFonts w:ascii="等线" w:eastAsia="等线" w:hAnsi="等线" w:cs="等线" w:hint="eastAsia"/>
                <w:sz w:val="24"/>
                <w:szCs w:val="24"/>
              </w:rPr>
              <w:t xml:space="preserve">路演活动       </w:t>
            </w:r>
            <w:r>
              <w:rPr>
                <w:rFonts w:ascii="等线" w:eastAsia="等线" w:hAnsi="等线" w:cs="等线" w:hint="eastAsia"/>
                <w:sz w:val="24"/>
                <w:szCs w:val="24"/>
              </w:rPr>
              <w:sym w:font="Wingdings 2" w:char="00A3"/>
            </w:r>
            <w:r>
              <w:rPr>
                <w:rFonts w:ascii="等线" w:eastAsia="等线" w:hAnsi="等线" w:cs="等线" w:hint="eastAsia"/>
                <w:sz w:val="24"/>
                <w:szCs w:val="24"/>
              </w:rPr>
              <w:t xml:space="preserve">一对一沟通 </w:t>
            </w:r>
          </w:p>
          <w:p w:rsidR="00E33F1A" w:rsidRDefault="00FE4526">
            <w:pPr>
              <w:snapToGrid w:val="0"/>
              <w:spacing w:after="0" w:line="360" w:lineRule="auto"/>
              <w:rPr>
                <w:rFonts w:ascii="等线" w:eastAsia="等线" w:hAnsi="等线" w:cs="等线"/>
                <w:sz w:val="24"/>
                <w:szCs w:val="24"/>
              </w:rPr>
            </w:pPr>
            <w:r>
              <w:rPr>
                <w:rFonts w:ascii="等线" w:eastAsia="等线" w:hAnsi="等线" w:cs="等线" w:hint="eastAsia"/>
                <w:sz w:val="24"/>
                <w:szCs w:val="24"/>
              </w:rPr>
              <w:sym w:font="Wingdings 2" w:char="00A3"/>
            </w:r>
            <w:r>
              <w:rPr>
                <w:rFonts w:ascii="等线" w:eastAsia="等线" w:hAnsi="等线" w:cs="等线" w:hint="eastAsia"/>
                <w:sz w:val="24"/>
                <w:szCs w:val="24"/>
              </w:rPr>
              <w:t xml:space="preserve">新闻发布会         </w:t>
            </w:r>
            <w:r>
              <w:rPr>
                <w:rFonts w:ascii="等线" w:eastAsia="等线" w:hAnsi="等线" w:cs="等线"/>
                <w:sz w:val="24"/>
                <w:szCs w:val="24"/>
              </w:rPr>
              <w:t xml:space="preserve"> </w:t>
            </w:r>
            <w:r>
              <w:rPr>
                <w:rFonts w:ascii="等线" w:eastAsia="等线" w:hAnsi="等线" w:cs="等线" w:hint="eastAsia"/>
                <w:sz w:val="24"/>
                <w:szCs w:val="24"/>
              </w:rPr>
              <w:t xml:space="preserve"> </w:t>
            </w:r>
            <w:r>
              <w:rPr>
                <w:rFonts w:ascii="等线" w:eastAsia="等线" w:hAnsi="等线" w:cs="等线" w:hint="eastAsia"/>
                <w:sz w:val="24"/>
                <w:szCs w:val="24"/>
              </w:rPr>
              <w:sym w:font="Wingdings 2" w:char="00A3"/>
            </w:r>
            <w:r>
              <w:rPr>
                <w:rFonts w:ascii="等线" w:eastAsia="等线" w:hAnsi="等线" w:cs="等线" w:hint="eastAsia"/>
                <w:sz w:val="24"/>
                <w:szCs w:val="24"/>
              </w:rPr>
              <w:t>其他</w:t>
            </w:r>
          </w:p>
        </w:tc>
      </w:tr>
      <w:tr w:rsidR="00E33F1A">
        <w:trPr>
          <w:trHeight w:val="338"/>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F1A" w:rsidRDefault="00FE4526">
            <w:pPr>
              <w:snapToGrid w:val="0"/>
              <w:spacing w:after="0" w:line="360" w:lineRule="auto"/>
              <w:ind w:right="110"/>
              <w:jc w:val="center"/>
              <w:rPr>
                <w:rFonts w:ascii="等线" w:eastAsia="等线" w:hAnsi="等线" w:cs="等线"/>
                <w:sz w:val="24"/>
                <w:szCs w:val="24"/>
              </w:rPr>
            </w:pPr>
            <w:r>
              <w:rPr>
                <w:rFonts w:ascii="等线" w:eastAsia="等线" w:hAnsi="等线" w:cs="等线" w:hint="eastAsia"/>
                <w:color w:val="auto"/>
                <w:sz w:val="24"/>
                <w:szCs w:val="24"/>
              </w:rPr>
              <w:t>参与单位及人员</w:t>
            </w:r>
          </w:p>
        </w:tc>
        <w:tc>
          <w:tcPr>
            <w:tcW w:w="7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F1A" w:rsidRDefault="00FE4526">
            <w:pPr>
              <w:snapToGrid w:val="0"/>
              <w:spacing w:after="0" w:line="360" w:lineRule="auto"/>
              <w:rPr>
                <w:rFonts w:ascii="等线" w:eastAsia="等线" w:hAnsi="等线" w:cs="等线"/>
                <w:sz w:val="21"/>
                <w:szCs w:val="21"/>
              </w:rPr>
            </w:pPr>
            <w:r>
              <w:rPr>
                <w:rFonts w:ascii="等线" w:eastAsia="等线" w:hAnsi="等线" w:cs="等线" w:hint="eastAsia"/>
                <w:sz w:val="21"/>
                <w:szCs w:val="21"/>
              </w:rPr>
              <w:t>全体投资者均可通过网络互动的方式参加本次说明会</w:t>
            </w:r>
          </w:p>
        </w:tc>
      </w:tr>
      <w:tr w:rsidR="00E33F1A">
        <w:trPr>
          <w:trHeight w:val="527"/>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F1A" w:rsidRDefault="00FE4526">
            <w:pPr>
              <w:snapToGrid w:val="0"/>
              <w:spacing w:after="0" w:line="360" w:lineRule="auto"/>
              <w:ind w:firstLineChars="300" w:firstLine="720"/>
              <w:rPr>
                <w:rFonts w:ascii="等线" w:eastAsia="等线" w:hAnsi="等线" w:cs="等线"/>
                <w:bCs/>
                <w:sz w:val="24"/>
                <w:szCs w:val="24"/>
              </w:rPr>
            </w:pPr>
            <w:r>
              <w:rPr>
                <w:rFonts w:ascii="等线" w:eastAsia="等线" w:hAnsi="等线" w:cs="等线" w:hint="eastAsia"/>
                <w:bCs/>
                <w:sz w:val="24"/>
                <w:szCs w:val="24"/>
              </w:rPr>
              <w:t>时间</w:t>
            </w:r>
          </w:p>
        </w:tc>
        <w:tc>
          <w:tcPr>
            <w:tcW w:w="7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F1A" w:rsidRDefault="00FE4526" w:rsidP="00656DFA">
            <w:pPr>
              <w:snapToGrid w:val="0"/>
              <w:spacing w:after="0" w:line="360" w:lineRule="auto"/>
              <w:rPr>
                <w:rFonts w:ascii="等线" w:eastAsia="等线" w:hAnsi="等线" w:cs="等线"/>
                <w:sz w:val="21"/>
                <w:szCs w:val="21"/>
              </w:rPr>
            </w:pPr>
            <w:r>
              <w:rPr>
                <w:rFonts w:ascii="等线" w:eastAsia="等线" w:hAnsi="等线" w:cs="等线" w:hint="eastAsia"/>
                <w:sz w:val="21"/>
                <w:szCs w:val="21"/>
              </w:rPr>
              <w:t>2024年</w:t>
            </w:r>
            <w:r w:rsidR="00656DFA">
              <w:rPr>
                <w:rFonts w:ascii="等线" w:eastAsia="等线" w:hAnsi="等线" w:cs="等线"/>
                <w:sz w:val="21"/>
                <w:szCs w:val="21"/>
              </w:rPr>
              <w:t>9</w:t>
            </w:r>
            <w:r>
              <w:rPr>
                <w:rFonts w:ascii="等线" w:eastAsia="等线" w:hAnsi="等线" w:cs="等线" w:hint="eastAsia"/>
                <w:sz w:val="21"/>
                <w:szCs w:val="21"/>
              </w:rPr>
              <w:t>月1</w:t>
            </w:r>
            <w:r w:rsidR="00656DFA">
              <w:rPr>
                <w:rFonts w:ascii="等线" w:eastAsia="等线" w:hAnsi="等线" w:cs="等线"/>
                <w:sz w:val="21"/>
                <w:szCs w:val="21"/>
              </w:rPr>
              <w:t>3</w:t>
            </w:r>
            <w:r>
              <w:rPr>
                <w:rFonts w:ascii="等线" w:eastAsia="等线" w:hAnsi="等线" w:cs="等线" w:hint="eastAsia"/>
                <w:sz w:val="21"/>
                <w:szCs w:val="21"/>
              </w:rPr>
              <w:t>日1</w:t>
            </w:r>
            <w:r w:rsidR="00656DFA">
              <w:rPr>
                <w:rFonts w:ascii="等线" w:eastAsia="等线" w:hAnsi="等线" w:cs="等线"/>
                <w:sz w:val="21"/>
                <w:szCs w:val="21"/>
              </w:rPr>
              <w:t>4</w:t>
            </w:r>
            <w:r>
              <w:rPr>
                <w:rFonts w:ascii="等线" w:eastAsia="等线" w:hAnsi="等线" w:cs="等线" w:hint="eastAsia"/>
                <w:sz w:val="21"/>
                <w:szCs w:val="21"/>
              </w:rPr>
              <w:t>点</w:t>
            </w:r>
            <w:r>
              <w:rPr>
                <w:rFonts w:ascii="等线" w:eastAsia="等线" w:hAnsi="等线" w:cs="等线"/>
                <w:sz w:val="21"/>
                <w:szCs w:val="21"/>
              </w:rPr>
              <w:t>00</w:t>
            </w:r>
            <w:r>
              <w:rPr>
                <w:rFonts w:ascii="等线" w:eastAsia="等线" w:hAnsi="等线" w:cs="等线" w:hint="eastAsia"/>
                <w:sz w:val="21"/>
                <w:szCs w:val="21"/>
              </w:rPr>
              <w:t>分-1</w:t>
            </w:r>
            <w:r w:rsidR="00656DFA">
              <w:rPr>
                <w:rFonts w:ascii="等线" w:eastAsia="等线" w:hAnsi="等线" w:cs="等线"/>
                <w:sz w:val="21"/>
                <w:szCs w:val="21"/>
              </w:rPr>
              <w:t>6</w:t>
            </w:r>
            <w:r>
              <w:rPr>
                <w:rFonts w:ascii="等线" w:eastAsia="等线" w:hAnsi="等线" w:cs="等线" w:hint="eastAsia"/>
                <w:sz w:val="21"/>
                <w:szCs w:val="21"/>
              </w:rPr>
              <w:t>点</w:t>
            </w:r>
            <w:r>
              <w:rPr>
                <w:rFonts w:ascii="等线" w:eastAsia="等线" w:hAnsi="等线" w:cs="等线"/>
                <w:sz w:val="21"/>
                <w:szCs w:val="21"/>
              </w:rPr>
              <w:t>00</w:t>
            </w:r>
            <w:r>
              <w:rPr>
                <w:rFonts w:ascii="等线" w:eastAsia="等线" w:hAnsi="等线" w:cs="等线" w:hint="eastAsia"/>
                <w:sz w:val="21"/>
                <w:szCs w:val="21"/>
              </w:rPr>
              <w:t>分</w:t>
            </w:r>
          </w:p>
        </w:tc>
      </w:tr>
      <w:tr w:rsidR="00E33F1A">
        <w:trPr>
          <w:trHeight w:val="490"/>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F1A" w:rsidRDefault="00FE4526">
            <w:pPr>
              <w:snapToGrid w:val="0"/>
              <w:spacing w:after="0" w:line="360" w:lineRule="auto"/>
              <w:ind w:right="110"/>
              <w:jc w:val="center"/>
              <w:rPr>
                <w:rFonts w:ascii="等线" w:eastAsia="等线" w:hAnsi="等线" w:cs="等线"/>
                <w:sz w:val="24"/>
                <w:szCs w:val="24"/>
              </w:rPr>
            </w:pPr>
            <w:r>
              <w:rPr>
                <w:rFonts w:ascii="等线" w:eastAsia="等线" w:hAnsi="等线" w:cs="等线" w:hint="eastAsia"/>
                <w:sz w:val="24"/>
                <w:szCs w:val="24"/>
              </w:rPr>
              <w:t>方式</w:t>
            </w:r>
          </w:p>
        </w:tc>
        <w:tc>
          <w:tcPr>
            <w:tcW w:w="7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F1A" w:rsidRDefault="00FE4526">
            <w:pPr>
              <w:snapToGrid w:val="0"/>
              <w:spacing w:after="0" w:line="360" w:lineRule="auto"/>
              <w:rPr>
                <w:rFonts w:ascii="等线" w:eastAsia="等线" w:hAnsi="等线" w:cs="等线"/>
                <w:sz w:val="21"/>
                <w:szCs w:val="21"/>
              </w:rPr>
            </w:pPr>
            <w:r>
              <w:rPr>
                <w:rFonts w:ascii="等线" w:eastAsia="等线" w:hAnsi="等线" w:cs="等线" w:hint="eastAsia"/>
                <w:sz w:val="21"/>
                <w:szCs w:val="21"/>
              </w:rPr>
              <w:t>上海证券交易所上证路演中心（</w:t>
            </w:r>
            <w:r w:rsidR="00A926F3" w:rsidRPr="00A926F3">
              <w:rPr>
                <w:rFonts w:ascii="等线" w:eastAsia="等线" w:hAnsi="等线" w:cs="等线"/>
                <w:sz w:val="21"/>
                <w:szCs w:val="21"/>
              </w:rPr>
              <w:t>https://roadshow.sseinfo.com</w:t>
            </w:r>
            <w:r>
              <w:rPr>
                <w:rFonts w:ascii="等线" w:eastAsia="等线" w:hAnsi="等线" w:cs="等线" w:hint="eastAsia"/>
                <w:sz w:val="21"/>
                <w:szCs w:val="21"/>
              </w:rPr>
              <w:t>）线上文字互动</w:t>
            </w:r>
          </w:p>
        </w:tc>
      </w:tr>
      <w:tr w:rsidR="00E33F1A">
        <w:trPr>
          <w:trHeight w:val="108"/>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F1A" w:rsidRDefault="00FE4526">
            <w:pPr>
              <w:snapToGrid w:val="0"/>
              <w:spacing w:after="0" w:line="360" w:lineRule="auto"/>
              <w:ind w:right="110"/>
              <w:jc w:val="center"/>
              <w:rPr>
                <w:rFonts w:ascii="等线" w:eastAsia="等线" w:hAnsi="等线" w:cs="等线"/>
                <w:sz w:val="24"/>
                <w:szCs w:val="24"/>
              </w:rPr>
            </w:pPr>
            <w:r>
              <w:rPr>
                <w:rFonts w:ascii="等线" w:eastAsia="等线" w:hAnsi="等线" w:cs="等线" w:hint="eastAsia"/>
                <w:sz w:val="24"/>
                <w:szCs w:val="24"/>
              </w:rPr>
              <w:t>接待人员</w:t>
            </w:r>
          </w:p>
        </w:tc>
        <w:tc>
          <w:tcPr>
            <w:tcW w:w="78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33F1A" w:rsidRDefault="00FE4526">
            <w:pPr>
              <w:snapToGrid w:val="0"/>
              <w:spacing w:after="0" w:line="360" w:lineRule="auto"/>
              <w:rPr>
                <w:rFonts w:ascii="等线" w:eastAsia="等线" w:hAnsi="等线" w:cs="等线"/>
                <w:b/>
                <w:bCs/>
                <w:sz w:val="21"/>
                <w:szCs w:val="21"/>
              </w:rPr>
            </w:pPr>
            <w:r>
              <w:rPr>
                <w:rFonts w:ascii="等线" w:eastAsia="等线" w:hAnsi="等线" w:cs="等线"/>
                <w:b/>
                <w:bCs/>
                <w:sz w:val="21"/>
                <w:szCs w:val="21"/>
              </w:rPr>
              <w:t>董事长齐向东先生，财务总监杨景岩女士，董事会秘书徐文杰先生</w:t>
            </w:r>
          </w:p>
        </w:tc>
      </w:tr>
      <w:tr w:rsidR="00E33F1A">
        <w:trPr>
          <w:trHeight w:val="1619"/>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F1A" w:rsidRDefault="00FE4526">
            <w:pPr>
              <w:snapToGrid w:val="0"/>
              <w:spacing w:after="0" w:line="360" w:lineRule="auto"/>
              <w:ind w:right="110"/>
              <w:jc w:val="center"/>
              <w:rPr>
                <w:rFonts w:ascii="等线" w:eastAsia="等线" w:hAnsi="等线" w:cs="等线"/>
                <w:sz w:val="24"/>
                <w:szCs w:val="24"/>
              </w:rPr>
            </w:pPr>
            <w:r>
              <w:rPr>
                <w:rFonts w:ascii="等线" w:eastAsia="等线" w:hAnsi="等线" w:cs="等线" w:hint="eastAsia"/>
                <w:sz w:val="24"/>
                <w:szCs w:val="24"/>
              </w:rPr>
              <w:t>投资者交流</w:t>
            </w:r>
          </w:p>
          <w:p w:rsidR="00E33F1A" w:rsidRDefault="00FE4526">
            <w:pPr>
              <w:snapToGrid w:val="0"/>
              <w:spacing w:after="0" w:line="360" w:lineRule="auto"/>
              <w:ind w:right="110"/>
              <w:jc w:val="center"/>
              <w:rPr>
                <w:rFonts w:ascii="等线" w:eastAsia="等线" w:hAnsi="等线" w:cs="等线"/>
                <w:sz w:val="24"/>
                <w:szCs w:val="24"/>
              </w:rPr>
            </w:pPr>
            <w:r>
              <w:rPr>
                <w:rFonts w:ascii="等线" w:eastAsia="等线" w:hAnsi="等线" w:cs="等线" w:hint="eastAsia"/>
                <w:sz w:val="24"/>
                <w:szCs w:val="24"/>
              </w:rPr>
              <w:t>主要内容介绍</w:t>
            </w:r>
          </w:p>
        </w:tc>
        <w:tc>
          <w:tcPr>
            <w:tcW w:w="78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E33F1A" w:rsidRPr="0022328B" w:rsidRDefault="00FE4526" w:rsidP="0022328B">
            <w:pPr>
              <w:pStyle w:val="a5"/>
              <w:ind w:firstLine="422"/>
              <w:jc w:val="both"/>
              <w:rPr>
                <w:rFonts w:ascii="仿宋" w:eastAsia="仿宋" w:hAnsi="仿宋" w:cs="仿宋" w:hint="default"/>
                <w:color w:val="000000" w:themeColor="text1"/>
                <w:sz w:val="21"/>
                <w:szCs w:val="21"/>
              </w:rPr>
            </w:pPr>
            <w:r w:rsidRPr="0022328B">
              <w:rPr>
                <w:rFonts w:ascii="仿宋" w:eastAsia="仿宋" w:hAnsi="仿宋" w:cs="仿宋"/>
                <w:color w:val="000000" w:themeColor="text1"/>
                <w:sz w:val="21"/>
                <w:szCs w:val="21"/>
              </w:rPr>
              <w:t>公司管理层与投资者问答互动</w:t>
            </w:r>
            <w:r w:rsidR="00A926F3">
              <w:rPr>
                <w:rFonts w:ascii="仿宋" w:eastAsia="仿宋" w:hAnsi="仿宋" w:cs="仿宋"/>
                <w:color w:val="000000" w:themeColor="text1"/>
                <w:sz w:val="21"/>
                <w:szCs w:val="21"/>
              </w:rPr>
              <w:t>：</w:t>
            </w:r>
          </w:p>
          <w:p w:rsidR="0022328B" w:rsidRPr="0022328B" w:rsidRDefault="0022328B" w:rsidP="0022328B">
            <w:pPr>
              <w:pStyle w:val="a5"/>
              <w:ind w:firstLine="422"/>
              <w:jc w:val="both"/>
              <w:rPr>
                <w:rFonts w:ascii="仿宋" w:eastAsia="仿宋" w:hAnsi="仿宋" w:cs="仿宋" w:hint="default"/>
                <w:color w:val="000000" w:themeColor="text1"/>
                <w:sz w:val="21"/>
                <w:szCs w:val="21"/>
              </w:rPr>
            </w:pPr>
            <w:r w:rsidRPr="0022328B">
              <w:rPr>
                <w:rFonts w:ascii="仿宋" w:eastAsia="仿宋" w:hAnsi="仿宋" w:cs="仿宋"/>
                <w:color w:val="000000" w:themeColor="text1"/>
                <w:sz w:val="21"/>
                <w:szCs w:val="21"/>
              </w:rPr>
              <w:t>问题1：奇安信在2024年中期实现了17.83亿元的营业收入，同比增长了多少百分比？归母净利润的增长主要得益于哪些方面的改善？公司现金流的大幅增长是否反映了业务健康度的增强？</w:t>
            </w:r>
          </w:p>
          <w:p w:rsidR="0022328B" w:rsidRPr="0022328B" w:rsidRDefault="0022328B" w:rsidP="00231228">
            <w:pPr>
              <w:pStyle w:val="a5"/>
              <w:ind w:firstLine="420"/>
              <w:jc w:val="both"/>
              <w:rPr>
                <w:rFonts w:ascii="仿宋" w:eastAsia="仿宋" w:hAnsi="仿宋" w:cs="仿宋" w:hint="default"/>
                <w:b w:val="0"/>
                <w:color w:val="000000" w:themeColor="text1"/>
                <w:sz w:val="21"/>
                <w:szCs w:val="21"/>
              </w:rPr>
            </w:pPr>
            <w:r w:rsidRPr="0022328B">
              <w:rPr>
                <w:rFonts w:ascii="仿宋" w:eastAsia="仿宋" w:hAnsi="仿宋" w:cs="仿宋"/>
                <w:b w:val="0"/>
                <w:color w:val="000000" w:themeColor="text1"/>
                <w:sz w:val="21"/>
                <w:szCs w:val="21"/>
              </w:rPr>
              <w:t>尊敬的投资者，您好！公司2024年上半年实现营业收入17.83亿元，较去年同期下降28.17%。结合宏观经济环境的实际情况，公司今年将经营策略从侧重规模转向侧重质量，有所“为”有所“不为”：1）今年公司把回款和现金流管理放在首位，战略性地放弃一些预期回款不够理想的客户；2）公司还战略性地放弃了一些总集成的角色，硬件及其他收入较去年同期大幅减少；3）地方政府和公检法司类客户由于财政预算等因素，在公司收入结构中的占比进一步降低。上述三大因素共同影响了上半年公司的收入端。</w:t>
            </w:r>
          </w:p>
          <w:p w:rsidR="0022328B" w:rsidRPr="0022328B" w:rsidRDefault="0022328B" w:rsidP="0022328B">
            <w:pPr>
              <w:pStyle w:val="a5"/>
              <w:ind w:firstLine="420"/>
              <w:jc w:val="both"/>
              <w:rPr>
                <w:rFonts w:ascii="仿宋" w:eastAsia="仿宋" w:hAnsi="仿宋" w:cs="仿宋" w:hint="default"/>
                <w:b w:val="0"/>
                <w:color w:val="000000" w:themeColor="text1"/>
                <w:sz w:val="21"/>
                <w:szCs w:val="21"/>
              </w:rPr>
            </w:pPr>
            <w:r w:rsidRPr="0022328B">
              <w:rPr>
                <w:rFonts w:ascii="仿宋" w:eastAsia="仿宋" w:hAnsi="仿宋" w:cs="仿宋"/>
                <w:b w:val="0"/>
                <w:color w:val="000000" w:themeColor="text1"/>
                <w:sz w:val="21"/>
                <w:szCs w:val="21"/>
              </w:rPr>
              <w:t>公司2024年上半年实现归母净利润-8.20亿元，较去年减亏6.78%。公司归母净利润增长主要得益于两个方面，一方面公司十分重视业务的高质量发展,在稳步提高</w:t>
            </w:r>
            <w:r w:rsidRPr="0022328B">
              <w:rPr>
                <w:rFonts w:ascii="仿宋" w:eastAsia="仿宋" w:hAnsi="仿宋" w:cs="仿宋"/>
                <w:b w:val="0"/>
                <w:color w:val="000000" w:themeColor="text1"/>
                <w:sz w:val="21"/>
                <w:szCs w:val="21"/>
              </w:rPr>
              <w:lastRenderedPageBreak/>
              <w:t>收入规模的同时,持续加强公司技术研发的创新力和市场核心竞争力,从而不断提升公司自身经营、管理能力；另一方面公司加强注重降本增效,做好财务预算管理，不断提高公司人员效率。</w:t>
            </w:r>
          </w:p>
          <w:p w:rsidR="0022328B" w:rsidRPr="0022328B" w:rsidRDefault="0022328B" w:rsidP="0022328B">
            <w:pPr>
              <w:pStyle w:val="a5"/>
              <w:ind w:firstLine="420"/>
              <w:jc w:val="both"/>
              <w:rPr>
                <w:rFonts w:ascii="仿宋" w:eastAsia="仿宋" w:hAnsi="仿宋" w:cs="仿宋" w:hint="default"/>
                <w:b w:val="0"/>
                <w:color w:val="000000" w:themeColor="text1"/>
                <w:sz w:val="21"/>
                <w:szCs w:val="21"/>
              </w:rPr>
            </w:pPr>
            <w:r w:rsidRPr="0022328B">
              <w:rPr>
                <w:rFonts w:ascii="仿宋" w:eastAsia="仿宋" w:hAnsi="仿宋" w:cs="仿宋"/>
                <w:b w:val="0"/>
                <w:color w:val="000000" w:themeColor="text1"/>
                <w:sz w:val="21"/>
                <w:szCs w:val="21"/>
              </w:rPr>
              <w:t>公司2024年上半年经营活动现金净额-8.26亿元，较去年同期增加5.73亿元。今年上半年的销售回款进一步延续了2023年的向好趋势,回款高于收入且同比实现增长，这确实体现了公司业务健康度的增强。</w:t>
            </w:r>
          </w:p>
          <w:p w:rsidR="0022328B" w:rsidRPr="0022328B" w:rsidRDefault="0022328B" w:rsidP="0022328B">
            <w:pPr>
              <w:pStyle w:val="a5"/>
              <w:ind w:firstLine="420"/>
              <w:jc w:val="both"/>
              <w:rPr>
                <w:rFonts w:ascii="仿宋" w:eastAsia="仿宋" w:hAnsi="仿宋" w:cs="仿宋" w:hint="default"/>
                <w:b w:val="0"/>
                <w:color w:val="000000" w:themeColor="text1"/>
                <w:sz w:val="21"/>
                <w:szCs w:val="21"/>
              </w:rPr>
            </w:pPr>
            <w:r w:rsidRPr="0022328B">
              <w:rPr>
                <w:rFonts w:ascii="仿宋" w:eastAsia="仿宋" w:hAnsi="仿宋" w:cs="仿宋"/>
                <w:b w:val="0"/>
                <w:color w:val="000000" w:themeColor="text1"/>
                <w:sz w:val="21"/>
                <w:szCs w:val="21"/>
              </w:rPr>
              <w:t>下半年，我们继续保持开源节流两头抓的经营策略。在开源方面,继续以销售回款和毛利为销售考核导向。在节流上,继续做好费用和成本支出的精细化管理。争取尽早实现经营性现金流净额的打平和转正,实现企业的健康高质量发展。</w:t>
            </w:r>
          </w:p>
          <w:p w:rsidR="0022328B" w:rsidRPr="0022328B" w:rsidRDefault="0022328B" w:rsidP="0022328B">
            <w:pPr>
              <w:pStyle w:val="a5"/>
              <w:ind w:firstLine="420"/>
              <w:jc w:val="both"/>
              <w:rPr>
                <w:rFonts w:ascii="仿宋" w:eastAsia="仿宋" w:hAnsi="仿宋" w:cs="仿宋" w:hint="default"/>
                <w:b w:val="0"/>
                <w:color w:val="000000" w:themeColor="text1"/>
                <w:sz w:val="21"/>
                <w:szCs w:val="21"/>
              </w:rPr>
            </w:pPr>
            <w:r w:rsidRPr="0022328B">
              <w:rPr>
                <w:rFonts w:ascii="仿宋" w:eastAsia="仿宋" w:hAnsi="仿宋" w:cs="仿宋"/>
                <w:b w:val="0"/>
                <w:color w:val="000000" w:themeColor="text1"/>
                <w:sz w:val="21"/>
                <w:szCs w:val="21"/>
              </w:rPr>
              <w:t>感谢您对公司的关注！</w:t>
            </w:r>
          </w:p>
          <w:p w:rsidR="0022328B" w:rsidRPr="0022328B" w:rsidRDefault="0022328B" w:rsidP="0022328B">
            <w:pPr>
              <w:pStyle w:val="a5"/>
              <w:ind w:firstLine="422"/>
              <w:jc w:val="both"/>
              <w:rPr>
                <w:rFonts w:ascii="仿宋" w:eastAsia="仿宋" w:hAnsi="仿宋" w:cs="仿宋" w:hint="default"/>
                <w:color w:val="000000" w:themeColor="text1"/>
                <w:sz w:val="21"/>
                <w:szCs w:val="21"/>
              </w:rPr>
            </w:pPr>
            <w:r w:rsidRPr="0022328B">
              <w:rPr>
                <w:rFonts w:ascii="仿宋" w:eastAsia="仿宋" w:hAnsi="仿宋" w:cs="仿宋"/>
                <w:color w:val="000000" w:themeColor="text1"/>
                <w:sz w:val="21"/>
                <w:szCs w:val="21"/>
              </w:rPr>
              <w:t>问题2：在2024年中期，奇安信在市场拓展和技术研发方面有哪些新的进展？公司的产品或服务是否成功进入新的细分市场或获得了重要的客户认可？</w:t>
            </w:r>
          </w:p>
          <w:p w:rsidR="0022328B" w:rsidRPr="0022328B" w:rsidRDefault="0022328B" w:rsidP="0022328B">
            <w:pPr>
              <w:pStyle w:val="a5"/>
              <w:ind w:firstLine="420"/>
              <w:jc w:val="both"/>
              <w:rPr>
                <w:rFonts w:ascii="仿宋" w:eastAsia="仿宋" w:hAnsi="仿宋" w:cs="仿宋" w:hint="default"/>
                <w:b w:val="0"/>
                <w:color w:val="000000" w:themeColor="text1"/>
                <w:sz w:val="21"/>
                <w:szCs w:val="21"/>
              </w:rPr>
            </w:pPr>
            <w:r w:rsidRPr="0022328B">
              <w:rPr>
                <w:rFonts w:ascii="仿宋" w:eastAsia="仿宋" w:hAnsi="仿宋" w:cs="仿宋"/>
                <w:b w:val="0"/>
                <w:color w:val="000000" w:themeColor="text1"/>
                <w:sz w:val="21"/>
                <w:szCs w:val="21"/>
              </w:rPr>
              <w:t>尊敬的投资者，您好！1）市场拓展方面，从行业结构上看，企业级客户继续成为2024上半年收入贡献的主要来源，企业级客户、政府客户、公检法司分别占主营业务收入比为：80.81%、13.35%、5.84%，其中企业级客户主营业务收入占比较去年同期的68.71%增长了12.1个百分点。从收入的体量分布上看，百万级以上客户创收占营收比重超过70%，百万级以上客户单体创收增速接近38%。值得一提的是，500万级以上客户创收占营收比重超过50%，销售金额与去年同期基本持平，这是公司在市场端的基本盘和护城河。收入的区域结构方面，港澳地区同比增长504.08%，重庆同比增长99.99%，河北同比增长38.67%，浙江同比增长25.15%，新疆同比增长19.22%，北京同比增长3.50%。海外市场方面，上半年公司以国际研发中心和国际业务总部香港作为桥头堡，加快了在印尼、阿曼、埃及等国家的业务布局进度。此外，值得一提的是，近年来我国高端制造业出海提速，也给公司带来了全新的业务机遇。针对这一全新的增量市场，公司凭借产品和解决方案能力的优势，在汽车等高端制造业出海的进程中，树立了赛力斯等多个标杆案例。</w:t>
            </w:r>
          </w:p>
          <w:p w:rsidR="0022328B" w:rsidRPr="0022328B" w:rsidRDefault="0022328B" w:rsidP="0022328B">
            <w:pPr>
              <w:pStyle w:val="a5"/>
              <w:ind w:firstLine="420"/>
              <w:jc w:val="both"/>
              <w:rPr>
                <w:rFonts w:ascii="仿宋" w:eastAsia="仿宋" w:hAnsi="仿宋" w:cs="仿宋" w:hint="default"/>
                <w:b w:val="0"/>
                <w:color w:val="000000" w:themeColor="text1"/>
                <w:sz w:val="21"/>
                <w:szCs w:val="21"/>
              </w:rPr>
            </w:pPr>
            <w:r w:rsidRPr="0022328B">
              <w:rPr>
                <w:rFonts w:ascii="仿宋" w:eastAsia="仿宋" w:hAnsi="仿宋" w:cs="仿宋"/>
                <w:b w:val="0"/>
                <w:color w:val="000000" w:themeColor="text1"/>
                <w:sz w:val="21"/>
                <w:szCs w:val="21"/>
              </w:rPr>
              <w:t>2）技术研发方面，今年公司专门重点强化了产品体系化组合的“总体能力”，以跨产品的解决方案牵引产品间的协同联动，包括产品组合解决方案设计、产品路线图</w:t>
            </w:r>
            <w:r w:rsidRPr="0022328B">
              <w:rPr>
                <w:rFonts w:ascii="仿宋" w:eastAsia="仿宋" w:hAnsi="仿宋" w:cs="仿宋"/>
                <w:b w:val="0"/>
                <w:color w:val="000000" w:themeColor="text1"/>
                <w:sz w:val="21"/>
                <w:szCs w:val="21"/>
              </w:rPr>
              <w:lastRenderedPageBreak/>
              <w:t>管理、技术趋势跟踪与整合等。以此为基础，围绕“新质生产力”型客户，公司斩获了多个横跨数据安全、云安全、态势感知和终端安全等产品组合的千万级大项目，其中包括国家某算力枢纽节点的数据中心集群一体化安全保障项目等。算力安全市场对于公司来说，也是全新的增量和机遇。</w:t>
            </w:r>
          </w:p>
          <w:p w:rsidR="0022328B" w:rsidRPr="0022328B" w:rsidRDefault="0022328B" w:rsidP="0022328B">
            <w:pPr>
              <w:pStyle w:val="a5"/>
              <w:ind w:firstLine="420"/>
              <w:jc w:val="both"/>
              <w:rPr>
                <w:rFonts w:ascii="仿宋" w:eastAsia="仿宋" w:hAnsi="仿宋" w:cs="仿宋" w:hint="default"/>
                <w:b w:val="0"/>
                <w:color w:val="000000" w:themeColor="text1"/>
                <w:sz w:val="21"/>
                <w:szCs w:val="21"/>
              </w:rPr>
            </w:pPr>
            <w:r w:rsidRPr="0022328B">
              <w:rPr>
                <w:rFonts w:ascii="仿宋" w:eastAsia="仿宋" w:hAnsi="仿宋" w:cs="仿宋"/>
                <w:b w:val="0"/>
                <w:color w:val="000000" w:themeColor="text1"/>
                <w:sz w:val="21"/>
                <w:szCs w:val="21"/>
              </w:rPr>
              <w:t>公司参与申报的“超大规模多领域融合联邦靶场（鹏城网络靶场）关键技术及系统”项目获得国家科学技术进步二等奖，成为本年度网络攻防领域唯一的国家级科学技术进步奖。公司参与申报的某电子数据取证技术研究及应用项目，获评2023年公安部科学技术奖一等奖。继2022年凭借“关键信息基础设施安全保护关键技术与应用”获得公安部科学技术奖一等奖后，公司再次获此殊荣。</w:t>
            </w:r>
          </w:p>
          <w:p w:rsidR="0022328B" w:rsidRPr="0022328B" w:rsidRDefault="0022328B" w:rsidP="0022328B">
            <w:pPr>
              <w:pStyle w:val="a5"/>
              <w:ind w:firstLine="420"/>
              <w:jc w:val="both"/>
              <w:rPr>
                <w:rFonts w:ascii="仿宋" w:eastAsia="仿宋" w:hAnsi="仿宋" w:cs="仿宋" w:hint="default"/>
                <w:b w:val="0"/>
                <w:color w:val="000000" w:themeColor="text1"/>
                <w:sz w:val="21"/>
                <w:szCs w:val="21"/>
              </w:rPr>
            </w:pPr>
            <w:r w:rsidRPr="0022328B">
              <w:rPr>
                <w:rFonts w:ascii="仿宋" w:eastAsia="仿宋" w:hAnsi="仿宋" w:cs="仿宋"/>
                <w:b w:val="0"/>
                <w:color w:val="000000" w:themeColor="text1"/>
                <w:sz w:val="21"/>
                <w:szCs w:val="21"/>
              </w:rPr>
              <w:t>报告期内，公司参与已发布的网络安全国家标准共计9项，涉及数据安全、软件供应链安全、零信任、IPV6、密码技术、网络安全评估等众多领域。截至报告期末，公司累计承担国家重大专项、示范工程共计94项，攻克一批网络安全核心技术，荣获省部级科技进步相关奖项26项，参与国家标准制定75项，其中牵头2项，已完成49项，是参加网络安全领域国家标准最多的安全企业。</w:t>
            </w:r>
          </w:p>
          <w:p w:rsidR="0022328B" w:rsidRPr="0022328B" w:rsidRDefault="0022328B" w:rsidP="0022328B">
            <w:pPr>
              <w:pStyle w:val="a5"/>
              <w:ind w:firstLine="420"/>
              <w:jc w:val="both"/>
              <w:rPr>
                <w:rFonts w:ascii="仿宋" w:eastAsia="仿宋" w:hAnsi="仿宋" w:cs="仿宋" w:hint="default"/>
                <w:b w:val="0"/>
                <w:color w:val="000000" w:themeColor="text1"/>
                <w:sz w:val="21"/>
                <w:szCs w:val="21"/>
              </w:rPr>
            </w:pPr>
            <w:r w:rsidRPr="0022328B">
              <w:rPr>
                <w:rFonts w:ascii="仿宋" w:eastAsia="仿宋" w:hAnsi="仿宋" w:cs="仿宋"/>
                <w:b w:val="0"/>
                <w:color w:val="000000" w:themeColor="text1"/>
                <w:sz w:val="21"/>
                <w:szCs w:val="21"/>
              </w:rPr>
              <w:t>感谢您对公司的关注！</w:t>
            </w:r>
          </w:p>
          <w:p w:rsidR="0022328B" w:rsidRPr="0022328B" w:rsidRDefault="0022328B" w:rsidP="0022328B">
            <w:pPr>
              <w:pStyle w:val="a5"/>
              <w:ind w:firstLine="422"/>
              <w:jc w:val="both"/>
              <w:rPr>
                <w:rFonts w:ascii="仿宋" w:eastAsia="仿宋" w:hAnsi="仿宋" w:cs="仿宋" w:hint="default"/>
                <w:color w:val="000000" w:themeColor="text1"/>
                <w:sz w:val="21"/>
                <w:szCs w:val="21"/>
              </w:rPr>
            </w:pPr>
            <w:r w:rsidRPr="0022328B">
              <w:rPr>
                <w:rFonts w:ascii="仿宋" w:eastAsia="仿宋" w:hAnsi="仿宋" w:cs="仿宋"/>
                <w:color w:val="000000" w:themeColor="text1"/>
                <w:sz w:val="21"/>
                <w:szCs w:val="21"/>
              </w:rPr>
              <w:t>问题3：基于2024年中期的良好业绩，奇安信对未来的发展有何规划？特别是在云计算、大数据分析等新兴技术领域，公司是否有新的布局计划？</w:t>
            </w:r>
          </w:p>
          <w:p w:rsidR="0022328B" w:rsidRPr="0022328B" w:rsidRDefault="0022328B" w:rsidP="0022328B">
            <w:pPr>
              <w:pStyle w:val="a5"/>
              <w:ind w:firstLine="420"/>
              <w:jc w:val="both"/>
              <w:rPr>
                <w:rFonts w:ascii="仿宋" w:eastAsia="仿宋" w:hAnsi="仿宋" w:cs="仿宋" w:hint="default"/>
                <w:b w:val="0"/>
                <w:color w:val="000000" w:themeColor="text1"/>
                <w:sz w:val="21"/>
                <w:szCs w:val="21"/>
              </w:rPr>
            </w:pPr>
            <w:r w:rsidRPr="0022328B">
              <w:rPr>
                <w:rFonts w:ascii="仿宋" w:eastAsia="仿宋" w:hAnsi="仿宋" w:cs="仿宋"/>
                <w:b w:val="0"/>
                <w:color w:val="000000" w:themeColor="text1"/>
                <w:sz w:val="21"/>
                <w:szCs w:val="21"/>
              </w:rPr>
              <w:t>尊敬的投资者，您好！一直以来，大数据分析与云计算都是公司高度重视的技术领域，分别主要基于上述技术能力的态势感知品类和云安全品类也是公司的核心产品线：</w:t>
            </w:r>
          </w:p>
          <w:p w:rsidR="0022328B" w:rsidRPr="0022328B" w:rsidRDefault="0022328B" w:rsidP="0022328B">
            <w:pPr>
              <w:pStyle w:val="a5"/>
              <w:ind w:firstLine="420"/>
              <w:jc w:val="both"/>
              <w:rPr>
                <w:rFonts w:ascii="仿宋" w:eastAsia="仿宋" w:hAnsi="仿宋" w:cs="仿宋" w:hint="default"/>
                <w:b w:val="0"/>
                <w:color w:val="000000" w:themeColor="text1"/>
                <w:sz w:val="21"/>
                <w:szCs w:val="21"/>
              </w:rPr>
            </w:pPr>
            <w:r w:rsidRPr="0022328B">
              <w:rPr>
                <w:rFonts w:ascii="仿宋" w:eastAsia="仿宋" w:hAnsi="仿宋" w:cs="仿宋"/>
                <w:b w:val="0"/>
                <w:color w:val="000000" w:themeColor="text1"/>
                <w:sz w:val="21"/>
                <w:szCs w:val="21"/>
              </w:rPr>
              <w:t>1）大数据分析能力是网络安全的底层支撑技术，公司基于此构建了诸如“大禹”、“诺亚”等网络安全研发平台，将基础安全能力模块化和组件化，再配合少量定制化特殊组件，快速研发满足客户定制化需求的网络安全产品和解决方案，从而实现研发效率和产品竞争力的双提升。目前，公司基于研发平台能力的态势感知品类可全面满足市场的主流需求，其中态势感知与安全运营平台（NGSOC）提供终端、身份、应用、数据、网络、云等6大维度攻击面充分的威胁可见性，为安全管理者提供风险评估和应急响应的决策支撑，为安全运营人员提供威胁发现、调查分析及响应处置的安全运</w:t>
            </w:r>
            <w:r w:rsidRPr="0022328B">
              <w:rPr>
                <w:rFonts w:ascii="仿宋" w:eastAsia="仿宋" w:hAnsi="仿宋" w:cs="仿宋"/>
                <w:b w:val="0"/>
                <w:color w:val="000000" w:themeColor="text1"/>
                <w:sz w:val="21"/>
                <w:szCs w:val="21"/>
              </w:rPr>
              <w:lastRenderedPageBreak/>
              <w:t>营工具。威胁监测与分析系统（天眼）以攻防渗透和数据分析为核心竞争力，为安全服务和分析人员提供一套在监测预警、威胁检测、溯源分析、响应处置上得心应手的网络威胁监测与分析平台。参考IDC数据，公司的安全分析和情报市场份额连续四年排名第一，网络威胁检测与响应市场份额连续三年排名第一。今年6月，参考IDC报告《中国网络威胁检测与响应市场份额，2023：NDR 正在向更多技术栈延伸》，公司NDR产品的市场份额达到22.5%，连续三年排名第一。今年7月，Gartner发布技术成熟度曲线报告《2024年私有移动网络服务成熟度曲线》，公司入选成为我国攻击面管理（ASM）领域代表厂商。</w:t>
            </w:r>
          </w:p>
          <w:p w:rsidR="0022328B" w:rsidRPr="0022328B" w:rsidRDefault="0022328B" w:rsidP="0022328B">
            <w:pPr>
              <w:pStyle w:val="a5"/>
              <w:ind w:firstLine="420"/>
              <w:jc w:val="both"/>
              <w:rPr>
                <w:rFonts w:ascii="仿宋" w:eastAsia="仿宋" w:hAnsi="仿宋" w:cs="仿宋" w:hint="default"/>
                <w:b w:val="0"/>
                <w:color w:val="000000" w:themeColor="text1"/>
                <w:sz w:val="21"/>
                <w:szCs w:val="21"/>
              </w:rPr>
            </w:pPr>
            <w:r w:rsidRPr="0022328B">
              <w:rPr>
                <w:rFonts w:ascii="仿宋" w:eastAsia="仿宋" w:hAnsi="仿宋" w:cs="仿宋"/>
                <w:b w:val="0"/>
                <w:color w:val="000000" w:themeColor="text1"/>
                <w:sz w:val="21"/>
                <w:szCs w:val="21"/>
              </w:rPr>
              <w:t>2）云安全领域，公司为客户提供覆盖云基础设施安全、云网安全、云主机安全、应用安全和数据安全的全栈式云安全能力，满足在公有云、私有云、混合云和边缘云等多种云环境下，客户对云安全及相关服务的需求。公司凭借完整的云安全、云原生安全产品及服务体系，为客户持续提供云上的安全防护和安全合规能力。参考IDC发布的报告《中国私有云云工作负载安全市场份额，2023：CNAPP 助力企业实现全方位云原生安全防护》，公司以25.8%的占有率连续两年排名第一，在多个重要关基行业取得连续突破，形成示范级客户标杆，市场领先优势进一步扩大。今年5月，在中国信通院、云计算开源产业联盟联合发起的“2023年央国企上云用云典型案例遴选”活动中，公司的Q-SASE与某大型央企联合申报的安全建设及运营项目荣获《高安全高可用安全云服务平台实践》优秀案例奖。今年7月，IDC发布《中国安全资源池技术能力评估，2024》，公司CSMP云安全资源池在众多产品中脱颖而出，获得了5项满分（总共6项维度）的成绩。感谢您对公司的关注！</w:t>
            </w:r>
          </w:p>
          <w:p w:rsidR="00E33F1A" w:rsidRPr="0022328B" w:rsidRDefault="00FE4526" w:rsidP="0022328B">
            <w:pPr>
              <w:pStyle w:val="a5"/>
              <w:ind w:firstLine="422"/>
              <w:jc w:val="both"/>
              <w:rPr>
                <w:rFonts w:ascii="仿宋" w:eastAsia="仿宋" w:hAnsi="仿宋" w:cs="仿宋" w:hint="default"/>
                <w:color w:val="000000" w:themeColor="text1"/>
                <w:sz w:val="21"/>
                <w:szCs w:val="21"/>
              </w:rPr>
            </w:pPr>
            <w:r w:rsidRPr="0022328B">
              <w:rPr>
                <w:rFonts w:ascii="仿宋" w:eastAsia="仿宋" w:hAnsi="仿宋" w:cs="仿宋"/>
                <w:color w:val="000000" w:themeColor="text1"/>
                <w:sz w:val="21"/>
                <w:szCs w:val="21"/>
              </w:rPr>
              <w:t xml:space="preserve">  ——结束——</w:t>
            </w:r>
          </w:p>
        </w:tc>
      </w:tr>
      <w:tr w:rsidR="00E33F1A">
        <w:trPr>
          <w:trHeight w:val="1326"/>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F1A" w:rsidRDefault="00FE4526">
            <w:pPr>
              <w:snapToGrid w:val="0"/>
              <w:spacing w:after="0" w:line="240" w:lineRule="auto"/>
              <w:ind w:right="110"/>
              <w:jc w:val="center"/>
              <w:rPr>
                <w:rFonts w:ascii="等线" w:eastAsia="等线" w:hAnsi="等线" w:cs="等线"/>
                <w:sz w:val="24"/>
                <w:szCs w:val="24"/>
              </w:rPr>
            </w:pPr>
            <w:r>
              <w:rPr>
                <w:rFonts w:ascii="等线" w:eastAsia="等线" w:hAnsi="等线" w:cs="等线" w:hint="eastAsia"/>
                <w:sz w:val="24"/>
                <w:szCs w:val="24"/>
              </w:rPr>
              <w:lastRenderedPageBreak/>
              <w:t>附件清单</w:t>
            </w:r>
          </w:p>
          <w:p w:rsidR="00E33F1A" w:rsidRDefault="00FE4526">
            <w:pPr>
              <w:snapToGrid w:val="0"/>
              <w:spacing w:after="0" w:line="240" w:lineRule="auto"/>
              <w:ind w:right="110"/>
              <w:jc w:val="center"/>
              <w:rPr>
                <w:rFonts w:ascii="等线" w:eastAsia="等线" w:hAnsi="等线" w:cs="等线"/>
                <w:sz w:val="24"/>
                <w:szCs w:val="24"/>
              </w:rPr>
            </w:pPr>
            <w:r>
              <w:rPr>
                <w:rFonts w:ascii="等线" w:eastAsia="等线" w:hAnsi="等线" w:cs="等线" w:hint="eastAsia"/>
                <w:sz w:val="24"/>
                <w:szCs w:val="24"/>
              </w:rPr>
              <w:t>（参会机构人员单位、姓名）</w:t>
            </w:r>
          </w:p>
        </w:tc>
        <w:tc>
          <w:tcPr>
            <w:tcW w:w="78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F1A" w:rsidRDefault="00E33F1A">
            <w:pPr>
              <w:snapToGrid w:val="0"/>
              <w:spacing w:after="0" w:line="276" w:lineRule="auto"/>
              <w:rPr>
                <w:rFonts w:ascii="仿宋" w:eastAsia="仿宋" w:hAnsi="仿宋" w:cs="仿宋"/>
                <w:sz w:val="21"/>
                <w:szCs w:val="21"/>
              </w:rPr>
            </w:pPr>
            <w:bookmarkStart w:id="0" w:name="_GoBack"/>
            <w:bookmarkEnd w:id="0"/>
          </w:p>
        </w:tc>
      </w:tr>
      <w:tr w:rsidR="00E33F1A">
        <w:trPr>
          <w:trHeight w:val="290"/>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3F1A" w:rsidRDefault="00FE4526">
            <w:pPr>
              <w:snapToGrid w:val="0"/>
              <w:spacing w:after="0" w:line="360" w:lineRule="auto"/>
              <w:ind w:right="110"/>
              <w:jc w:val="center"/>
              <w:rPr>
                <w:rFonts w:ascii="等线" w:eastAsia="等线" w:hAnsi="等线" w:cs="等线"/>
                <w:sz w:val="24"/>
                <w:szCs w:val="24"/>
              </w:rPr>
            </w:pPr>
            <w:r>
              <w:rPr>
                <w:rFonts w:ascii="等线" w:eastAsia="等线" w:hAnsi="等线" w:cs="等线" w:hint="eastAsia"/>
                <w:sz w:val="24"/>
                <w:szCs w:val="24"/>
              </w:rPr>
              <w:t>日期</w:t>
            </w:r>
          </w:p>
        </w:tc>
        <w:tc>
          <w:tcPr>
            <w:tcW w:w="7876" w:type="dxa"/>
            <w:tcBorders>
              <w:top w:val="single" w:sz="4" w:space="0" w:color="000000"/>
              <w:left w:val="single" w:sz="4" w:space="0" w:color="000000"/>
              <w:bottom w:val="single" w:sz="4" w:space="0" w:color="000000"/>
              <w:right w:val="single" w:sz="4" w:space="0" w:color="000000"/>
            </w:tcBorders>
            <w:shd w:val="clear" w:color="auto" w:fill="auto"/>
            <w:vAlign w:val="bottom"/>
          </w:tcPr>
          <w:p w:rsidR="00E33F1A" w:rsidRDefault="00656DFA">
            <w:pPr>
              <w:snapToGrid w:val="0"/>
              <w:spacing w:after="0" w:line="360" w:lineRule="auto"/>
              <w:ind w:right="110"/>
              <w:rPr>
                <w:rFonts w:ascii="等线" w:eastAsia="等线" w:hAnsi="等线" w:cs="等线"/>
                <w:sz w:val="24"/>
                <w:szCs w:val="24"/>
              </w:rPr>
            </w:pPr>
            <w:r>
              <w:rPr>
                <w:rFonts w:ascii="等线" w:eastAsia="等线" w:hAnsi="等线" w:cs="等线" w:hint="eastAsia"/>
                <w:sz w:val="21"/>
                <w:szCs w:val="21"/>
              </w:rPr>
              <w:t>2024年</w:t>
            </w:r>
            <w:r>
              <w:rPr>
                <w:rFonts w:ascii="等线" w:eastAsia="等线" w:hAnsi="等线" w:cs="等线"/>
                <w:sz w:val="21"/>
                <w:szCs w:val="21"/>
              </w:rPr>
              <w:t>9</w:t>
            </w:r>
            <w:r>
              <w:rPr>
                <w:rFonts w:ascii="等线" w:eastAsia="等线" w:hAnsi="等线" w:cs="等线" w:hint="eastAsia"/>
                <w:sz w:val="21"/>
                <w:szCs w:val="21"/>
              </w:rPr>
              <w:t>月1</w:t>
            </w:r>
            <w:r>
              <w:rPr>
                <w:rFonts w:ascii="等线" w:eastAsia="等线" w:hAnsi="等线" w:cs="等线"/>
                <w:sz w:val="21"/>
                <w:szCs w:val="21"/>
              </w:rPr>
              <w:t>3</w:t>
            </w:r>
            <w:r>
              <w:rPr>
                <w:rFonts w:ascii="等线" w:eastAsia="等线" w:hAnsi="等线" w:cs="等线" w:hint="eastAsia"/>
                <w:sz w:val="21"/>
                <w:szCs w:val="21"/>
              </w:rPr>
              <w:t>日1</w:t>
            </w:r>
            <w:r>
              <w:rPr>
                <w:rFonts w:ascii="等线" w:eastAsia="等线" w:hAnsi="等线" w:cs="等线"/>
                <w:sz w:val="21"/>
                <w:szCs w:val="21"/>
              </w:rPr>
              <w:t>4</w:t>
            </w:r>
            <w:r>
              <w:rPr>
                <w:rFonts w:ascii="等线" w:eastAsia="等线" w:hAnsi="等线" w:cs="等线" w:hint="eastAsia"/>
                <w:sz w:val="21"/>
                <w:szCs w:val="21"/>
              </w:rPr>
              <w:t>点</w:t>
            </w:r>
            <w:r>
              <w:rPr>
                <w:rFonts w:ascii="等线" w:eastAsia="等线" w:hAnsi="等线" w:cs="等线"/>
                <w:sz w:val="21"/>
                <w:szCs w:val="21"/>
              </w:rPr>
              <w:t>00</w:t>
            </w:r>
            <w:r>
              <w:rPr>
                <w:rFonts w:ascii="等线" w:eastAsia="等线" w:hAnsi="等线" w:cs="等线" w:hint="eastAsia"/>
                <w:sz w:val="21"/>
                <w:szCs w:val="21"/>
              </w:rPr>
              <w:t>分-1</w:t>
            </w:r>
            <w:r>
              <w:rPr>
                <w:rFonts w:ascii="等线" w:eastAsia="等线" w:hAnsi="等线" w:cs="等线"/>
                <w:sz w:val="21"/>
                <w:szCs w:val="21"/>
              </w:rPr>
              <w:t>6</w:t>
            </w:r>
            <w:r>
              <w:rPr>
                <w:rFonts w:ascii="等线" w:eastAsia="等线" w:hAnsi="等线" w:cs="等线" w:hint="eastAsia"/>
                <w:sz w:val="21"/>
                <w:szCs w:val="21"/>
              </w:rPr>
              <w:t>点</w:t>
            </w:r>
            <w:r>
              <w:rPr>
                <w:rFonts w:ascii="等线" w:eastAsia="等线" w:hAnsi="等线" w:cs="等线"/>
                <w:sz w:val="21"/>
                <w:szCs w:val="21"/>
              </w:rPr>
              <w:t>00</w:t>
            </w:r>
            <w:r>
              <w:rPr>
                <w:rFonts w:ascii="等线" w:eastAsia="等线" w:hAnsi="等线" w:cs="等线" w:hint="eastAsia"/>
                <w:sz w:val="21"/>
                <w:szCs w:val="21"/>
              </w:rPr>
              <w:t>分</w:t>
            </w:r>
          </w:p>
        </w:tc>
      </w:tr>
    </w:tbl>
    <w:p w:rsidR="00E33F1A" w:rsidRDefault="00E33F1A"/>
    <w:sectPr w:rsidR="00E33F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884" w:rsidRDefault="00804884">
      <w:pPr>
        <w:spacing w:line="240" w:lineRule="auto"/>
      </w:pPr>
      <w:r>
        <w:separator/>
      </w:r>
    </w:p>
  </w:endnote>
  <w:endnote w:type="continuationSeparator" w:id="0">
    <w:p w:rsidR="00804884" w:rsidRDefault="008048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884" w:rsidRDefault="00804884">
      <w:pPr>
        <w:spacing w:after="0"/>
      </w:pPr>
      <w:r>
        <w:separator/>
      </w:r>
    </w:p>
  </w:footnote>
  <w:footnote w:type="continuationSeparator" w:id="0">
    <w:p w:rsidR="00804884" w:rsidRDefault="0080488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1Yzc4ZDllMTEzMGVmZmQyMjYxM2MyY2FiMjJmZTMifQ=="/>
  </w:docVars>
  <w:rsids>
    <w:rsidRoot w:val="135E6F84"/>
    <w:rsid w:val="0022328B"/>
    <w:rsid w:val="00231228"/>
    <w:rsid w:val="0053046A"/>
    <w:rsid w:val="00656DFA"/>
    <w:rsid w:val="00804884"/>
    <w:rsid w:val="00A926F3"/>
    <w:rsid w:val="00C025BC"/>
    <w:rsid w:val="00CD2566"/>
    <w:rsid w:val="00D73ADE"/>
    <w:rsid w:val="00E33F1A"/>
    <w:rsid w:val="00FE4526"/>
    <w:rsid w:val="026F400C"/>
    <w:rsid w:val="07A16F6A"/>
    <w:rsid w:val="0C2C20EB"/>
    <w:rsid w:val="0E155119"/>
    <w:rsid w:val="135E6F84"/>
    <w:rsid w:val="15D524F2"/>
    <w:rsid w:val="16DB5A0B"/>
    <w:rsid w:val="189F5F3A"/>
    <w:rsid w:val="200D643E"/>
    <w:rsid w:val="21D63323"/>
    <w:rsid w:val="224F56D7"/>
    <w:rsid w:val="24BB787A"/>
    <w:rsid w:val="2D936798"/>
    <w:rsid w:val="2E6764C9"/>
    <w:rsid w:val="3323690B"/>
    <w:rsid w:val="36F32FEF"/>
    <w:rsid w:val="3AEA533A"/>
    <w:rsid w:val="3BFF68EA"/>
    <w:rsid w:val="3F5C395C"/>
    <w:rsid w:val="406B1E48"/>
    <w:rsid w:val="47D87E9B"/>
    <w:rsid w:val="4D9549A9"/>
    <w:rsid w:val="4FB35827"/>
    <w:rsid w:val="53544517"/>
    <w:rsid w:val="54E762B6"/>
    <w:rsid w:val="55920E22"/>
    <w:rsid w:val="56280076"/>
    <w:rsid w:val="62DE623C"/>
    <w:rsid w:val="643B502E"/>
    <w:rsid w:val="6A3B0B83"/>
    <w:rsid w:val="6B125FD6"/>
    <w:rsid w:val="6C52406E"/>
    <w:rsid w:val="71FE2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AFD9C"/>
  <w15:docId w15:val="{146D0473-3103-4DEC-A07E-3F003E50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spacing w:after="160" w:line="259" w:lineRule="auto"/>
    </w:pPr>
    <w:rPr>
      <w:rFonts w:ascii="Calibri" w:eastAsia="Calibri" w:hAnsi="Calibri" w:cs="Calibri"/>
      <w:color w:val="00000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autoRedefine/>
    <w:qFormat/>
    <w:pPr>
      <w:widowControl w:val="0"/>
      <w:spacing w:after="0" w:line="240" w:lineRule="auto"/>
      <w:jc w:val="both"/>
    </w:pPr>
    <w:rPr>
      <w:rFonts w:ascii="宋体" w:eastAsia="宋体" w:hAnsi="Courier New" w:cs="Times New Roman"/>
      <w:color w:val="auto"/>
      <w:sz w:val="21"/>
      <w:szCs w:val="24"/>
    </w:rPr>
  </w:style>
  <w:style w:type="paragraph" w:styleId="a4">
    <w:name w:val="Normal (Web)"/>
    <w:basedOn w:val="a"/>
    <w:pPr>
      <w:spacing w:beforeAutospacing="1" w:after="0" w:afterAutospacing="1"/>
    </w:pPr>
    <w:rPr>
      <w:rFonts w:cs="Times New Roman"/>
      <w:kern w:val="0"/>
      <w:sz w:val="24"/>
    </w:rPr>
  </w:style>
  <w:style w:type="paragraph" w:customStyle="1" w:styleId="a5">
    <w:name w:val="问题格式"/>
    <w:basedOn w:val="a"/>
    <w:link w:val="Char"/>
    <w:autoRedefine/>
    <w:qFormat/>
    <w:pPr>
      <w:spacing w:line="360" w:lineRule="auto"/>
      <w:ind w:firstLineChars="200" w:firstLine="480"/>
    </w:pPr>
    <w:rPr>
      <w:rFonts w:ascii="宋体" w:eastAsia="宋体" w:hAnsi="宋体" w:cs="宋体" w:hint="eastAsia"/>
      <w:b/>
      <w:bCs/>
      <w:color w:val="0070C0"/>
      <w:sz w:val="24"/>
    </w:rPr>
  </w:style>
  <w:style w:type="character" w:customStyle="1" w:styleId="Char">
    <w:name w:val="问题格式 Char"/>
    <w:link w:val="a5"/>
    <w:autoRedefine/>
    <w:qFormat/>
    <w:rPr>
      <w:rFonts w:ascii="宋体" w:eastAsia="宋体" w:hAnsi="宋体" w:cs="宋体" w:hint="eastAsia"/>
      <w:b/>
      <w:bCs/>
      <w:color w:val="0070C0"/>
      <w:sz w:val="24"/>
    </w:rPr>
  </w:style>
  <w:style w:type="paragraph" w:styleId="a6">
    <w:name w:val="header"/>
    <w:basedOn w:val="a"/>
    <w:link w:val="a7"/>
    <w:rsid w:val="0053046A"/>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0"/>
    <w:link w:val="a6"/>
    <w:rsid w:val="0053046A"/>
    <w:rPr>
      <w:rFonts w:ascii="Calibri" w:eastAsia="Calibri" w:hAnsi="Calibri" w:cs="Calibri"/>
      <w:color w:val="000000"/>
      <w:kern w:val="2"/>
      <w:sz w:val="18"/>
      <w:szCs w:val="18"/>
    </w:rPr>
  </w:style>
  <w:style w:type="paragraph" w:styleId="a8">
    <w:name w:val="footer"/>
    <w:basedOn w:val="a"/>
    <w:link w:val="a9"/>
    <w:rsid w:val="0053046A"/>
    <w:pPr>
      <w:tabs>
        <w:tab w:val="center" w:pos="4153"/>
        <w:tab w:val="right" w:pos="8306"/>
      </w:tabs>
      <w:snapToGrid w:val="0"/>
      <w:spacing w:line="240" w:lineRule="auto"/>
    </w:pPr>
    <w:rPr>
      <w:sz w:val="18"/>
      <w:szCs w:val="18"/>
    </w:rPr>
  </w:style>
  <w:style w:type="character" w:customStyle="1" w:styleId="a9">
    <w:name w:val="页脚 字符"/>
    <w:basedOn w:val="a0"/>
    <w:link w:val="a8"/>
    <w:rsid w:val="0053046A"/>
    <w:rPr>
      <w:rFonts w:ascii="Calibri" w:eastAsia="Calibri" w:hAnsi="Calibri" w:cs="Calibri"/>
      <w:color w:val="000000"/>
      <w:kern w:val="2"/>
      <w:sz w:val="18"/>
      <w:szCs w:val="18"/>
    </w:rPr>
  </w:style>
  <w:style w:type="paragraph" w:customStyle="1" w:styleId="1">
    <w:name w:val="问题1"/>
    <w:basedOn w:val="a"/>
    <w:link w:val="10"/>
    <w:qFormat/>
    <w:rsid w:val="0022328B"/>
    <w:pPr>
      <w:widowControl w:val="0"/>
      <w:spacing w:after="0" w:line="360" w:lineRule="auto"/>
      <w:ind w:firstLineChars="200" w:firstLine="482"/>
      <w:jc w:val="both"/>
    </w:pPr>
    <w:rPr>
      <w:rFonts w:ascii="宋体" w:eastAsia="宋体" w:hAnsi="宋体" w:cstheme="minorBidi"/>
      <w:b/>
      <w:color w:val="2D53A0" w:themeColor="accent1" w:themeShade="BF"/>
      <w:sz w:val="24"/>
    </w:rPr>
  </w:style>
  <w:style w:type="paragraph" w:customStyle="1" w:styleId="11">
    <w:name w:val="正文1"/>
    <w:basedOn w:val="a"/>
    <w:link w:val="12"/>
    <w:qFormat/>
    <w:rsid w:val="0022328B"/>
    <w:pPr>
      <w:widowControl w:val="0"/>
      <w:spacing w:after="0" w:line="360" w:lineRule="auto"/>
      <w:ind w:firstLineChars="200" w:firstLine="480"/>
      <w:jc w:val="both"/>
    </w:pPr>
    <w:rPr>
      <w:rFonts w:ascii="宋体" w:eastAsia="宋体" w:hAnsi="宋体" w:cstheme="minorBidi"/>
      <w:color w:val="auto"/>
      <w:sz w:val="24"/>
    </w:rPr>
  </w:style>
  <w:style w:type="character" w:customStyle="1" w:styleId="10">
    <w:name w:val="问题1 字符"/>
    <w:basedOn w:val="a0"/>
    <w:link w:val="1"/>
    <w:rsid w:val="0022328B"/>
    <w:rPr>
      <w:rFonts w:ascii="宋体" w:hAnsi="宋体" w:cstheme="minorBidi"/>
      <w:b/>
      <w:color w:val="2D53A0" w:themeColor="accent1" w:themeShade="BF"/>
      <w:kern w:val="2"/>
      <w:sz w:val="24"/>
      <w:szCs w:val="22"/>
    </w:rPr>
  </w:style>
  <w:style w:type="character" w:customStyle="1" w:styleId="12">
    <w:name w:val="正文1 字符"/>
    <w:basedOn w:val="a0"/>
    <w:link w:val="11"/>
    <w:rsid w:val="0022328B"/>
    <w:rPr>
      <w:rFonts w:ascii="宋体" w:hAnsi="宋体"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509</Words>
  <Characters>2906</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刘玉萍01</cp:lastModifiedBy>
  <cp:revision>6</cp:revision>
  <dcterms:created xsi:type="dcterms:W3CDTF">2024-09-13T08:03:00Z</dcterms:created>
  <dcterms:modified xsi:type="dcterms:W3CDTF">2024-09-13T08:26:00Z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BF82C44205B64F5583C95C082B428300_11</vt:lpwstr>
  </property>
</Properties>
</file>