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4AA3EF5E"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0E65F5">
        <w:rPr>
          <w:rFonts w:eastAsiaTheme="minorEastAsia" w:hint="eastAsia"/>
          <w:bCs/>
          <w:iCs/>
          <w:sz w:val="24"/>
          <w:szCs w:val="24"/>
        </w:rPr>
        <w:t>4</w:t>
      </w:r>
      <w:r>
        <w:rPr>
          <w:rFonts w:eastAsiaTheme="minorEastAsia"/>
          <w:bCs/>
          <w:iCs/>
          <w:sz w:val="24"/>
          <w:szCs w:val="24"/>
        </w:rPr>
        <w:t>-0</w:t>
      </w:r>
      <w:r w:rsidR="00963CA6">
        <w:rPr>
          <w:rFonts w:eastAsiaTheme="minorEastAsia"/>
          <w:bCs/>
          <w:iCs/>
          <w:sz w:val="24"/>
          <w:szCs w:val="24"/>
        </w:rPr>
        <w:t>1</w:t>
      </w:r>
      <w:r w:rsidR="00F34E31">
        <w:rPr>
          <w:rFonts w:eastAsiaTheme="minorEastAsia"/>
          <w:bCs/>
          <w:iCs/>
          <w:sz w:val="24"/>
          <w:szCs w:val="24"/>
        </w:rPr>
        <w:t>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5C66D2A8" w:rsidR="00517116" w:rsidRDefault="005655EA">
            <w:pPr>
              <w:spacing w:line="360" w:lineRule="auto"/>
              <w:rPr>
                <w:rFonts w:eastAsiaTheme="minorEastAsia"/>
                <w:bCs/>
                <w:iCs/>
                <w:sz w:val="24"/>
                <w:szCs w:val="24"/>
              </w:rPr>
            </w:pPr>
            <w:r>
              <w:rPr>
                <w:rFonts w:eastAsiaTheme="minorEastAsia" w:hint="eastAsia"/>
                <w:bCs/>
                <w:iCs/>
                <w:sz w:val="24"/>
                <w:szCs w:val="24"/>
              </w:rPr>
              <w:t>□</w:t>
            </w:r>
            <w:r w:rsidR="00A94035">
              <w:rPr>
                <w:rFonts w:eastAsiaTheme="minorEastAsia" w:hint="eastAsia"/>
                <w:sz w:val="24"/>
                <w:szCs w:val="24"/>
              </w:rPr>
              <w:t>特定对象调研</w:t>
            </w:r>
            <w:r w:rsidR="00A94035">
              <w:rPr>
                <w:rFonts w:eastAsiaTheme="minorEastAsia" w:hint="eastAsia"/>
                <w:sz w:val="24"/>
                <w:szCs w:val="24"/>
              </w:rPr>
              <w:t xml:space="preserve">       </w:t>
            </w:r>
            <w:r w:rsidR="00A94035">
              <w:rPr>
                <w:rFonts w:eastAsiaTheme="minorEastAsia" w:hint="eastAsia"/>
                <w:bCs/>
                <w:iCs/>
                <w:sz w:val="24"/>
                <w:szCs w:val="24"/>
              </w:rPr>
              <w:t>□</w:t>
            </w:r>
            <w:r w:rsidR="00A94035">
              <w:rPr>
                <w:rFonts w:eastAsiaTheme="minorEastAsia" w:hint="eastAsia"/>
                <w:sz w:val="24"/>
                <w:szCs w:val="24"/>
              </w:rPr>
              <w:t>分析师会议</w:t>
            </w:r>
          </w:p>
          <w:p w14:paraId="2AC39D47" w14:textId="30A047AF"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sidR="005655EA">
              <w:rPr>
                <w:rFonts w:eastAsiaTheme="minorEastAsia" w:hint="eastAsia"/>
                <w:bCs/>
                <w:iCs/>
                <w:sz w:val="24"/>
                <w:szCs w:val="24"/>
              </w:rPr>
              <w:sym w:font="Wingdings 2" w:char="0052"/>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59C4868B" w:rsidR="007126EF" w:rsidRDefault="00436A39" w:rsidP="00457A5C">
            <w:pPr>
              <w:spacing w:line="360" w:lineRule="auto"/>
              <w:rPr>
                <w:rFonts w:eastAsiaTheme="minorEastAsia"/>
                <w:bCs/>
                <w:iCs/>
                <w:sz w:val="24"/>
                <w:szCs w:val="24"/>
              </w:rPr>
            </w:pPr>
            <w:r>
              <w:rPr>
                <w:rFonts w:eastAsiaTheme="minorEastAsia" w:hint="eastAsia"/>
                <w:bCs/>
                <w:iCs/>
                <w:sz w:val="24"/>
                <w:szCs w:val="24"/>
              </w:rPr>
              <w:t>2024</w:t>
            </w:r>
            <w:r>
              <w:rPr>
                <w:rFonts w:eastAsiaTheme="minorEastAsia" w:hint="eastAsia"/>
                <w:bCs/>
                <w:iCs/>
                <w:sz w:val="24"/>
                <w:szCs w:val="24"/>
              </w:rPr>
              <w:t>年</w:t>
            </w:r>
            <w:r w:rsidR="00F34E31">
              <w:rPr>
                <w:rFonts w:eastAsiaTheme="minorEastAsia" w:hint="eastAsia"/>
                <w:bCs/>
                <w:iCs/>
                <w:sz w:val="24"/>
                <w:szCs w:val="24"/>
              </w:rPr>
              <w:t>9</w:t>
            </w:r>
            <w:r>
              <w:rPr>
                <w:rFonts w:eastAsiaTheme="minorEastAsia" w:hint="eastAsia"/>
                <w:bCs/>
                <w:iCs/>
                <w:sz w:val="24"/>
                <w:szCs w:val="24"/>
              </w:rPr>
              <w:t>月</w:t>
            </w:r>
            <w:r w:rsidR="005655EA">
              <w:rPr>
                <w:rFonts w:eastAsiaTheme="minorEastAsia" w:hint="eastAsia"/>
                <w:bCs/>
                <w:iCs/>
                <w:sz w:val="24"/>
                <w:szCs w:val="24"/>
              </w:rPr>
              <w:t>1</w:t>
            </w:r>
            <w:r w:rsidR="00F34E31">
              <w:rPr>
                <w:rFonts w:eastAsiaTheme="minorEastAsia"/>
                <w:bCs/>
                <w:iCs/>
                <w:sz w:val="24"/>
                <w:szCs w:val="24"/>
              </w:rPr>
              <w:t>9</w:t>
            </w:r>
            <w:r>
              <w:rPr>
                <w:rFonts w:eastAsiaTheme="minorEastAsia" w:hint="eastAsia"/>
                <w:bCs/>
                <w:iCs/>
                <w:sz w:val="24"/>
                <w:szCs w:val="24"/>
              </w:rPr>
              <w:t>日</w:t>
            </w:r>
            <w:r w:rsidR="005655EA">
              <w:rPr>
                <w:rFonts w:eastAsiaTheme="minorEastAsia" w:hint="eastAsia"/>
                <w:bCs/>
                <w:iCs/>
                <w:sz w:val="24"/>
                <w:szCs w:val="24"/>
              </w:rPr>
              <w:t>下午</w:t>
            </w:r>
            <w:r w:rsidR="005655EA">
              <w:rPr>
                <w:rFonts w:eastAsiaTheme="minorEastAsia" w:hint="eastAsia"/>
                <w:bCs/>
                <w:iCs/>
                <w:sz w:val="24"/>
                <w:szCs w:val="24"/>
              </w:rPr>
              <w:t>1</w:t>
            </w:r>
            <w:r w:rsidR="00F34E31">
              <w:rPr>
                <w:rFonts w:eastAsiaTheme="minorEastAsia"/>
                <w:bCs/>
                <w:iCs/>
                <w:sz w:val="24"/>
                <w:szCs w:val="24"/>
              </w:rPr>
              <w:t>4</w:t>
            </w:r>
            <w:r w:rsidR="005655EA">
              <w:rPr>
                <w:rFonts w:eastAsiaTheme="minorEastAsia" w:hint="eastAsia"/>
                <w:bCs/>
                <w:iCs/>
                <w:sz w:val="24"/>
                <w:szCs w:val="24"/>
              </w:rPr>
              <w:t>：</w:t>
            </w:r>
            <w:r w:rsidR="005655EA">
              <w:rPr>
                <w:rFonts w:eastAsiaTheme="minorEastAsia" w:hint="eastAsia"/>
                <w:bCs/>
                <w:iCs/>
                <w:sz w:val="24"/>
                <w:szCs w:val="24"/>
              </w:rPr>
              <w:t>0</w:t>
            </w:r>
            <w:r w:rsidR="005655EA">
              <w:rPr>
                <w:rFonts w:eastAsiaTheme="minorEastAsia"/>
                <w:bCs/>
                <w:iCs/>
                <w:sz w:val="24"/>
                <w:szCs w:val="24"/>
              </w:rPr>
              <w:t>0- 1</w:t>
            </w:r>
            <w:r w:rsidR="00963CA6">
              <w:rPr>
                <w:rFonts w:eastAsiaTheme="minorEastAsia"/>
                <w:bCs/>
                <w:iCs/>
                <w:sz w:val="24"/>
                <w:szCs w:val="24"/>
              </w:rPr>
              <w:t>6</w:t>
            </w:r>
            <w:r w:rsidR="005655EA">
              <w:rPr>
                <w:rFonts w:eastAsiaTheme="minorEastAsia" w:hint="eastAsia"/>
                <w:bCs/>
                <w:iCs/>
                <w:sz w:val="24"/>
                <w:szCs w:val="24"/>
              </w:rPr>
              <w:t>：</w:t>
            </w:r>
            <w:r w:rsidR="00F34E31">
              <w:rPr>
                <w:rFonts w:eastAsiaTheme="minorEastAsia" w:hint="eastAsia"/>
                <w:bCs/>
                <w:iCs/>
                <w:sz w:val="24"/>
                <w:szCs w:val="24"/>
              </w:rPr>
              <w:t>0</w:t>
            </w:r>
            <w:r w:rsidR="005655EA">
              <w:rPr>
                <w:rFonts w:eastAsiaTheme="minorEastAsia"/>
                <w:bCs/>
                <w:iCs/>
                <w:sz w:val="24"/>
                <w:szCs w:val="24"/>
              </w:rPr>
              <w:t>0</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299EA325" w:rsidR="007126EF" w:rsidRDefault="00F34E31" w:rsidP="00F43062">
            <w:pPr>
              <w:spacing w:line="360" w:lineRule="auto"/>
              <w:rPr>
                <w:rFonts w:eastAsiaTheme="minorEastAsia"/>
                <w:bCs/>
                <w:iCs/>
                <w:sz w:val="24"/>
                <w:szCs w:val="24"/>
              </w:rPr>
            </w:pPr>
            <w:r w:rsidRPr="00F34E31">
              <w:rPr>
                <w:rFonts w:eastAsiaTheme="minorEastAsia" w:hint="eastAsia"/>
                <w:bCs/>
                <w:iCs/>
                <w:sz w:val="24"/>
                <w:szCs w:val="24"/>
              </w:rPr>
              <w:t>上海证券交易所上证路演中心（</w:t>
            </w:r>
            <w:r w:rsidRPr="00F34E31">
              <w:rPr>
                <w:rFonts w:eastAsiaTheme="minorEastAsia" w:hint="eastAsia"/>
                <w:bCs/>
                <w:iCs/>
                <w:sz w:val="24"/>
                <w:szCs w:val="24"/>
              </w:rPr>
              <w:t>http://roadshow.sseinfo.com/</w:t>
            </w:r>
            <w:r w:rsidRPr="00F34E31">
              <w:rPr>
                <w:rFonts w:eastAsiaTheme="minorEastAsia" w:hint="eastAsia"/>
                <w:bCs/>
                <w:iCs/>
                <w:sz w:val="24"/>
                <w:szCs w:val="24"/>
              </w:rPr>
              <w:t>）</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177B60EF" w:rsidR="007126EF" w:rsidRDefault="005655EA" w:rsidP="00457A5C">
            <w:pPr>
              <w:spacing w:line="360" w:lineRule="auto"/>
              <w:rPr>
                <w:rFonts w:eastAsiaTheme="minorEastAsia"/>
                <w:bCs/>
                <w:iCs/>
                <w:sz w:val="24"/>
                <w:szCs w:val="24"/>
              </w:rPr>
            </w:pPr>
            <w:r>
              <w:rPr>
                <w:rFonts w:eastAsiaTheme="minorEastAsia" w:hint="eastAsia"/>
                <w:bCs/>
                <w:iCs/>
                <w:sz w:val="24"/>
                <w:szCs w:val="24"/>
              </w:rPr>
              <w:t>董事、总经理刘占杰先生、</w:t>
            </w:r>
            <w:r w:rsidR="00F34E31">
              <w:rPr>
                <w:rFonts w:eastAsiaTheme="minorEastAsia" w:hint="eastAsia"/>
                <w:bCs/>
                <w:iCs/>
                <w:sz w:val="24"/>
                <w:szCs w:val="24"/>
              </w:rPr>
              <w:t>独立董事黄生先生、</w:t>
            </w:r>
            <w:r>
              <w:rPr>
                <w:rFonts w:eastAsiaTheme="minorEastAsia" w:hint="eastAsia"/>
                <w:bCs/>
                <w:iCs/>
                <w:sz w:val="24"/>
                <w:szCs w:val="24"/>
              </w:rPr>
              <w:t>首席财务官莫瑞娟女士、</w:t>
            </w:r>
            <w:r w:rsidR="00457A5C" w:rsidRPr="00457A5C">
              <w:rPr>
                <w:rFonts w:eastAsiaTheme="minorEastAsia" w:hint="eastAsia"/>
                <w:bCs/>
                <w:iCs/>
                <w:sz w:val="24"/>
                <w:szCs w:val="24"/>
              </w:rPr>
              <w:t>董事会秘书黄艳莉</w:t>
            </w:r>
            <w:r>
              <w:rPr>
                <w:rFonts w:eastAsiaTheme="minorEastAsia" w:hint="eastAsia"/>
                <w:bCs/>
                <w:iCs/>
                <w:sz w:val="24"/>
                <w:szCs w:val="24"/>
              </w:rPr>
              <w:t>女士</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3EF777D4" w14:textId="13D4B1F9" w:rsidR="005655EA" w:rsidRDefault="005655EA" w:rsidP="00457A5C">
            <w:pPr>
              <w:spacing w:line="360" w:lineRule="auto"/>
              <w:ind w:firstLineChars="200" w:firstLine="480"/>
              <w:rPr>
                <w:rFonts w:asciiTheme="minorEastAsia" w:eastAsiaTheme="minorEastAsia" w:hAnsiTheme="minorEastAsia" w:cs="Arial"/>
                <w:bCs/>
                <w:sz w:val="24"/>
                <w:szCs w:val="24"/>
                <w:shd w:val="clear" w:color="auto" w:fill="FFFFFF"/>
              </w:rPr>
            </w:pPr>
            <w:r w:rsidRPr="005655EA">
              <w:rPr>
                <w:rFonts w:asciiTheme="minorEastAsia" w:eastAsiaTheme="minorEastAsia" w:hAnsiTheme="minorEastAsia" w:cs="Arial" w:hint="eastAsia"/>
                <w:bCs/>
                <w:sz w:val="24"/>
                <w:szCs w:val="24"/>
                <w:shd w:val="clear" w:color="auto" w:fill="FFFFFF"/>
              </w:rPr>
              <w:t>为便于广大投资者</w:t>
            </w:r>
            <w:r w:rsidR="00963CA6">
              <w:rPr>
                <w:rFonts w:asciiTheme="minorEastAsia" w:eastAsiaTheme="minorEastAsia" w:hAnsiTheme="minorEastAsia" w:cs="Arial" w:hint="eastAsia"/>
                <w:bCs/>
                <w:sz w:val="24"/>
                <w:szCs w:val="24"/>
                <w:shd w:val="clear" w:color="auto" w:fill="FFFFFF"/>
              </w:rPr>
              <w:t>进一步</w:t>
            </w:r>
            <w:r w:rsidRPr="005655EA">
              <w:rPr>
                <w:rFonts w:asciiTheme="minorEastAsia" w:eastAsiaTheme="minorEastAsia" w:hAnsiTheme="minorEastAsia" w:cs="Arial" w:hint="eastAsia"/>
                <w:bCs/>
                <w:sz w:val="24"/>
                <w:szCs w:val="24"/>
                <w:shd w:val="clear" w:color="auto" w:fill="FFFFFF"/>
              </w:rPr>
              <w:t>全面深入地了解公司202</w:t>
            </w:r>
            <w:r w:rsidR="00F34E31">
              <w:rPr>
                <w:rFonts w:asciiTheme="minorEastAsia" w:eastAsiaTheme="minorEastAsia" w:hAnsiTheme="minorEastAsia" w:cs="Arial"/>
                <w:bCs/>
                <w:sz w:val="24"/>
                <w:szCs w:val="24"/>
                <w:shd w:val="clear" w:color="auto" w:fill="FFFFFF"/>
              </w:rPr>
              <w:t>4</w:t>
            </w:r>
            <w:r w:rsidRPr="005655EA">
              <w:rPr>
                <w:rFonts w:asciiTheme="minorEastAsia" w:eastAsiaTheme="minorEastAsia" w:hAnsiTheme="minorEastAsia" w:cs="Arial" w:hint="eastAsia"/>
                <w:bCs/>
                <w:sz w:val="24"/>
                <w:szCs w:val="24"/>
                <w:shd w:val="clear" w:color="auto" w:fill="FFFFFF"/>
              </w:rPr>
              <w:t>年</w:t>
            </w:r>
            <w:r w:rsidR="00F34E31">
              <w:rPr>
                <w:rFonts w:asciiTheme="minorEastAsia" w:eastAsiaTheme="minorEastAsia" w:hAnsiTheme="minorEastAsia" w:cs="Arial" w:hint="eastAsia"/>
                <w:bCs/>
                <w:sz w:val="24"/>
                <w:szCs w:val="24"/>
                <w:shd w:val="clear" w:color="auto" w:fill="FFFFFF"/>
              </w:rPr>
              <w:t>半</w:t>
            </w:r>
            <w:r>
              <w:rPr>
                <w:rFonts w:asciiTheme="minorEastAsia" w:eastAsiaTheme="minorEastAsia" w:hAnsiTheme="minorEastAsia" w:cs="Arial" w:hint="eastAsia"/>
                <w:bCs/>
                <w:sz w:val="24"/>
                <w:szCs w:val="24"/>
                <w:shd w:val="clear" w:color="auto" w:fill="FFFFFF"/>
              </w:rPr>
              <w:t>年</w:t>
            </w:r>
            <w:r w:rsidRPr="005655EA">
              <w:rPr>
                <w:rFonts w:asciiTheme="minorEastAsia" w:eastAsiaTheme="minorEastAsia" w:hAnsiTheme="minorEastAsia" w:cs="Arial" w:hint="eastAsia"/>
                <w:bCs/>
                <w:sz w:val="24"/>
                <w:szCs w:val="24"/>
                <w:shd w:val="clear" w:color="auto" w:fill="FFFFFF"/>
              </w:rPr>
              <w:t>度经营成果、财务状况</w:t>
            </w:r>
            <w:r>
              <w:rPr>
                <w:rFonts w:asciiTheme="minorEastAsia" w:eastAsiaTheme="minorEastAsia" w:hAnsiTheme="minorEastAsia" w:cs="Arial" w:hint="eastAsia"/>
                <w:bCs/>
                <w:sz w:val="24"/>
                <w:szCs w:val="24"/>
                <w:shd w:val="clear" w:color="auto" w:fill="FFFFFF"/>
              </w:rPr>
              <w:t>、发展理念</w:t>
            </w:r>
            <w:r w:rsidRPr="005655EA">
              <w:rPr>
                <w:rFonts w:asciiTheme="minorEastAsia" w:eastAsiaTheme="minorEastAsia" w:hAnsiTheme="minorEastAsia" w:cs="Arial" w:hint="eastAsia"/>
                <w:bCs/>
                <w:sz w:val="24"/>
                <w:szCs w:val="24"/>
                <w:shd w:val="clear" w:color="auto" w:fill="FFFFFF"/>
              </w:rPr>
              <w:t>，</w:t>
            </w:r>
            <w:r w:rsidR="00F34E31" w:rsidRPr="00F34E31">
              <w:rPr>
                <w:rFonts w:asciiTheme="minorEastAsia" w:eastAsiaTheme="minorEastAsia" w:hAnsiTheme="minorEastAsia" w:cs="Arial" w:hint="eastAsia"/>
                <w:bCs/>
                <w:sz w:val="24"/>
                <w:szCs w:val="24"/>
                <w:shd w:val="clear" w:color="auto" w:fill="FFFFFF"/>
              </w:rPr>
              <w:t>公司参与了由上交所主办的2024年半年度科创板医疗器械及医疗设备专场集体业绩说明会，</w:t>
            </w:r>
            <w:r w:rsidRPr="005655EA">
              <w:rPr>
                <w:rFonts w:asciiTheme="minorEastAsia" w:eastAsiaTheme="minorEastAsia" w:hAnsiTheme="minorEastAsia" w:cs="Arial" w:hint="eastAsia"/>
                <w:bCs/>
                <w:sz w:val="24"/>
                <w:szCs w:val="24"/>
                <w:shd w:val="clear" w:color="auto" w:fill="FFFFFF"/>
              </w:rPr>
              <w:t>现将</w:t>
            </w:r>
            <w:r w:rsidR="00F34E31">
              <w:rPr>
                <w:rFonts w:asciiTheme="minorEastAsia" w:eastAsiaTheme="minorEastAsia" w:hAnsiTheme="minorEastAsia" w:cs="Arial" w:hint="eastAsia"/>
                <w:bCs/>
                <w:sz w:val="24"/>
                <w:szCs w:val="24"/>
                <w:shd w:val="clear" w:color="auto" w:fill="FFFFFF"/>
              </w:rPr>
              <w:t>网络</w:t>
            </w:r>
            <w:r w:rsidR="00391E95">
              <w:rPr>
                <w:rFonts w:asciiTheme="minorEastAsia" w:eastAsiaTheme="minorEastAsia" w:hAnsiTheme="minorEastAsia" w:cs="Arial" w:hint="eastAsia"/>
                <w:bCs/>
                <w:sz w:val="24"/>
                <w:szCs w:val="24"/>
                <w:shd w:val="clear" w:color="auto" w:fill="FFFFFF"/>
              </w:rPr>
              <w:t>文字</w:t>
            </w:r>
            <w:r w:rsidRPr="005655EA">
              <w:rPr>
                <w:rFonts w:asciiTheme="minorEastAsia" w:eastAsiaTheme="minorEastAsia" w:hAnsiTheme="minorEastAsia" w:cs="Arial" w:hint="eastAsia"/>
                <w:bCs/>
                <w:sz w:val="24"/>
                <w:szCs w:val="24"/>
                <w:shd w:val="clear" w:color="auto" w:fill="FFFFFF"/>
              </w:rPr>
              <w:t>互动交流内容汇总如下：</w:t>
            </w:r>
          </w:p>
          <w:p w14:paraId="7CBB7538" w14:textId="7152A053" w:rsidR="00124231" w:rsidRPr="00DB7EEE" w:rsidRDefault="00124231" w:rsidP="00457A5C">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问题一：</w:t>
            </w:r>
            <w:r w:rsidR="00062956" w:rsidRPr="00062956">
              <w:rPr>
                <w:rFonts w:asciiTheme="minorEastAsia" w:eastAsiaTheme="minorEastAsia" w:hAnsiTheme="minorEastAsia" w:cs="Arial" w:hint="eastAsia"/>
                <w:b/>
                <w:sz w:val="24"/>
                <w:szCs w:val="24"/>
                <w:shd w:val="clear" w:color="auto" w:fill="FFFFFF"/>
              </w:rPr>
              <w:t>海尔收购了很多新成员，业务目标有无达成，成长性如何；原低温存储产业为什么下滑很严重</w:t>
            </w:r>
            <w:r w:rsidR="00062956">
              <w:rPr>
                <w:rFonts w:asciiTheme="minorEastAsia" w:eastAsiaTheme="minorEastAsia" w:hAnsiTheme="minorEastAsia" w:cs="Arial" w:hint="eastAsia"/>
                <w:b/>
                <w:sz w:val="24"/>
                <w:szCs w:val="24"/>
                <w:shd w:val="clear" w:color="auto" w:fill="FFFFFF"/>
              </w:rPr>
              <w:t>？</w:t>
            </w:r>
          </w:p>
          <w:p w14:paraId="7A5D7D3B" w14:textId="77777777" w:rsidR="00062956" w:rsidRPr="00062956" w:rsidRDefault="00124231" w:rsidP="00062956">
            <w:pPr>
              <w:spacing w:line="360" w:lineRule="auto"/>
              <w:ind w:firstLineChars="200" w:firstLine="480"/>
              <w:rPr>
                <w:rFonts w:asciiTheme="minorEastAsia" w:eastAsiaTheme="minorEastAsia" w:hAnsiTheme="minorEastAsia" w:cs="Arial" w:hint="eastAsia"/>
                <w:bCs/>
                <w:sz w:val="24"/>
                <w:szCs w:val="24"/>
                <w:shd w:val="clear" w:color="auto" w:fill="FFFFFF"/>
              </w:rPr>
            </w:pPr>
            <w:r>
              <w:rPr>
                <w:rFonts w:asciiTheme="minorEastAsia" w:eastAsiaTheme="minorEastAsia" w:hAnsiTheme="minorEastAsia" w:cs="Arial" w:hint="eastAsia"/>
                <w:bCs/>
                <w:sz w:val="24"/>
                <w:szCs w:val="24"/>
                <w:shd w:val="clear" w:color="auto" w:fill="FFFFFF"/>
              </w:rPr>
              <w:t>答：</w:t>
            </w:r>
            <w:r w:rsidR="00062956" w:rsidRPr="00062956">
              <w:rPr>
                <w:rFonts w:asciiTheme="minorEastAsia" w:eastAsiaTheme="minorEastAsia" w:hAnsiTheme="minorEastAsia" w:cs="Arial" w:hint="eastAsia"/>
                <w:bCs/>
                <w:sz w:val="24"/>
                <w:szCs w:val="24"/>
                <w:shd w:val="clear" w:color="auto" w:fill="FFFFFF"/>
              </w:rPr>
              <w:t>尊敬的投资者您好，公司坚持“内生+外延”双增长引擎，秉持“同心圆”整合并购策略，精准定位那些技术壁垒深厚、发展潜力巨大且与公司具有高度协同效应的细分行业龙头，旨在加速战略布局的拓展与业务间的互补协同，目前公司并购标的的成长与业务融合进程顺利：公司于2017年并购的海尔生物医疗科技（成都）自加入以来年复合增长率达30%；2020年并购的海尔血技（重庆）2019 年～2023年营业收入复合增长率达13.61%；2022年加入公司的金卫信今年上半年收入增速超30%、康盛生物上半年收入实现4倍增长；2023年并</w:t>
            </w:r>
            <w:r w:rsidR="00062956" w:rsidRPr="00062956">
              <w:rPr>
                <w:rFonts w:asciiTheme="minorEastAsia" w:eastAsiaTheme="minorEastAsia" w:hAnsiTheme="minorEastAsia" w:cs="Arial" w:hint="eastAsia"/>
                <w:bCs/>
                <w:sz w:val="24"/>
                <w:szCs w:val="24"/>
                <w:shd w:val="clear" w:color="auto" w:fill="FFFFFF"/>
              </w:rPr>
              <w:lastRenderedPageBreak/>
              <w:t>购的海尔生物医疗科技(苏州)今年半年营收规模已超去年全年，新增订单同比增长2倍。</w:t>
            </w:r>
          </w:p>
          <w:p w14:paraId="3C214439" w14:textId="77777777" w:rsidR="00062956" w:rsidRDefault="00062956" w:rsidP="00062956">
            <w:pPr>
              <w:spacing w:line="360" w:lineRule="auto"/>
              <w:ind w:firstLineChars="200" w:firstLine="480"/>
              <w:rPr>
                <w:rFonts w:asciiTheme="minorEastAsia" w:eastAsiaTheme="minorEastAsia" w:hAnsiTheme="minorEastAsia" w:cs="Arial"/>
                <w:bCs/>
                <w:sz w:val="24"/>
                <w:szCs w:val="24"/>
                <w:shd w:val="clear" w:color="auto" w:fill="FFFFFF"/>
              </w:rPr>
            </w:pPr>
            <w:r w:rsidRPr="00062956">
              <w:rPr>
                <w:rFonts w:asciiTheme="minorEastAsia" w:eastAsiaTheme="minorEastAsia" w:hAnsiTheme="minorEastAsia" w:cs="Arial" w:hint="eastAsia"/>
                <w:bCs/>
                <w:sz w:val="24"/>
                <w:szCs w:val="24"/>
                <w:shd w:val="clear" w:color="auto" w:fill="FFFFFF"/>
              </w:rPr>
              <w:t>上半年低温存储行业需求仍处于常态化回归的过程中，用户端呈现需求疲软、订单延迟等不利影响，今年上半年公司低温存储业务同比下降亦主要受太阳能疫苗方案订单执行延迟的影响所致，进入三季度后海外项目的订单交付速度加快，预计下半年相关因素的扰动会逐渐减少。面对低温存储行业的挑战，公司主要通过把握用户需求的场景方案化趋势和加大海外市场的开拓力度等策略进行积极应对，上半年公司生物样本库方案新增订单增长2倍，海外超低温/低温/恒温等产品线全面增长，有力地保障了低温存储业务的领先地位。</w:t>
            </w:r>
          </w:p>
          <w:p w14:paraId="60CCFAD4" w14:textId="753A543B" w:rsidR="002D54DC" w:rsidRPr="00DB7EEE" w:rsidRDefault="002D54DC" w:rsidP="00062956">
            <w:pPr>
              <w:spacing w:line="360" w:lineRule="auto"/>
              <w:ind w:firstLineChars="200" w:firstLine="482"/>
              <w:rPr>
                <w:rFonts w:asciiTheme="minorEastAsia" w:eastAsiaTheme="minorEastAsia" w:hAnsiTheme="minorEastAsia" w:cs="Arial"/>
                <w:b/>
                <w:sz w:val="24"/>
                <w:szCs w:val="24"/>
                <w:shd w:val="clear" w:color="auto" w:fill="FFFFFF"/>
              </w:rPr>
            </w:pPr>
            <w:r w:rsidRPr="00DB7EEE">
              <w:rPr>
                <w:rFonts w:asciiTheme="minorEastAsia" w:eastAsiaTheme="minorEastAsia" w:hAnsiTheme="minorEastAsia" w:cs="Arial" w:hint="eastAsia"/>
                <w:b/>
                <w:sz w:val="24"/>
                <w:szCs w:val="24"/>
                <w:shd w:val="clear" w:color="auto" w:fill="FFFFFF"/>
              </w:rPr>
              <w:t>问题</w:t>
            </w:r>
            <w:r>
              <w:rPr>
                <w:rFonts w:asciiTheme="minorEastAsia" w:eastAsiaTheme="minorEastAsia" w:hAnsiTheme="minorEastAsia" w:cs="Arial" w:hint="eastAsia"/>
                <w:b/>
                <w:sz w:val="24"/>
                <w:szCs w:val="24"/>
                <w:shd w:val="clear" w:color="auto" w:fill="FFFFFF"/>
              </w:rPr>
              <w:t>二</w:t>
            </w:r>
            <w:r w:rsidRPr="00DB7EEE">
              <w:rPr>
                <w:rFonts w:asciiTheme="minorEastAsia" w:eastAsiaTheme="minorEastAsia" w:hAnsiTheme="minorEastAsia" w:cs="Arial" w:hint="eastAsia"/>
                <w:b/>
                <w:sz w:val="24"/>
                <w:szCs w:val="24"/>
                <w:shd w:val="clear" w:color="auto" w:fill="FFFFFF"/>
              </w:rPr>
              <w:t>：</w:t>
            </w:r>
            <w:r w:rsidRPr="002D54DC">
              <w:rPr>
                <w:rFonts w:asciiTheme="minorEastAsia" w:eastAsiaTheme="minorEastAsia" w:hAnsiTheme="minorEastAsia" w:cs="Arial" w:hint="eastAsia"/>
                <w:b/>
                <w:sz w:val="24"/>
                <w:szCs w:val="24"/>
                <w:shd w:val="clear" w:color="auto" w:fill="FFFFFF"/>
              </w:rPr>
              <w:t>公司</w:t>
            </w:r>
            <w:r w:rsidR="00062956" w:rsidRPr="00062956">
              <w:rPr>
                <w:rFonts w:asciiTheme="minorEastAsia" w:eastAsiaTheme="minorEastAsia" w:hAnsiTheme="minorEastAsia" w:cs="Arial" w:hint="eastAsia"/>
                <w:b/>
                <w:sz w:val="24"/>
                <w:szCs w:val="24"/>
                <w:shd w:val="clear" w:color="auto" w:fill="FFFFFF"/>
              </w:rPr>
              <w:t>25年营收利润目标</w:t>
            </w:r>
            <w:r w:rsidR="00062956">
              <w:rPr>
                <w:rFonts w:asciiTheme="minorEastAsia" w:eastAsiaTheme="minorEastAsia" w:hAnsiTheme="minorEastAsia" w:cs="Arial" w:hint="eastAsia"/>
                <w:b/>
                <w:sz w:val="24"/>
                <w:szCs w:val="24"/>
                <w:shd w:val="clear" w:color="auto" w:fill="FFFFFF"/>
              </w:rPr>
              <w:t>？</w:t>
            </w:r>
          </w:p>
          <w:p w14:paraId="191DC4E2" w14:textId="77777777" w:rsidR="00062956" w:rsidRPr="00062956" w:rsidRDefault="002D54DC" w:rsidP="00062956">
            <w:pPr>
              <w:spacing w:line="360" w:lineRule="auto"/>
              <w:ind w:firstLineChars="200" w:firstLine="480"/>
              <w:rPr>
                <w:rFonts w:asciiTheme="minorEastAsia" w:eastAsiaTheme="minorEastAsia" w:hAnsiTheme="minorEastAsia" w:cs="Arial" w:hint="eastAsia"/>
                <w:bCs/>
                <w:sz w:val="24"/>
                <w:szCs w:val="24"/>
                <w:shd w:val="clear" w:color="auto" w:fill="FFFFFF"/>
              </w:rPr>
            </w:pPr>
            <w:r>
              <w:rPr>
                <w:rFonts w:asciiTheme="minorEastAsia" w:eastAsiaTheme="minorEastAsia" w:hAnsiTheme="minorEastAsia" w:cs="Arial" w:hint="eastAsia"/>
                <w:bCs/>
                <w:sz w:val="24"/>
                <w:szCs w:val="24"/>
                <w:shd w:val="clear" w:color="auto" w:fill="FFFFFF"/>
              </w:rPr>
              <w:t>答：</w:t>
            </w:r>
            <w:r w:rsidR="00062956" w:rsidRPr="00062956">
              <w:rPr>
                <w:rFonts w:asciiTheme="minorEastAsia" w:eastAsiaTheme="minorEastAsia" w:hAnsiTheme="minorEastAsia" w:cs="Arial" w:hint="eastAsia"/>
                <w:bCs/>
                <w:sz w:val="24"/>
                <w:szCs w:val="24"/>
                <w:shd w:val="clear" w:color="auto" w:fill="FFFFFF"/>
              </w:rPr>
              <w:t>尊敬的投资者您好，公司于年初发布了《2024年限制性股票激励计划》，对于2025年营业收入增长率的目标设置如下：触发值是以2023年营业收入为基数、2025年营业收入增长率不低于32%；目标值是以2023年营业收入为基数、2025年营业收入增长率不低于69%。当前，行业仍然面临宏观环境带来的用户需求延迟等不利因素，但是公司将紧抓行业和市场的结构性机会来实现优于行业和对手的发展，具体主要是从以下几点上体现：</w:t>
            </w:r>
          </w:p>
          <w:p w14:paraId="2616D204" w14:textId="77777777" w:rsidR="00062956" w:rsidRPr="00062956" w:rsidRDefault="00062956" w:rsidP="00062956">
            <w:pPr>
              <w:spacing w:line="360" w:lineRule="auto"/>
              <w:ind w:firstLineChars="200" w:firstLine="480"/>
              <w:rPr>
                <w:rFonts w:asciiTheme="minorEastAsia" w:eastAsiaTheme="minorEastAsia" w:hAnsiTheme="minorEastAsia" w:cs="Arial" w:hint="eastAsia"/>
                <w:bCs/>
                <w:sz w:val="24"/>
                <w:szCs w:val="24"/>
                <w:shd w:val="clear" w:color="auto" w:fill="FFFFFF"/>
              </w:rPr>
            </w:pPr>
            <w:r w:rsidRPr="00062956">
              <w:rPr>
                <w:rFonts w:asciiTheme="minorEastAsia" w:eastAsiaTheme="minorEastAsia" w:hAnsiTheme="minorEastAsia" w:cs="Arial" w:hint="eastAsia"/>
                <w:bCs/>
                <w:sz w:val="24"/>
                <w:szCs w:val="24"/>
                <w:shd w:val="clear" w:color="auto" w:fill="FFFFFF"/>
              </w:rPr>
              <w:t>（1）从外部因素看，《推动大规模设备更新和消费品以旧换新行动方案》（以下简称“以旧换新政策”）政策提及教育和医疗领导，鼓励高校提升教学科研水平，提倡医院加快数字化转型，明确提出到2027年，教育、医疗等领域设备投资规模较2023年增长25%以上在资金支持方面，今年7月份，《关于加力支持大规模设备更新和消费品以旧换新的若干措施》已经推出，降低了超长期特别国债资金申报门槛，保证超长期特别国债资金有序推行，此外，近期地方政府专项债的发行也有加快趋势，这些措施预计将有效缓解用户的财务压力，</w:t>
            </w:r>
            <w:r w:rsidRPr="00062956">
              <w:rPr>
                <w:rFonts w:asciiTheme="minorEastAsia" w:eastAsiaTheme="minorEastAsia" w:hAnsiTheme="minorEastAsia" w:cs="Arial" w:hint="eastAsia"/>
                <w:bCs/>
                <w:sz w:val="24"/>
                <w:szCs w:val="24"/>
                <w:shd w:val="clear" w:color="auto" w:fill="FFFFFF"/>
              </w:rPr>
              <w:lastRenderedPageBreak/>
              <w:t>从而促进科研用户和医疗机构用户需求的释放。</w:t>
            </w:r>
          </w:p>
          <w:p w14:paraId="5483BAF8" w14:textId="77777777" w:rsidR="00062956" w:rsidRPr="00062956" w:rsidRDefault="00062956" w:rsidP="00062956">
            <w:pPr>
              <w:spacing w:line="360" w:lineRule="auto"/>
              <w:ind w:firstLineChars="200" w:firstLine="480"/>
              <w:rPr>
                <w:rFonts w:asciiTheme="minorEastAsia" w:eastAsiaTheme="minorEastAsia" w:hAnsiTheme="minorEastAsia" w:cs="Arial" w:hint="eastAsia"/>
                <w:bCs/>
                <w:sz w:val="24"/>
                <w:szCs w:val="24"/>
                <w:shd w:val="clear" w:color="auto" w:fill="FFFFFF"/>
              </w:rPr>
            </w:pPr>
            <w:r w:rsidRPr="00062956">
              <w:rPr>
                <w:rFonts w:asciiTheme="minorEastAsia" w:eastAsiaTheme="minorEastAsia" w:hAnsiTheme="minorEastAsia" w:cs="Arial" w:hint="eastAsia"/>
                <w:bCs/>
                <w:sz w:val="24"/>
                <w:szCs w:val="24"/>
                <w:shd w:val="clear" w:color="auto" w:fill="FFFFFF"/>
              </w:rPr>
              <w:t>（2）从公司业务层面看，公司非存储产业持续高增长和海外市场恢复将为业务发展提供强劲动力。上半年，随着产品系列化布局继续完善，用药自动化、实验室耗材、数字化公卫、采浆耗材等业务继续保持高增长，上半年新产业占收入比重提升至42.63%，同比增长22.69%。预计随着医疗卫生机构对信息化、自动化建设的需求增加，以及生命科学用户在研发和生产上的持续投入，公司非存储业务将保持高速增长。在海外市场方面，公司2016年至2023年的复合增速达到34%，显示出强劲的增长势头。尽管近期海外市场业绩受到项目类业务订单延迟交付的影响，但“一国一策”的当地化布局取得了显著成效。目前公司已经形成以美国、英国、荷兰、新加坡、越南等国家为核心辐射周边的当地化团队。2024年上半年，欧洲和亚太区域的收入合计增长超过30%，超低温和低温产品保持正增长，药品箱等恒温类产品实现了双位数增长。随着三季度海外项目订单交付速度的加快，预计未来随着项目类扰动的逐渐消除，公司在当地化布局的持续深入和产品方案品类的不断增加，海外市场将实现进一步恢复。</w:t>
            </w:r>
          </w:p>
          <w:p w14:paraId="0F3D3226" w14:textId="5CA89BED" w:rsidR="001A43F2" w:rsidRPr="001A43F2" w:rsidRDefault="00062956" w:rsidP="00062956">
            <w:pPr>
              <w:spacing w:line="360" w:lineRule="auto"/>
              <w:ind w:firstLineChars="200" w:firstLine="480"/>
              <w:rPr>
                <w:rFonts w:asciiTheme="minorEastAsia" w:eastAsiaTheme="minorEastAsia" w:hAnsiTheme="minorEastAsia" w:cs="Arial" w:hint="eastAsia"/>
                <w:bCs/>
                <w:sz w:val="24"/>
                <w:szCs w:val="24"/>
                <w:shd w:val="clear" w:color="auto" w:fill="FFFFFF"/>
              </w:rPr>
            </w:pPr>
            <w:r w:rsidRPr="00062956">
              <w:rPr>
                <w:rFonts w:asciiTheme="minorEastAsia" w:eastAsiaTheme="minorEastAsia" w:hAnsiTheme="minorEastAsia" w:cs="Arial" w:hint="eastAsia"/>
                <w:bCs/>
                <w:sz w:val="24"/>
                <w:szCs w:val="24"/>
                <w:shd w:val="clear" w:color="auto" w:fill="FFFFFF"/>
              </w:rPr>
              <w:t>（3）公司一直致力于数字化转型，以提升整体运营效率和盈利能力。今年上半年，公司的销售费用、管理费用和研发费用的费率与2023年相比均有所下降。</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77777777" w:rsidR="007126EF" w:rsidRPr="000964B8" w:rsidRDefault="00E20B6E">
            <w:pPr>
              <w:spacing w:line="480" w:lineRule="atLeast"/>
              <w:rPr>
                <w:rFonts w:eastAsiaTheme="minorEastAsia"/>
                <w:bCs/>
                <w:iCs/>
                <w:sz w:val="24"/>
                <w:szCs w:val="24"/>
              </w:rPr>
            </w:pPr>
            <w:r w:rsidRPr="000964B8">
              <w:rPr>
                <w:rFonts w:eastAsiaTheme="minor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4CDFB81A" w:rsidR="007126EF" w:rsidRDefault="000E65F5" w:rsidP="00435DA3">
            <w:pPr>
              <w:spacing w:line="480" w:lineRule="atLeast"/>
              <w:rPr>
                <w:rFonts w:eastAsiaTheme="minorEastAsia"/>
                <w:bCs/>
                <w:iCs/>
                <w:sz w:val="24"/>
                <w:szCs w:val="24"/>
              </w:rPr>
            </w:pPr>
            <w:r>
              <w:rPr>
                <w:rFonts w:eastAsiaTheme="minorEastAsia" w:hint="eastAsia"/>
                <w:bCs/>
                <w:iCs/>
                <w:sz w:val="24"/>
                <w:szCs w:val="24"/>
              </w:rPr>
              <w:t>2024</w:t>
            </w:r>
            <w:r w:rsidR="007126EF">
              <w:rPr>
                <w:rFonts w:eastAsiaTheme="minorEastAsia" w:hint="eastAsia"/>
                <w:bCs/>
                <w:iCs/>
                <w:sz w:val="24"/>
                <w:szCs w:val="24"/>
              </w:rPr>
              <w:t>年</w:t>
            </w:r>
            <w:r w:rsidR="00F34E31">
              <w:rPr>
                <w:rFonts w:eastAsiaTheme="minorEastAsia" w:hint="eastAsia"/>
                <w:bCs/>
                <w:iCs/>
                <w:sz w:val="24"/>
                <w:szCs w:val="24"/>
              </w:rPr>
              <w:t>9</w:t>
            </w:r>
            <w:r w:rsidR="007126EF">
              <w:rPr>
                <w:rFonts w:eastAsiaTheme="minorEastAsia" w:hint="eastAsia"/>
                <w:bCs/>
                <w:iCs/>
                <w:sz w:val="24"/>
                <w:szCs w:val="24"/>
              </w:rPr>
              <w:t>月</w:t>
            </w:r>
            <w:r w:rsidR="00F34652">
              <w:rPr>
                <w:rFonts w:eastAsiaTheme="minorEastAsia"/>
                <w:bCs/>
                <w:iCs/>
                <w:sz w:val="24"/>
                <w:szCs w:val="24"/>
              </w:rPr>
              <w:t>1</w:t>
            </w:r>
            <w:r w:rsidR="00F34E31">
              <w:rPr>
                <w:rFonts w:eastAsiaTheme="minorEastAsia"/>
                <w:bCs/>
                <w:iCs/>
                <w:sz w:val="24"/>
                <w:szCs w:val="24"/>
              </w:rPr>
              <w:t>9</w:t>
            </w:r>
            <w:r w:rsidR="0035220C">
              <w:rPr>
                <w:rFonts w:eastAsiaTheme="minorEastAsia" w:hint="eastAsia"/>
                <w:bCs/>
                <w:iCs/>
                <w:sz w:val="24"/>
                <w:szCs w:val="24"/>
              </w:rPr>
              <w:t>日</w:t>
            </w:r>
          </w:p>
        </w:tc>
      </w:tr>
    </w:tbl>
    <w:p w14:paraId="5D026478" w14:textId="56A54262" w:rsidR="00436A39" w:rsidRDefault="00436A39">
      <w:pPr>
        <w:widowControl/>
        <w:jc w:val="left"/>
        <w:rPr>
          <w:b/>
          <w:sz w:val="24"/>
        </w:rPr>
      </w:pPr>
    </w:p>
    <w:p w14:paraId="1CF085B1" w14:textId="5AB3F35A" w:rsidR="00436A39" w:rsidRDefault="00436A39">
      <w:pPr>
        <w:widowControl/>
        <w:jc w:val="left"/>
        <w:rPr>
          <w:b/>
          <w:sz w:val="24"/>
        </w:rPr>
      </w:pPr>
    </w:p>
    <w:sectPr w:rsidR="00436A39" w:rsidSect="00436A39">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B031" w14:textId="77777777" w:rsidR="00232316" w:rsidRDefault="00232316">
      <w:r>
        <w:separator/>
      </w:r>
    </w:p>
  </w:endnote>
  <w:endnote w:type="continuationSeparator" w:id="0">
    <w:p w14:paraId="4C685E1C" w14:textId="77777777" w:rsidR="00232316" w:rsidRDefault="0023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AB9A" w14:textId="77777777" w:rsidR="00232316" w:rsidRDefault="00232316">
      <w:r>
        <w:separator/>
      </w:r>
    </w:p>
  </w:footnote>
  <w:footnote w:type="continuationSeparator" w:id="0">
    <w:p w14:paraId="6FA74352" w14:textId="77777777" w:rsidR="00232316" w:rsidRDefault="0023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24594"/>
    <w:multiLevelType w:val="hybridMultilevel"/>
    <w:tmpl w:val="C7ACC5A0"/>
    <w:lvl w:ilvl="0" w:tplc="321A7512">
      <w:start w:val="1"/>
      <w:numFmt w:val="decimal"/>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405A3"/>
    <w:rsid w:val="0004258A"/>
    <w:rsid w:val="00042EA6"/>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956"/>
    <w:rsid w:val="00064E4D"/>
    <w:rsid w:val="000657BC"/>
    <w:rsid w:val="000657DC"/>
    <w:rsid w:val="0006583F"/>
    <w:rsid w:val="00066B88"/>
    <w:rsid w:val="00067430"/>
    <w:rsid w:val="000702B9"/>
    <w:rsid w:val="000733AA"/>
    <w:rsid w:val="00074EA6"/>
    <w:rsid w:val="00075E68"/>
    <w:rsid w:val="000760E6"/>
    <w:rsid w:val="000776D9"/>
    <w:rsid w:val="00077DE7"/>
    <w:rsid w:val="00083292"/>
    <w:rsid w:val="00083E63"/>
    <w:rsid w:val="0008592C"/>
    <w:rsid w:val="00085F84"/>
    <w:rsid w:val="00086215"/>
    <w:rsid w:val="000864FC"/>
    <w:rsid w:val="000866F4"/>
    <w:rsid w:val="00087D94"/>
    <w:rsid w:val="00090613"/>
    <w:rsid w:val="000964B8"/>
    <w:rsid w:val="000A1587"/>
    <w:rsid w:val="000A54C3"/>
    <w:rsid w:val="000A6C75"/>
    <w:rsid w:val="000B2930"/>
    <w:rsid w:val="000B3921"/>
    <w:rsid w:val="000B47EB"/>
    <w:rsid w:val="000C11B0"/>
    <w:rsid w:val="000C1371"/>
    <w:rsid w:val="000C26F4"/>
    <w:rsid w:val="000C38CA"/>
    <w:rsid w:val="000C392A"/>
    <w:rsid w:val="000C5A9A"/>
    <w:rsid w:val="000D0621"/>
    <w:rsid w:val="000D1B77"/>
    <w:rsid w:val="000D2089"/>
    <w:rsid w:val="000D3408"/>
    <w:rsid w:val="000D4AEF"/>
    <w:rsid w:val="000D5C05"/>
    <w:rsid w:val="000E05B3"/>
    <w:rsid w:val="000E31F9"/>
    <w:rsid w:val="000E35AE"/>
    <w:rsid w:val="000E366F"/>
    <w:rsid w:val="000E65F5"/>
    <w:rsid w:val="000E6817"/>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4231"/>
    <w:rsid w:val="00125602"/>
    <w:rsid w:val="00130D9E"/>
    <w:rsid w:val="00134E3F"/>
    <w:rsid w:val="00141859"/>
    <w:rsid w:val="00142A00"/>
    <w:rsid w:val="00144764"/>
    <w:rsid w:val="0014675B"/>
    <w:rsid w:val="001469A8"/>
    <w:rsid w:val="001532DD"/>
    <w:rsid w:val="00155763"/>
    <w:rsid w:val="00155842"/>
    <w:rsid w:val="001561F4"/>
    <w:rsid w:val="00156888"/>
    <w:rsid w:val="00157FD8"/>
    <w:rsid w:val="00161888"/>
    <w:rsid w:val="00161C13"/>
    <w:rsid w:val="00162302"/>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5BBA"/>
    <w:rsid w:val="00197B14"/>
    <w:rsid w:val="001A0846"/>
    <w:rsid w:val="001A43F2"/>
    <w:rsid w:val="001A45AB"/>
    <w:rsid w:val="001A4E93"/>
    <w:rsid w:val="001A6170"/>
    <w:rsid w:val="001B0D52"/>
    <w:rsid w:val="001B4E4F"/>
    <w:rsid w:val="001B5402"/>
    <w:rsid w:val="001B66D4"/>
    <w:rsid w:val="001B7DE5"/>
    <w:rsid w:val="001C0692"/>
    <w:rsid w:val="001C0806"/>
    <w:rsid w:val="001C2AF1"/>
    <w:rsid w:val="001C2CA9"/>
    <w:rsid w:val="001C2E82"/>
    <w:rsid w:val="001C414F"/>
    <w:rsid w:val="001C4A26"/>
    <w:rsid w:val="001D0E8A"/>
    <w:rsid w:val="001D2E07"/>
    <w:rsid w:val="001D5BDB"/>
    <w:rsid w:val="001D5EBC"/>
    <w:rsid w:val="001E028B"/>
    <w:rsid w:val="001E0E38"/>
    <w:rsid w:val="001E1371"/>
    <w:rsid w:val="001E16C2"/>
    <w:rsid w:val="001E5E85"/>
    <w:rsid w:val="001F2373"/>
    <w:rsid w:val="001F2E16"/>
    <w:rsid w:val="001F344A"/>
    <w:rsid w:val="0020238B"/>
    <w:rsid w:val="002033C0"/>
    <w:rsid w:val="00206FB9"/>
    <w:rsid w:val="00212B05"/>
    <w:rsid w:val="00214D8A"/>
    <w:rsid w:val="002162C0"/>
    <w:rsid w:val="00222E65"/>
    <w:rsid w:val="00226289"/>
    <w:rsid w:val="00226B38"/>
    <w:rsid w:val="0022729A"/>
    <w:rsid w:val="00232004"/>
    <w:rsid w:val="00232316"/>
    <w:rsid w:val="002326C5"/>
    <w:rsid w:val="00233645"/>
    <w:rsid w:val="0023418B"/>
    <w:rsid w:val="00236262"/>
    <w:rsid w:val="00240FB5"/>
    <w:rsid w:val="00243ED6"/>
    <w:rsid w:val="0024411A"/>
    <w:rsid w:val="00247908"/>
    <w:rsid w:val="0025169E"/>
    <w:rsid w:val="002533AC"/>
    <w:rsid w:val="0025632B"/>
    <w:rsid w:val="00257ECB"/>
    <w:rsid w:val="00261103"/>
    <w:rsid w:val="002625BE"/>
    <w:rsid w:val="002703A0"/>
    <w:rsid w:val="00272291"/>
    <w:rsid w:val="002768EC"/>
    <w:rsid w:val="002815BB"/>
    <w:rsid w:val="002822F3"/>
    <w:rsid w:val="00283AF1"/>
    <w:rsid w:val="002904CF"/>
    <w:rsid w:val="00295A63"/>
    <w:rsid w:val="002A015E"/>
    <w:rsid w:val="002A09CA"/>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4DC"/>
    <w:rsid w:val="002D5609"/>
    <w:rsid w:val="002D56D7"/>
    <w:rsid w:val="002E1C53"/>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321E8"/>
    <w:rsid w:val="00332F4D"/>
    <w:rsid w:val="00333091"/>
    <w:rsid w:val="00336C84"/>
    <w:rsid w:val="00337DC8"/>
    <w:rsid w:val="003400DB"/>
    <w:rsid w:val="003419E1"/>
    <w:rsid w:val="00342065"/>
    <w:rsid w:val="003447E1"/>
    <w:rsid w:val="00344BD5"/>
    <w:rsid w:val="00346152"/>
    <w:rsid w:val="00346E94"/>
    <w:rsid w:val="0035220C"/>
    <w:rsid w:val="003535B2"/>
    <w:rsid w:val="003564B4"/>
    <w:rsid w:val="003568DB"/>
    <w:rsid w:val="00362C69"/>
    <w:rsid w:val="00364635"/>
    <w:rsid w:val="00365469"/>
    <w:rsid w:val="0037405B"/>
    <w:rsid w:val="00375BC7"/>
    <w:rsid w:val="00376D4E"/>
    <w:rsid w:val="003774D6"/>
    <w:rsid w:val="00380AAF"/>
    <w:rsid w:val="003828DB"/>
    <w:rsid w:val="0038733C"/>
    <w:rsid w:val="00387AE5"/>
    <w:rsid w:val="00390753"/>
    <w:rsid w:val="00391E95"/>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7B67"/>
    <w:rsid w:val="004333B1"/>
    <w:rsid w:val="00433742"/>
    <w:rsid w:val="004346F2"/>
    <w:rsid w:val="004353E7"/>
    <w:rsid w:val="00435DA3"/>
    <w:rsid w:val="00436A39"/>
    <w:rsid w:val="00436E02"/>
    <w:rsid w:val="004374D0"/>
    <w:rsid w:val="00437B3A"/>
    <w:rsid w:val="00440B6D"/>
    <w:rsid w:val="004414C1"/>
    <w:rsid w:val="00447339"/>
    <w:rsid w:val="00451125"/>
    <w:rsid w:val="004526B5"/>
    <w:rsid w:val="0045289D"/>
    <w:rsid w:val="00456D60"/>
    <w:rsid w:val="00457A5C"/>
    <w:rsid w:val="00464896"/>
    <w:rsid w:val="00465101"/>
    <w:rsid w:val="004654CA"/>
    <w:rsid w:val="00466F1B"/>
    <w:rsid w:val="004700EF"/>
    <w:rsid w:val="004772C6"/>
    <w:rsid w:val="00480443"/>
    <w:rsid w:val="00480D98"/>
    <w:rsid w:val="004848C1"/>
    <w:rsid w:val="00490316"/>
    <w:rsid w:val="004904B8"/>
    <w:rsid w:val="004A115D"/>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4328"/>
    <w:rsid w:val="00510442"/>
    <w:rsid w:val="00510A6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5EA"/>
    <w:rsid w:val="00565E14"/>
    <w:rsid w:val="00566C44"/>
    <w:rsid w:val="00567D27"/>
    <w:rsid w:val="0057279D"/>
    <w:rsid w:val="0057286B"/>
    <w:rsid w:val="00572D52"/>
    <w:rsid w:val="00580DD1"/>
    <w:rsid w:val="0058331D"/>
    <w:rsid w:val="0058551A"/>
    <w:rsid w:val="00597250"/>
    <w:rsid w:val="005A24BE"/>
    <w:rsid w:val="005A3EB3"/>
    <w:rsid w:val="005A436D"/>
    <w:rsid w:val="005B048F"/>
    <w:rsid w:val="005B46A2"/>
    <w:rsid w:val="005B57D0"/>
    <w:rsid w:val="005C10F1"/>
    <w:rsid w:val="005C4092"/>
    <w:rsid w:val="005C62A0"/>
    <w:rsid w:val="005C6A06"/>
    <w:rsid w:val="005C702B"/>
    <w:rsid w:val="005C776F"/>
    <w:rsid w:val="005D0592"/>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4FDD"/>
    <w:rsid w:val="00616311"/>
    <w:rsid w:val="00617792"/>
    <w:rsid w:val="006179F7"/>
    <w:rsid w:val="00620086"/>
    <w:rsid w:val="006207FA"/>
    <w:rsid w:val="0062263E"/>
    <w:rsid w:val="0062343F"/>
    <w:rsid w:val="0062477E"/>
    <w:rsid w:val="00624853"/>
    <w:rsid w:val="00624C3E"/>
    <w:rsid w:val="00625C0C"/>
    <w:rsid w:val="006333A7"/>
    <w:rsid w:val="00634610"/>
    <w:rsid w:val="00634972"/>
    <w:rsid w:val="00635C2A"/>
    <w:rsid w:val="00636A81"/>
    <w:rsid w:val="0063751E"/>
    <w:rsid w:val="00637983"/>
    <w:rsid w:val="0064094E"/>
    <w:rsid w:val="0064128F"/>
    <w:rsid w:val="0064158E"/>
    <w:rsid w:val="0064356A"/>
    <w:rsid w:val="00646A2B"/>
    <w:rsid w:val="00646D56"/>
    <w:rsid w:val="0065365F"/>
    <w:rsid w:val="00656439"/>
    <w:rsid w:val="00656B76"/>
    <w:rsid w:val="00656E82"/>
    <w:rsid w:val="0066074B"/>
    <w:rsid w:val="0066294F"/>
    <w:rsid w:val="00667311"/>
    <w:rsid w:val="00667641"/>
    <w:rsid w:val="00670157"/>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C0A16"/>
    <w:rsid w:val="006C23E3"/>
    <w:rsid w:val="006C6272"/>
    <w:rsid w:val="006D03AF"/>
    <w:rsid w:val="006D1526"/>
    <w:rsid w:val="006D1B3B"/>
    <w:rsid w:val="006D263D"/>
    <w:rsid w:val="006D457D"/>
    <w:rsid w:val="006D4AE6"/>
    <w:rsid w:val="006D592A"/>
    <w:rsid w:val="006D75A4"/>
    <w:rsid w:val="006E0BD6"/>
    <w:rsid w:val="006E2CA3"/>
    <w:rsid w:val="006F0A7B"/>
    <w:rsid w:val="006F3539"/>
    <w:rsid w:val="007000AB"/>
    <w:rsid w:val="00701700"/>
    <w:rsid w:val="00702929"/>
    <w:rsid w:val="007042BB"/>
    <w:rsid w:val="007050FE"/>
    <w:rsid w:val="00706EF1"/>
    <w:rsid w:val="0071101B"/>
    <w:rsid w:val="007126EF"/>
    <w:rsid w:val="00712B97"/>
    <w:rsid w:val="00715F6C"/>
    <w:rsid w:val="00715FB6"/>
    <w:rsid w:val="00720AE1"/>
    <w:rsid w:val="00720C34"/>
    <w:rsid w:val="00720F6D"/>
    <w:rsid w:val="00722A9B"/>
    <w:rsid w:val="0072479B"/>
    <w:rsid w:val="00725657"/>
    <w:rsid w:val="00725F94"/>
    <w:rsid w:val="00743087"/>
    <w:rsid w:val="00743090"/>
    <w:rsid w:val="007479A8"/>
    <w:rsid w:val="00751BE0"/>
    <w:rsid w:val="007536F2"/>
    <w:rsid w:val="00755D87"/>
    <w:rsid w:val="00756F30"/>
    <w:rsid w:val="007602E4"/>
    <w:rsid w:val="00760B23"/>
    <w:rsid w:val="007662BA"/>
    <w:rsid w:val="00767703"/>
    <w:rsid w:val="00770FEC"/>
    <w:rsid w:val="00771688"/>
    <w:rsid w:val="007723A4"/>
    <w:rsid w:val="0077509A"/>
    <w:rsid w:val="007769DC"/>
    <w:rsid w:val="00780C09"/>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4307"/>
    <w:rsid w:val="007C59B7"/>
    <w:rsid w:val="007C7A2F"/>
    <w:rsid w:val="007D087B"/>
    <w:rsid w:val="007D0973"/>
    <w:rsid w:val="007D28AF"/>
    <w:rsid w:val="007D2A39"/>
    <w:rsid w:val="007D2A78"/>
    <w:rsid w:val="007D4432"/>
    <w:rsid w:val="007D5EEB"/>
    <w:rsid w:val="007D7418"/>
    <w:rsid w:val="007E04EA"/>
    <w:rsid w:val="007E0832"/>
    <w:rsid w:val="007E14F0"/>
    <w:rsid w:val="007E1566"/>
    <w:rsid w:val="007E50E3"/>
    <w:rsid w:val="007E59C1"/>
    <w:rsid w:val="007E5A9D"/>
    <w:rsid w:val="007E71A1"/>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6141"/>
    <w:rsid w:val="008C67B9"/>
    <w:rsid w:val="008C6B35"/>
    <w:rsid w:val="008C6D86"/>
    <w:rsid w:val="008D0550"/>
    <w:rsid w:val="008D31BA"/>
    <w:rsid w:val="008D3FAF"/>
    <w:rsid w:val="008D4136"/>
    <w:rsid w:val="008D4ED1"/>
    <w:rsid w:val="008D5491"/>
    <w:rsid w:val="008D57C6"/>
    <w:rsid w:val="008E5350"/>
    <w:rsid w:val="008E5A54"/>
    <w:rsid w:val="008E681B"/>
    <w:rsid w:val="008F09F2"/>
    <w:rsid w:val="008F2ED1"/>
    <w:rsid w:val="008F357B"/>
    <w:rsid w:val="008F35EE"/>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7F"/>
    <w:rsid w:val="00940045"/>
    <w:rsid w:val="00942E1A"/>
    <w:rsid w:val="00943466"/>
    <w:rsid w:val="009456DE"/>
    <w:rsid w:val="00945721"/>
    <w:rsid w:val="009521D6"/>
    <w:rsid w:val="009533B5"/>
    <w:rsid w:val="0095618A"/>
    <w:rsid w:val="0096065C"/>
    <w:rsid w:val="009611C0"/>
    <w:rsid w:val="00963CA6"/>
    <w:rsid w:val="009648CB"/>
    <w:rsid w:val="00964F8B"/>
    <w:rsid w:val="00965D7F"/>
    <w:rsid w:val="009663C4"/>
    <w:rsid w:val="00970F4E"/>
    <w:rsid w:val="009730DB"/>
    <w:rsid w:val="00976243"/>
    <w:rsid w:val="00977F7A"/>
    <w:rsid w:val="009830E7"/>
    <w:rsid w:val="0099628B"/>
    <w:rsid w:val="009A1028"/>
    <w:rsid w:val="009A2915"/>
    <w:rsid w:val="009A3454"/>
    <w:rsid w:val="009A400F"/>
    <w:rsid w:val="009B022C"/>
    <w:rsid w:val="009B15E5"/>
    <w:rsid w:val="009B1BAB"/>
    <w:rsid w:val="009B35FA"/>
    <w:rsid w:val="009B63B4"/>
    <w:rsid w:val="009B7C4A"/>
    <w:rsid w:val="009C0FED"/>
    <w:rsid w:val="009C33AC"/>
    <w:rsid w:val="009C35EA"/>
    <w:rsid w:val="009C5303"/>
    <w:rsid w:val="009D004D"/>
    <w:rsid w:val="009D12FE"/>
    <w:rsid w:val="009D1EFC"/>
    <w:rsid w:val="009D37CA"/>
    <w:rsid w:val="009D783D"/>
    <w:rsid w:val="009E295C"/>
    <w:rsid w:val="009E6021"/>
    <w:rsid w:val="009E6C98"/>
    <w:rsid w:val="009F0FE2"/>
    <w:rsid w:val="009F111B"/>
    <w:rsid w:val="009F16DB"/>
    <w:rsid w:val="009F2C0C"/>
    <w:rsid w:val="009F5D81"/>
    <w:rsid w:val="009F71D5"/>
    <w:rsid w:val="00A0257C"/>
    <w:rsid w:val="00A02A22"/>
    <w:rsid w:val="00A031E0"/>
    <w:rsid w:val="00A06FEB"/>
    <w:rsid w:val="00A0710C"/>
    <w:rsid w:val="00A07499"/>
    <w:rsid w:val="00A101A9"/>
    <w:rsid w:val="00A1133D"/>
    <w:rsid w:val="00A12A7B"/>
    <w:rsid w:val="00A13A43"/>
    <w:rsid w:val="00A13A91"/>
    <w:rsid w:val="00A14653"/>
    <w:rsid w:val="00A15C39"/>
    <w:rsid w:val="00A16FFC"/>
    <w:rsid w:val="00A21690"/>
    <w:rsid w:val="00A231D3"/>
    <w:rsid w:val="00A23290"/>
    <w:rsid w:val="00A24612"/>
    <w:rsid w:val="00A30C3E"/>
    <w:rsid w:val="00A311B1"/>
    <w:rsid w:val="00A32A2B"/>
    <w:rsid w:val="00A32B47"/>
    <w:rsid w:val="00A367F4"/>
    <w:rsid w:val="00A36FC3"/>
    <w:rsid w:val="00A3721C"/>
    <w:rsid w:val="00A37A81"/>
    <w:rsid w:val="00A41E8C"/>
    <w:rsid w:val="00A451F2"/>
    <w:rsid w:val="00A46150"/>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F59"/>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0A1"/>
    <w:rsid w:val="00BA13C3"/>
    <w:rsid w:val="00BA311C"/>
    <w:rsid w:val="00BA3209"/>
    <w:rsid w:val="00BA4449"/>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87B"/>
    <w:rsid w:val="00C26D08"/>
    <w:rsid w:val="00C26EBD"/>
    <w:rsid w:val="00C274D3"/>
    <w:rsid w:val="00C275E8"/>
    <w:rsid w:val="00C27B68"/>
    <w:rsid w:val="00C30070"/>
    <w:rsid w:val="00C308C1"/>
    <w:rsid w:val="00C31554"/>
    <w:rsid w:val="00C3168D"/>
    <w:rsid w:val="00C322F6"/>
    <w:rsid w:val="00C32F8C"/>
    <w:rsid w:val="00C33877"/>
    <w:rsid w:val="00C338B8"/>
    <w:rsid w:val="00C43ED0"/>
    <w:rsid w:val="00C468B2"/>
    <w:rsid w:val="00C46DC0"/>
    <w:rsid w:val="00C50006"/>
    <w:rsid w:val="00C517EF"/>
    <w:rsid w:val="00C54AE8"/>
    <w:rsid w:val="00C5732C"/>
    <w:rsid w:val="00C57BCD"/>
    <w:rsid w:val="00C57D5B"/>
    <w:rsid w:val="00C630BC"/>
    <w:rsid w:val="00C650E3"/>
    <w:rsid w:val="00C72F30"/>
    <w:rsid w:val="00C7535D"/>
    <w:rsid w:val="00C756B0"/>
    <w:rsid w:val="00C771B0"/>
    <w:rsid w:val="00C80395"/>
    <w:rsid w:val="00C847DB"/>
    <w:rsid w:val="00C86541"/>
    <w:rsid w:val="00C872A7"/>
    <w:rsid w:val="00C90705"/>
    <w:rsid w:val="00C91DF6"/>
    <w:rsid w:val="00C933AF"/>
    <w:rsid w:val="00C94080"/>
    <w:rsid w:val="00C9492E"/>
    <w:rsid w:val="00C94C7D"/>
    <w:rsid w:val="00CA2C7B"/>
    <w:rsid w:val="00CA2E60"/>
    <w:rsid w:val="00CA4696"/>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64C"/>
    <w:rsid w:val="00CF3FC4"/>
    <w:rsid w:val="00CF48E2"/>
    <w:rsid w:val="00CF4B03"/>
    <w:rsid w:val="00CF5D55"/>
    <w:rsid w:val="00D004BD"/>
    <w:rsid w:val="00D0106C"/>
    <w:rsid w:val="00D025C8"/>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7EEF"/>
    <w:rsid w:val="00D5069D"/>
    <w:rsid w:val="00D52EB4"/>
    <w:rsid w:val="00D55A99"/>
    <w:rsid w:val="00D63B77"/>
    <w:rsid w:val="00D63D1E"/>
    <w:rsid w:val="00D705F3"/>
    <w:rsid w:val="00D728EB"/>
    <w:rsid w:val="00D75388"/>
    <w:rsid w:val="00D755EF"/>
    <w:rsid w:val="00D80F27"/>
    <w:rsid w:val="00D81156"/>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7EEE"/>
    <w:rsid w:val="00DC1732"/>
    <w:rsid w:val="00DC401B"/>
    <w:rsid w:val="00DC4654"/>
    <w:rsid w:val="00DC5476"/>
    <w:rsid w:val="00DD3BE4"/>
    <w:rsid w:val="00DD512F"/>
    <w:rsid w:val="00DD6A06"/>
    <w:rsid w:val="00DE4224"/>
    <w:rsid w:val="00DE4934"/>
    <w:rsid w:val="00DE6933"/>
    <w:rsid w:val="00DF02B3"/>
    <w:rsid w:val="00DF0AE6"/>
    <w:rsid w:val="00DF2BAC"/>
    <w:rsid w:val="00DF48B6"/>
    <w:rsid w:val="00DF598B"/>
    <w:rsid w:val="00DF7A91"/>
    <w:rsid w:val="00E023CF"/>
    <w:rsid w:val="00E02CA9"/>
    <w:rsid w:val="00E0556F"/>
    <w:rsid w:val="00E0704A"/>
    <w:rsid w:val="00E151BF"/>
    <w:rsid w:val="00E15CFC"/>
    <w:rsid w:val="00E160BB"/>
    <w:rsid w:val="00E203C5"/>
    <w:rsid w:val="00E20B6E"/>
    <w:rsid w:val="00E217AF"/>
    <w:rsid w:val="00E21E68"/>
    <w:rsid w:val="00E25D21"/>
    <w:rsid w:val="00E276C6"/>
    <w:rsid w:val="00E27C7D"/>
    <w:rsid w:val="00E337B0"/>
    <w:rsid w:val="00E40166"/>
    <w:rsid w:val="00E445E4"/>
    <w:rsid w:val="00E459A9"/>
    <w:rsid w:val="00E4737E"/>
    <w:rsid w:val="00E504FB"/>
    <w:rsid w:val="00E52A43"/>
    <w:rsid w:val="00E55EF9"/>
    <w:rsid w:val="00E62954"/>
    <w:rsid w:val="00E62A7E"/>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A34D6"/>
    <w:rsid w:val="00EA3636"/>
    <w:rsid w:val="00EA38D8"/>
    <w:rsid w:val="00EA5A2E"/>
    <w:rsid w:val="00EA74C1"/>
    <w:rsid w:val="00EA7DD6"/>
    <w:rsid w:val="00EB1A18"/>
    <w:rsid w:val="00EB1B29"/>
    <w:rsid w:val="00EB1C64"/>
    <w:rsid w:val="00EB3CC8"/>
    <w:rsid w:val="00EB5839"/>
    <w:rsid w:val="00EB61D9"/>
    <w:rsid w:val="00EC04CF"/>
    <w:rsid w:val="00EC2173"/>
    <w:rsid w:val="00EC23CC"/>
    <w:rsid w:val="00EC40BB"/>
    <w:rsid w:val="00ED3CEA"/>
    <w:rsid w:val="00ED4562"/>
    <w:rsid w:val="00EE119C"/>
    <w:rsid w:val="00EE2196"/>
    <w:rsid w:val="00EE3827"/>
    <w:rsid w:val="00EE4AB8"/>
    <w:rsid w:val="00EF02DC"/>
    <w:rsid w:val="00EF1C79"/>
    <w:rsid w:val="00EF1E33"/>
    <w:rsid w:val="00EF286B"/>
    <w:rsid w:val="00EF70F6"/>
    <w:rsid w:val="00F005CC"/>
    <w:rsid w:val="00F00BFD"/>
    <w:rsid w:val="00F0116B"/>
    <w:rsid w:val="00F01BA7"/>
    <w:rsid w:val="00F01CB5"/>
    <w:rsid w:val="00F025B3"/>
    <w:rsid w:val="00F0458F"/>
    <w:rsid w:val="00F07DFD"/>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34652"/>
    <w:rsid w:val="00F34E31"/>
    <w:rsid w:val="00F43062"/>
    <w:rsid w:val="00F45FF5"/>
    <w:rsid w:val="00F47828"/>
    <w:rsid w:val="00F52A8D"/>
    <w:rsid w:val="00F54885"/>
    <w:rsid w:val="00F559D2"/>
    <w:rsid w:val="00F56CB1"/>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A31"/>
    <w:rsid w:val="00FC2FD9"/>
    <w:rsid w:val="00FC349E"/>
    <w:rsid w:val="00FC4580"/>
    <w:rsid w:val="00FC4769"/>
    <w:rsid w:val="00FC528C"/>
    <w:rsid w:val="00FC59A3"/>
    <w:rsid w:val="00FC5C4C"/>
    <w:rsid w:val="00FD168B"/>
    <w:rsid w:val="00FD2104"/>
    <w:rsid w:val="00FD2A51"/>
    <w:rsid w:val="00FD3191"/>
    <w:rsid w:val="00FD4151"/>
    <w:rsid w:val="00FD48C0"/>
    <w:rsid w:val="00FD5EA6"/>
    <w:rsid w:val="00FD6410"/>
    <w:rsid w:val="00FD7D02"/>
    <w:rsid w:val="00FE0A1C"/>
    <w:rsid w:val="00FE1742"/>
    <w:rsid w:val="00FE4C7E"/>
    <w:rsid w:val="00FE7465"/>
    <w:rsid w:val="00FE7E1F"/>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FDD898E6-BB80-4ADA-8700-91BB4786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41D37-FD16-4E67-970B-B14D38A1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TotalTime>
  <Pages>3</Pages>
  <Words>319</Words>
  <Characters>1824</Characters>
  <Application>Microsoft Office Word</Application>
  <DocSecurity>0</DocSecurity>
  <Lines>15</Lines>
  <Paragraphs>4</Paragraphs>
  <ScaleCrop>false</ScaleCrop>
  <Company>Microsoft</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138</cp:revision>
  <cp:lastPrinted>2024-02-27T10:14:00Z</cp:lastPrinted>
  <dcterms:created xsi:type="dcterms:W3CDTF">2023-06-02T09:16:00Z</dcterms:created>
  <dcterms:modified xsi:type="dcterms:W3CDTF">2024-09-19T08:14:00Z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</vt:lpwstr>
  </property>
  <property fmtid="{D5CDD505-2E9C-101B-9397-08002B2CF9AE}" pid="2" name="KSOProductBuildVer">
    <vt:lpwstr>2052-11.1.0.14036</vt:lpwstr>
  </property>
  <property fmtid="{D5CDD505-2E9C-101B-9397-08002B2CF9AE}" pid="3" name="ICV">
    <vt:lpwstr>4008ABD01AF747508157E4D0231EB8D4_13</vt:lpwstr>
  </property>
</Properties>
</file>