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5F5F1">
      <w:pPr>
        <w:spacing w:before="156" w:beforeLines="50" w:after="156" w:afterLines="50" w:line="400" w:lineRule="exact"/>
        <w:jc w:val="center"/>
        <w:rPr>
          <w:color w:val="000000"/>
          <w:sz w:val="24"/>
        </w:rPr>
      </w:pPr>
      <w:r>
        <w:rPr>
          <w:bCs/>
          <w:iCs/>
          <w:color w:val="000000"/>
          <w:sz w:val="24"/>
        </w:rPr>
        <w:t>证券代码：</w:t>
      </w:r>
      <w:r>
        <w:rPr>
          <w:color w:val="000000"/>
          <w:sz w:val="24"/>
        </w:rPr>
        <w:t xml:space="preserve">688112                             </w:t>
      </w:r>
      <w:r>
        <w:rPr>
          <w:bCs/>
          <w:iCs/>
          <w:color w:val="000000"/>
          <w:sz w:val="24"/>
        </w:rPr>
        <w:t>证券简称：</w:t>
      </w:r>
      <w:r>
        <w:rPr>
          <w:color w:val="000000"/>
          <w:sz w:val="24"/>
        </w:rPr>
        <w:t>鼎阳科技</w:t>
      </w:r>
    </w:p>
    <w:p w14:paraId="2B98FC5D">
      <w:pPr>
        <w:spacing w:before="156" w:beforeLines="50" w:after="156" w:afterLines="50" w:line="400" w:lineRule="exact"/>
        <w:rPr>
          <w:color w:val="000000"/>
          <w:sz w:val="24"/>
        </w:rPr>
      </w:pPr>
    </w:p>
    <w:p w14:paraId="27163F26">
      <w:pPr>
        <w:spacing w:before="156" w:beforeLines="50" w:after="156" w:afterLines="50" w:line="400" w:lineRule="exact"/>
        <w:jc w:val="center"/>
        <w:rPr>
          <w:b/>
          <w:bCs/>
          <w:iCs/>
          <w:color w:val="000000"/>
          <w:sz w:val="32"/>
          <w:szCs w:val="32"/>
        </w:rPr>
      </w:pPr>
      <w:r>
        <w:rPr>
          <w:b/>
          <w:bCs/>
          <w:iCs/>
          <w:color w:val="000000"/>
          <w:sz w:val="32"/>
          <w:szCs w:val="32"/>
        </w:rPr>
        <w:t>深圳市鼎阳科技股份有限公司投资者关系活动记录表</w:t>
      </w:r>
    </w:p>
    <w:p w14:paraId="1B815399">
      <w:pPr>
        <w:spacing w:line="400" w:lineRule="exact"/>
        <w:jc w:val="right"/>
        <w:rPr>
          <w:bCs/>
          <w:iCs/>
          <w:color w:val="000000"/>
          <w:sz w:val="22"/>
          <w:szCs w:val="22"/>
        </w:rPr>
      </w:pPr>
      <w:r>
        <w:rPr>
          <w:bCs/>
          <w:iCs/>
          <w:color w:val="000000"/>
          <w:sz w:val="24"/>
        </w:rPr>
        <w:t xml:space="preserve">                                                     </w:t>
      </w:r>
      <w:r>
        <w:rPr>
          <w:bCs/>
          <w:iCs/>
          <w:color w:val="000000"/>
          <w:sz w:val="22"/>
          <w:szCs w:val="22"/>
        </w:rPr>
        <w:t xml:space="preserve"> 编号2024-021</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30"/>
      </w:tblGrid>
      <w:tr w14:paraId="731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B70D04D">
            <w:pPr>
              <w:spacing w:line="360" w:lineRule="auto"/>
              <w:jc w:val="center"/>
              <w:rPr>
                <w:sz w:val="24"/>
              </w:rPr>
            </w:pPr>
            <w:r>
              <w:rPr>
                <w:sz w:val="24"/>
              </w:rPr>
              <w:t>投资者关系活动类别</w:t>
            </w:r>
          </w:p>
        </w:tc>
        <w:tc>
          <w:tcPr>
            <w:tcW w:w="6830" w:type="dxa"/>
            <w:tcBorders>
              <w:top w:val="single" w:color="auto" w:sz="4" w:space="0"/>
              <w:left w:val="single" w:color="auto" w:sz="4" w:space="0"/>
              <w:bottom w:val="single" w:color="auto" w:sz="4" w:space="0"/>
              <w:right w:val="single" w:color="auto" w:sz="4" w:space="0"/>
            </w:tcBorders>
            <w:vAlign w:val="center"/>
          </w:tcPr>
          <w:p w14:paraId="41F3EAE5">
            <w:pPr>
              <w:spacing w:line="420" w:lineRule="exact"/>
              <w:rPr>
                <w:bCs/>
                <w:iCs/>
                <w:color w:val="000000"/>
                <w:sz w:val="24"/>
              </w:rPr>
            </w:pPr>
            <w:r>
              <w:rPr>
                <w:bCs/>
                <w:iCs/>
                <w:color w:val="000000"/>
                <w:kern w:val="0"/>
                <w:sz w:val="24"/>
              </w:rPr>
              <w:t xml:space="preserve">□ </w:t>
            </w:r>
            <w:r>
              <w:rPr>
                <w:kern w:val="0"/>
                <w:sz w:val="24"/>
              </w:rPr>
              <w:t xml:space="preserve">特定对象调研        </w:t>
            </w:r>
            <w:r>
              <w:rPr>
                <w:bCs/>
                <w:iCs/>
                <w:color w:val="000000"/>
                <w:kern w:val="0"/>
                <w:sz w:val="24"/>
              </w:rPr>
              <w:t xml:space="preserve">□ </w:t>
            </w:r>
            <w:r>
              <w:rPr>
                <w:kern w:val="0"/>
                <w:sz w:val="24"/>
              </w:rPr>
              <w:t>分析师会议</w:t>
            </w:r>
          </w:p>
          <w:p w14:paraId="458733A0">
            <w:pPr>
              <w:spacing w:line="420" w:lineRule="exact"/>
              <w:rPr>
                <w:bCs/>
                <w:iCs/>
                <w:color w:val="000000"/>
                <w:kern w:val="0"/>
                <w:sz w:val="24"/>
              </w:rPr>
            </w:pPr>
            <w:r>
              <w:rPr>
                <w:bCs/>
                <w:iCs/>
                <w:color w:val="000000"/>
                <w:kern w:val="0"/>
                <w:sz w:val="24"/>
              </w:rPr>
              <w:t xml:space="preserve">□ </w:t>
            </w:r>
            <w:r>
              <w:rPr>
                <w:kern w:val="0"/>
                <w:sz w:val="24"/>
              </w:rPr>
              <w:t xml:space="preserve">媒体采访            </w:t>
            </w:r>
            <w:r>
              <w:rPr>
                <w:bCs/>
                <w:iCs/>
                <w:color w:val="000000"/>
                <w:kern w:val="0"/>
                <w:sz w:val="24"/>
              </w:rPr>
              <w:t>□</w:t>
            </w:r>
            <w:r>
              <w:rPr>
                <w:rFonts w:hint="eastAsia"/>
                <w:bCs/>
                <w:iCs/>
                <w:color w:val="000000"/>
                <w:kern w:val="0"/>
                <w:sz w:val="24"/>
              </w:rPr>
              <w:t xml:space="preserve"> </w:t>
            </w:r>
            <w:r>
              <w:rPr>
                <w:kern w:val="0"/>
                <w:sz w:val="24"/>
              </w:rPr>
              <w:t>业绩说明会</w:t>
            </w:r>
          </w:p>
          <w:p w14:paraId="6ED45232">
            <w:pPr>
              <w:spacing w:line="420" w:lineRule="exact"/>
              <w:rPr>
                <w:bCs/>
                <w:iCs/>
                <w:color w:val="000000"/>
                <w:kern w:val="0"/>
                <w:sz w:val="24"/>
              </w:rPr>
            </w:pPr>
            <w:r>
              <w:rPr>
                <w:bCs/>
                <w:iCs/>
                <w:color w:val="000000"/>
                <w:kern w:val="0"/>
                <w:sz w:val="24"/>
              </w:rPr>
              <w:t xml:space="preserve">□ </w:t>
            </w:r>
            <w:r>
              <w:rPr>
                <w:kern w:val="0"/>
                <w:sz w:val="24"/>
              </w:rPr>
              <w:t xml:space="preserve">新闻发布会          </w:t>
            </w:r>
            <w:r>
              <w:rPr>
                <w:bCs/>
                <w:iCs/>
                <w:color w:val="000000"/>
                <w:kern w:val="0"/>
                <w:sz w:val="24"/>
              </w:rPr>
              <w:t xml:space="preserve">□ </w:t>
            </w:r>
            <w:r>
              <w:rPr>
                <w:kern w:val="0"/>
                <w:sz w:val="24"/>
              </w:rPr>
              <w:t>路演活动</w:t>
            </w:r>
          </w:p>
          <w:p w14:paraId="7B6E71E9">
            <w:pPr>
              <w:tabs>
                <w:tab w:val="left" w:pos="3045"/>
                <w:tab w:val="center" w:pos="3199"/>
              </w:tabs>
              <w:spacing w:line="420" w:lineRule="exact"/>
              <w:rPr>
                <w:bCs/>
                <w:iCs/>
                <w:color w:val="000000"/>
                <w:kern w:val="0"/>
                <w:sz w:val="24"/>
              </w:rPr>
            </w:pPr>
            <w:r>
              <w:rPr>
                <w:bCs/>
                <w:iCs/>
                <w:color w:val="000000"/>
                <w:kern w:val="0"/>
                <w:sz w:val="24"/>
              </w:rPr>
              <w:t xml:space="preserve">□ </w:t>
            </w:r>
            <w:r>
              <w:rPr>
                <w:kern w:val="0"/>
                <w:sz w:val="24"/>
              </w:rPr>
              <w:t xml:space="preserve">现场参观            </w:t>
            </w:r>
            <w:r>
              <w:rPr>
                <w:bCs/>
                <w:iCs/>
                <w:color w:val="000000"/>
                <w:kern w:val="0"/>
                <w:sz w:val="24"/>
              </w:rPr>
              <w:t>□ 一对一沟通</w:t>
            </w:r>
          </w:p>
          <w:p w14:paraId="6CD2EEAC">
            <w:pPr>
              <w:tabs>
                <w:tab w:val="left" w:pos="3045"/>
                <w:tab w:val="center" w:pos="3199"/>
              </w:tabs>
              <w:spacing w:line="420" w:lineRule="exact"/>
              <w:rPr>
                <w:bCs/>
                <w:iCs/>
                <w:color w:val="000000"/>
                <w:kern w:val="0"/>
                <w:sz w:val="24"/>
              </w:rPr>
            </w:pPr>
            <w:r>
              <w:rPr>
                <w:bCs/>
                <w:iCs/>
                <w:color w:val="000000"/>
                <w:kern w:val="0"/>
                <w:sz w:val="24"/>
              </w:rPr>
              <w:sym w:font="Wingdings 2" w:char="0052"/>
            </w:r>
            <w:r>
              <w:rPr>
                <w:bCs/>
                <w:iCs/>
                <w:color w:val="000000"/>
                <w:kern w:val="0"/>
                <w:sz w:val="24"/>
              </w:rPr>
              <w:t xml:space="preserve"> 线上会议           </w:t>
            </w:r>
            <w:r>
              <w:rPr>
                <w:rFonts w:hint="eastAsia"/>
                <w:bCs/>
                <w:iCs/>
                <w:color w:val="000000"/>
                <w:kern w:val="0"/>
                <w:sz w:val="24"/>
              </w:rPr>
              <w:t xml:space="preserve"> </w:t>
            </w:r>
            <w:r>
              <w:rPr>
                <w:bCs/>
                <w:iCs/>
                <w:color w:val="000000"/>
                <w:kern w:val="0"/>
                <w:sz w:val="24"/>
              </w:rPr>
              <w:t xml:space="preserve">□  </w:t>
            </w:r>
            <w:r>
              <w:rPr>
                <w:kern w:val="0"/>
                <w:sz w:val="24"/>
              </w:rPr>
              <w:t>其他</w:t>
            </w:r>
            <w:r>
              <w:rPr>
                <w:rFonts w:hint="eastAsia"/>
                <w:kern w:val="0"/>
                <w:sz w:val="24"/>
              </w:rPr>
              <w:t xml:space="preserve"> </w:t>
            </w:r>
          </w:p>
        </w:tc>
      </w:tr>
      <w:tr w14:paraId="64F3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56FEF11">
            <w:pPr>
              <w:spacing w:line="360" w:lineRule="auto"/>
              <w:jc w:val="center"/>
              <w:rPr>
                <w:sz w:val="24"/>
              </w:rPr>
            </w:pPr>
            <w:r>
              <w:rPr>
                <w:sz w:val="24"/>
              </w:rPr>
              <w:t>参与单位名称</w:t>
            </w:r>
          </w:p>
        </w:tc>
        <w:tc>
          <w:tcPr>
            <w:tcW w:w="6830" w:type="dxa"/>
            <w:tcBorders>
              <w:top w:val="single" w:color="auto" w:sz="4" w:space="0"/>
              <w:left w:val="single" w:color="auto" w:sz="4" w:space="0"/>
              <w:bottom w:val="single" w:color="auto" w:sz="4" w:space="0"/>
              <w:right w:val="single" w:color="auto" w:sz="4" w:space="0"/>
            </w:tcBorders>
            <w:vAlign w:val="center"/>
          </w:tcPr>
          <w:p w14:paraId="62334BE5">
            <w:pPr>
              <w:spacing w:line="360" w:lineRule="auto"/>
              <w:jc w:val="left"/>
              <w:rPr>
                <w:rFonts w:hint="eastAsia" w:eastAsia="宋体"/>
                <w:sz w:val="24"/>
                <w:lang w:eastAsia="zh"/>
                <w:woUserID w:val="1"/>
              </w:rPr>
            </w:pPr>
            <w:r>
              <w:rPr>
                <w:rFonts w:hint="eastAsia"/>
                <w:sz w:val="24"/>
              </w:rPr>
              <w:t>仁桥（北京）资产管理有限公司、中国国际金融股份有限公司</w:t>
            </w:r>
            <w:r>
              <w:rPr>
                <w:rFonts w:hint="eastAsia"/>
                <w:sz w:val="24"/>
                <w:lang w:eastAsia="zh"/>
                <w:woUserID w:val="1"/>
              </w:rPr>
              <w:t>、易方达基金管理有限公司</w:t>
            </w:r>
          </w:p>
        </w:tc>
      </w:tr>
      <w:tr w14:paraId="743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736154">
            <w:pPr>
              <w:spacing w:line="360" w:lineRule="auto"/>
              <w:jc w:val="center"/>
              <w:rPr>
                <w:sz w:val="24"/>
              </w:rPr>
            </w:pPr>
            <w:r>
              <w:rPr>
                <w:sz w:val="24"/>
              </w:rPr>
              <w:t>时间</w:t>
            </w:r>
          </w:p>
        </w:tc>
        <w:tc>
          <w:tcPr>
            <w:tcW w:w="6830" w:type="dxa"/>
            <w:tcBorders>
              <w:top w:val="single" w:color="auto" w:sz="4" w:space="0"/>
              <w:left w:val="single" w:color="auto" w:sz="4" w:space="0"/>
              <w:bottom w:val="single" w:color="auto" w:sz="4" w:space="0"/>
              <w:right w:val="single" w:color="auto" w:sz="4" w:space="0"/>
            </w:tcBorders>
            <w:vAlign w:val="center"/>
          </w:tcPr>
          <w:p w14:paraId="2169D5AB">
            <w:pPr>
              <w:spacing w:line="360" w:lineRule="auto"/>
              <w:jc w:val="left"/>
              <w:rPr>
                <w:sz w:val="24"/>
              </w:rPr>
            </w:pPr>
            <w:r>
              <w:rPr>
                <w:sz w:val="24"/>
              </w:rPr>
              <w:t>2024年9月20日</w:t>
            </w:r>
          </w:p>
        </w:tc>
      </w:tr>
      <w:tr w14:paraId="3E8B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4AC415E">
            <w:pPr>
              <w:spacing w:line="360" w:lineRule="auto"/>
              <w:jc w:val="center"/>
              <w:rPr>
                <w:sz w:val="24"/>
              </w:rPr>
            </w:pPr>
            <w:r>
              <w:rPr>
                <w:sz w:val="24"/>
              </w:rPr>
              <w:t>接待人员</w:t>
            </w:r>
          </w:p>
        </w:tc>
        <w:tc>
          <w:tcPr>
            <w:tcW w:w="6830" w:type="dxa"/>
            <w:tcBorders>
              <w:top w:val="single" w:color="auto" w:sz="4" w:space="0"/>
              <w:left w:val="single" w:color="auto" w:sz="4" w:space="0"/>
              <w:bottom w:val="single" w:color="auto" w:sz="4" w:space="0"/>
              <w:right w:val="single" w:color="auto" w:sz="4" w:space="0"/>
            </w:tcBorders>
            <w:vAlign w:val="center"/>
          </w:tcPr>
          <w:p w14:paraId="0F54AD5C">
            <w:pPr>
              <w:spacing w:line="360" w:lineRule="auto"/>
              <w:jc w:val="left"/>
              <w:rPr>
                <w:sz w:val="24"/>
              </w:rPr>
            </w:pPr>
            <w:r>
              <w:rPr>
                <w:sz w:val="24"/>
              </w:rPr>
              <w:t>证券事务代表：王俊颖</w:t>
            </w:r>
          </w:p>
        </w:tc>
      </w:tr>
      <w:tr w14:paraId="408E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8" w:type="dxa"/>
            <w:gridSpan w:val="2"/>
            <w:tcBorders>
              <w:top w:val="single" w:color="auto" w:sz="4" w:space="0"/>
              <w:left w:val="single" w:color="auto" w:sz="4" w:space="0"/>
              <w:bottom w:val="single" w:color="auto" w:sz="4" w:space="0"/>
              <w:right w:val="single" w:color="auto" w:sz="4" w:space="0"/>
            </w:tcBorders>
            <w:vAlign w:val="center"/>
          </w:tcPr>
          <w:p w14:paraId="03E69929">
            <w:pPr>
              <w:spacing w:line="420" w:lineRule="exact"/>
              <w:jc w:val="center"/>
              <w:rPr>
                <w:bCs/>
                <w:sz w:val="24"/>
              </w:rPr>
            </w:pPr>
            <w:r>
              <w:rPr>
                <w:b/>
                <w:sz w:val="24"/>
              </w:rPr>
              <w:t>投资者关系活动主要内容介绍</w:t>
            </w:r>
          </w:p>
        </w:tc>
      </w:tr>
      <w:tr w14:paraId="675F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14:paraId="51C98A94">
            <w:pPr>
              <w:adjustRightInd w:val="0"/>
              <w:snapToGrid w:val="0"/>
              <w:spacing w:line="360" w:lineRule="auto"/>
              <w:ind w:firstLine="480" w:firstLineChars="200"/>
              <w:rPr>
                <w:sz w:val="24"/>
              </w:rPr>
            </w:pPr>
            <w:r>
              <w:rPr>
                <w:sz w:val="24"/>
              </w:rPr>
              <w:t>Q1：</w:t>
            </w:r>
            <w:r>
              <w:rPr>
                <w:rFonts w:hint="eastAsia"/>
                <w:sz w:val="24"/>
              </w:rPr>
              <w:t>2</w:t>
            </w:r>
            <w:r>
              <w:rPr>
                <w:sz w:val="24"/>
              </w:rPr>
              <w:t>024</w:t>
            </w:r>
            <w:r>
              <w:rPr>
                <w:rFonts w:hint="eastAsia"/>
                <w:sz w:val="24"/>
              </w:rPr>
              <w:t>年上半年公司高端产品的营业收入占总营业收入的比例是多少？</w:t>
            </w:r>
          </w:p>
          <w:p w14:paraId="436B1F86">
            <w:pPr>
              <w:adjustRightInd w:val="0"/>
              <w:snapToGrid w:val="0"/>
              <w:spacing w:line="360" w:lineRule="auto"/>
              <w:ind w:firstLine="480" w:firstLineChars="200"/>
              <w:rPr>
                <w:rFonts w:hint="eastAsia"/>
                <w:sz w:val="24"/>
              </w:rPr>
            </w:pPr>
            <w:r>
              <w:rPr>
                <w:sz w:val="24"/>
              </w:rPr>
              <w:t>A1：公司高端产品营业收入占总营业收入的比例从2017年的1.84%提升至2024年上半年的20%以上，</w:t>
            </w:r>
            <w:r>
              <w:rPr>
                <w:sz w:val="24"/>
                <w:woUserID w:val="1"/>
              </w:rPr>
              <w:t>公司高端化发展战略成效显著，四大主力产品结构不断优化，</w:t>
            </w:r>
            <w:r>
              <w:rPr>
                <w:rFonts w:hint="eastAsia"/>
                <w:sz w:val="24"/>
                <w:lang w:eastAsia="zh"/>
                <w:woUserID w:val="1"/>
              </w:rPr>
              <w:t>2024</w:t>
            </w:r>
            <w:r>
              <w:rPr>
                <w:sz w:val="24"/>
              </w:rPr>
              <w:t>年上半年</w:t>
            </w:r>
            <w:r>
              <w:rPr>
                <w:rFonts w:hint="eastAsia"/>
                <w:sz w:val="24"/>
                <w:lang w:eastAsia="zh"/>
                <w:woUserID w:val="1"/>
              </w:rPr>
              <w:t>拉动</w:t>
            </w:r>
            <w:r>
              <w:rPr>
                <w:sz w:val="24"/>
              </w:rPr>
              <w:t>四大主力产品平均单价同比提升8.30%。从产品的销售单价上看，销售单价3万以上的产品，销售额同比增长15.71%，销售单价5万以上的产品，销售额同比增长36.07%。售价越高的产品，增长越快，充分体现了公司高端化战略的成效。</w:t>
            </w:r>
          </w:p>
          <w:p w14:paraId="145D3B71">
            <w:pPr>
              <w:pStyle w:val="15"/>
              <w:adjustRightInd w:val="0"/>
              <w:snapToGrid w:val="0"/>
              <w:spacing w:line="360" w:lineRule="auto"/>
              <w:ind w:firstLine="480"/>
              <w:rPr>
                <w:rFonts w:ascii="Times New Roman" w:hAnsi="Times New Roman"/>
                <w:sz w:val="24"/>
                <w:szCs w:val="24"/>
              </w:rPr>
            </w:pPr>
          </w:p>
          <w:p w14:paraId="20FA213F">
            <w:pPr>
              <w:adjustRightInd w:val="0"/>
              <w:snapToGrid w:val="0"/>
              <w:spacing w:line="360" w:lineRule="auto"/>
              <w:ind w:firstLine="480" w:firstLineChars="200"/>
              <w:rPr>
                <w:sz w:val="24"/>
              </w:rPr>
            </w:pPr>
            <w:r>
              <w:rPr>
                <w:rFonts w:hint="eastAsia"/>
                <w:sz w:val="24"/>
              </w:rPr>
              <w:t>Q</w:t>
            </w:r>
            <w:r>
              <w:rPr>
                <w:sz w:val="24"/>
              </w:rPr>
              <w:t>2</w:t>
            </w:r>
            <w:r>
              <w:rPr>
                <w:rFonts w:hint="eastAsia"/>
                <w:sz w:val="24"/>
              </w:rPr>
              <w:t>：请问公司频谱分析仪、矢量网络分析仪和射频微波信号发生器等射频微波类产品的竞争优势是什么？</w:t>
            </w:r>
          </w:p>
          <w:p w14:paraId="36DA3E23">
            <w:pPr>
              <w:adjustRightInd w:val="0"/>
              <w:snapToGrid w:val="0"/>
              <w:spacing w:line="360" w:lineRule="auto"/>
              <w:ind w:firstLine="480" w:firstLineChars="200"/>
              <w:rPr>
                <w:sz w:val="24"/>
              </w:rPr>
            </w:pPr>
            <w:r>
              <w:rPr>
                <w:rFonts w:hint="eastAsia"/>
                <w:sz w:val="24"/>
              </w:rPr>
              <w:t>A</w:t>
            </w:r>
            <w:r>
              <w:rPr>
                <w:sz w:val="24"/>
              </w:rPr>
              <w:t>2</w:t>
            </w:r>
            <w:r>
              <w:rPr>
                <w:rFonts w:hint="eastAsia"/>
                <w:sz w:val="24"/>
              </w:rPr>
              <w:t>：公司频谱分析仪、矢量网络分析仪和射频微波信号发生器等射频微波类产品的竞争优势如下：</w:t>
            </w:r>
          </w:p>
          <w:p w14:paraId="019F5D7D">
            <w:pPr>
              <w:adjustRightInd w:val="0"/>
              <w:snapToGrid w:val="0"/>
              <w:spacing w:line="360" w:lineRule="auto"/>
              <w:ind w:firstLine="480" w:firstLineChars="200"/>
              <w:rPr>
                <w:rFonts w:hint="eastAsia"/>
                <w:sz w:val="24"/>
              </w:rPr>
            </w:pPr>
            <w:r>
              <w:rPr>
                <w:rFonts w:hint="eastAsia"/>
                <w:sz w:val="24"/>
              </w:rPr>
              <w:t>一，公司射频微波类产品矩阵完善，性能指标国内领先，可为客户提供更强的整体配套解决方案。公司已拥有最高测量频率为26.5 GHz的频谱分析仪、最高测量频率为26.5 GHz的矢量网络分析仪和最高输出频率为40 GHz的射频微波信号发生器等高端射频微波类产品。公司是国内极少数具有数字示波器、信号发生器、频谱分析仪和矢量网络分析仪四大通用电子测试测量仪器主力产品研发、生产和全球化品牌销售能力的通用电子测试测量仪器厂家，同时也是国内极少数同时拥有这四大主力产品并且四大主力产品全线进入高端领域的企业。</w:t>
            </w:r>
          </w:p>
          <w:p w14:paraId="61053CCB">
            <w:pPr>
              <w:pStyle w:val="15"/>
              <w:adjustRightInd w:val="0"/>
              <w:snapToGrid w:val="0"/>
              <w:spacing w:line="360" w:lineRule="auto"/>
              <w:ind w:firstLine="480"/>
              <w:rPr>
                <w:rFonts w:ascii="Times New Roman" w:hAnsi="Times New Roman"/>
                <w:sz w:val="24"/>
                <w:szCs w:val="24"/>
              </w:rPr>
            </w:pPr>
            <w:r>
              <w:rPr>
                <w:rFonts w:hint="eastAsia" w:ascii="Times New Roman" w:hAnsi="Times New Roman"/>
                <w:sz w:val="24"/>
                <w:szCs w:val="24"/>
              </w:rPr>
              <w:t>二，公司射频微波类产品形态及品类丰富，可满足更多应用场景的需求。基于长期的技术积累，公司以对下游需求的深刻理解为依托，将客户需求与产品深度融合，相继推出了26.5 GHz的全双端口手持式矢量网络分析仪、7.5 GHz的手持信号分析仪等产品，进一步拓宽了公司射频微波类产品的应用场景和使用范围。</w:t>
            </w:r>
          </w:p>
          <w:p w14:paraId="649D8BE9">
            <w:pPr>
              <w:pStyle w:val="15"/>
              <w:adjustRightInd w:val="0"/>
              <w:snapToGrid w:val="0"/>
              <w:spacing w:line="360" w:lineRule="auto"/>
              <w:ind w:firstLine="480"/>
              <w:rPr>
                <w:rFonts w:hint="eastAsia" w:ascii="Times New Roman" w:hAnsi="Times New Roman"/>
                <w:sz w:val="24"/>
                <w:szCs w:val="24"/>
              </w:rPr>
            </w:pPr>
            <w:r>
              <w:rPr>
                <w:rFonts w:hint="eastAsia" w:ascii="Times New Roman" w:hAnsi="Times New Roman"/>
                <w:sz w:val="24"/>
                <w:szCs w:val="24"/>
              </w:rPr>
              <w:t>三，公司产品品质稳定，与是德科技、罗德与施瓦茨、力科以及泰克等国外优势企业相比，公司现有产品具备了其同档次产品类似或更优的性能指标，性价比优势明显。</w:t>
            </w:r>
          </w:p>
          <w:p w14:paraId="18CA03B7">
            <w:pPr>
              <w:adjustRightInd w:val="0"/>
              <w:snapToGrid w:val="0"/>
              <w:spacing w:line="360" w:lineRule="auto"/>
              <w:rPr>
                <w:sz w:val="24"/>
              </w:rPr>
            </w:pPr>
          </w:p>
          <w:p w14:paraId="300AB1BA">
            <w:pPr>
              <w:adjustRightInd w:val="0"/>
              <w:snapToGrid w:val="0"/>
              <w:spacing w:line="360" w:lineRule="auto"/>
              <w:ind w:firstLine="480" w:firstLineChars="200"/>
              <w:rPr>
                <w:sz w:val="24"/>
              </w:rPr>
            </w:pPr>
            <w:r>
              <w:rPr>
                <w:sz w:val="24"/>
              </w:rPr>
              <w:t>Q3：</w:t>
            </w:r>
            <w:r>
              <w:rPr>
                <w:rFonts w:hint="eastAsia"/>
                <w:sz w:val="24"/>
              </w:rPr>
              <w:t>公司前瞻性地布局矢量网络分析仪</w:t>
            </w:r>
            <w:r>
              <w:rPr>
                <w:rFonts w:hint="eastAsia"/>
                <w:sz w:val="24"/>
                <w:lang w:eastAsia="zh"/>
                <w:woUserID w:val="1"/>
              </w:rPr>
              <w:t>产品</w:t>
            </w:r>
            <w:bookmarkStart w:id="0" w:name="_GoBack"/>
            <w:bookmarkEnd w:id="0"/>
            <w:r>
              <w:rPr>
                <w:rFonts w:hint="eastAsia"/>
                <w:sz w:val="24"/>
              </w:rPr>
              <w:t>，</w:t>
            </w:r>
            <w:r>
              <w:rPr>
                <w:rFonts w:hint="eastAsia"/>
                <w:sz w:val="24"/>
                <w:lang w:eastAsia="zh"/>
                <w:woUserID w:val="1"/>
              </w:rPr>
              <w:t>在2020年推出了第一款矢量网络分析仪，并于</w:t>
            </w:r>
            <w:r>
              <w:rPr>
                <w:rFonts w:hint="eastAsia"/>
                <w:sz w:val="24"/>
              </w:rPr>
              <w:t>2022年成功推出了</w:t>
            </w:r>
            <w:r>
              <w:rPr>
                <w:rFonts w:hint="eastAsia"/>
                <w:sz w:val="24"/>
                <w:lang w:eastAsia="zh"/>
                <w:woUserID w:val="1"/>
              </w:rPr>
              <w:t>最高测量频率达26.5 GHz的</w:t>
            </w:r>
            <w:r>
              <w:rPr>
                <w:rFonts w:hint="eastAsia"/>
                <w:sz w:val="24"/>
              </w:rPr>
              <w:t>高端矢量网络分析仪，公司是如何识别并抓住市场机遇的？</w:t>
            </w:r>
          </w:p>
          <w:p w14:paraId="47E712D9">
            <w:pPr>
              <w:adjustRightInd w:val="0"/>
              <w:snapToGrid w:val="0"/>
              <w:spacing w:line="360" w:lineRule="auto"/>
              <w:ind w:firstLine="480" w:firstLineChars="200"/>
              <w:rPr>
                <w:sz w:val="24"/>
              </w:rPr>
            </w:pPr>
            <w:r>
              <w:rPr>
                <w:sz w:val="24"/>
              </w:rPr>
              <w:t>A3：</w:t>
            </w:r>
            <w:r>
              <w:rPr>
                <w:rFonts w:hint="eastAsia"/>
                <w:sz w:val="24"/>
              </w:rPr>
              <w:t>矢量网络分析仪是测量器件网络特性的仪器，它结合了频谱分析仪技术、信号发生器技术以及矢量网络分析技术等各项技术，被誉为“仪器之王”，是射频微波领域必备的测试测量仪器，并且是诸多行业专用仪器的基础形态。公司矢量网络分析仪产品最高测量频率达26.5 GHz，可实现多端口矢量S参数测量，实施各档次的系统误差校准，且可具备频谱分析仪的通用特性，是高度集成的射频微波仪器。公司矢量网络分析仪主要应用于研发，部分应用于生产检测、现场维护和教育教学，具体包括通信测试、电磁兼容测试、天线测试、电缆测试、信号分析、安规认证、天线和微波模块测试等。</w:t>
            </w:r>
          </w:p>
          <w:p w14:paraId="46AB883C">
            <w:pPr>
              <w:adjustRightInd w:val="0"/>
              <w:snapToGrid w:val="0"/>
              <w:spacing w:line="360" w:lineRule="auto"/>
              <w:ind w:firstLine="480" w:firstLineChars="200"/>
              <w:rPr>
                <w:sz w:val="24"/>
              </w:rPr>
            </w:pPr>
            <w:r>
              <w:rPr>
                <w:rFonts w:hint="eastAsia"/>
                <w:sz w:val="24"/>
              </w:rPr>
              <w:t>通用电子测试测量仪器行业具有较高的技术壁垒，参考国外优势企业的产品发展历程，公司产品研发战略相对明确，即高度聚焦于数字示波器、频谱分析仪、信号发生器和矢量网络分析仪等四大行业主力产品的迭代创新。</w:t>
            </w:r>
          </w:p>
          <w:p w14:paraId="71DA0DEC">
            <w:pPr>
              <w:adjustRightInd w:val="0"/>
              <w:snapToGrid w:val="0"/>
              <w:spacing w:line="360" w:lineRule="auto"/>
              <w:ind w:firstLine="480" w:firstLineChars="200"/>
              <w:rPr>
                <w:sz w:val="24"/>
              </w:rPr>
            </w:pPr>
            <w:r>
              <w:rPr>
                <w:rFonts w:hint="eastAsia"/>
                <w:sz w:val="24"/>
              </w:rPr>
              <w:t>根据Technavio的分析数据，从产品市场规模来看，2022年通用电子测量仪器行业市场规模为63.11亿美元，四大行业主力产品市场规模占行业市场规模的比例为7</w:t>
            </w:r>
            <w:r>
              <w:rPr>
                <w:sz w:val="24"/>
              </w:rPr>
              <w:t>7.33%</w:t>
            </w:r>
            <w:r>
              <w:rPr>
                <w:rFonts w:hint="eastAsia"/>
                <w:sz w:val="24"/>
              </w:rPr>
              <w:t>。</w:t>
            </w:r>
          </w:p>
          <w:p w14:paraId="7A5AFFCC">
            <w:pPr>
              <w:adjustRightInd w:val="0"/>
              <w:snapToGrid w:val="0"/>
              <w:spacing w:line="360" w:lineRule="auto"/>
              <w:jc w:val="center"/>
              <w:rPr>
                <w:sz w:val="18"/>
                <w:szCs w:val="18"/>
              </w:rPr>
            </w:pPr>
            <w:r>
              <w:rPr>
                <w:sz w:val="18"/>
                <w:szCs w:val="18"/>
              </w:rPr>
              <w:drawing>
                <wp:inline distT="0" distB="0" distL="0" distR="0">
                  <wp:extent cx="4476750" cy="23431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5EDE86">
            <w:pPr>
              <w:adjustRightInd w:val="0"/>
              <w:snapToGrid w:val="0"/>
              <w:spacing w:line="360" w:lineRule="auto"/>
              <w:jc w:val="right"/>
              <w:rPr>
                <w:rFonts w:hint="eastAsia"/>
                <w:sz w:val="18"/>
                <w:szCs w:val="18"/>
              </w:rPr>
            </w:pPr>
            <w:r>
              <w:rPr>
                <w:rFonts w:hint="eastAsia"/>
                <w:sz w:val="18"/>
                <w:szCs w:val="18"/>
              </w:rPr>
              <w:t>数据来源：</w:t>
            </w:r>
            <w:r>
              <w:rPr>
                <w:sz w:val="18"/>
                <w:szCs w:val="18"/>
              </w:rPr>
              <w:t>Technavio</w:t>
            </w:r>
          </w:p>
          <w:p w14:paraId="46E4F91E">
            <w:pPr>
              <w:adjustRightInd w:val="0"/>
              <w:snapToGrid w:val="0"/>
              <w:spacing w:line="360" w:lineRule="auto"/>
              <w:ind w:firstLine="480" w:firstLineChars="200"/>
              <w:rPr>
                <w:rFonts w:hint="eastAsia"/>
                <w:sz w:val="24"/>
              </w:rPr>
            </w:pPr>
            <w:r>
              <w:rPr>
                <w:rFonts w:hint="eastAsia"/>
                <w:sz w:val="24"/>
              </w:rPr>
              <w:t>从产品市场规模复合增速来看，Technavio预计2</w:t>
            </w:r>
            <w:r>
              <w:rPr>
                <w:sz w:val="24"/>
              </w:rPr>
              <w:t>02</w:t>
            </w:r>
            <w:r>
              <w:rPr>
                <w:rFonts w:hint="eastAsia"/>
                <w:sz w:val="24"/>
              </w:rPr>
              <w:t>2年至</w:t>
            </w:r>
            <w:r>
              <w:rPr>
                <w:sz w:val="24"/>
              </w:rPr>
              <w:t>2027</w:t>
            </w:r>
            <w:r>
              <w:rPr>
                <w:rFonts w:hint="eastAsia"/>
                <w:sz w:val="24"/>
              </w:rPr>
              <w:t>年全球示波器市场规模CAGR为5.66%，频谱分析仪市场规模CAGR为6.8</w:t>
            </w:r>
            <w:r>
              <w:rPr>
                <w:sz w:val="24"/>
              </w:rPr>
              <w:t>0</w:t>
            </w:r>
            <w:r>
              <w:rPr>
                <w:rFonts w:hint="eastAsia"/>
                <w:sz w:val="24"/>
              </w:rPr>
              <w:t>%，矢量网络分析仪市场规模CAGR为6.37%，信号发生器市场规模CAGR为5.89%，2</w:t>
            </w:r>
            <w:r>
              <w:rPr>
                <w:sz w:val="24"/>
              </w:rPr>
              <w:t>02</w:t>
            </w:r>
            <w:r>
              <w:rPr>
                <w:rFonts w:hint="eastAsia"/>
                <w:sz w:val="24"/>
              </w:rPr>
              <w:t>2年至</w:t>
            </w:r>
            <w:r>
              <w:rPr>
                <w:sz w:val="24"/>
              </w:rPr>
              <w:t>2027</w:t>
            </w:r>
            <w:r>
              <w:rPr>
                <w:rFonts w:hint="eastAsia"/>
                <w:sz w:val="24"/>
              </w:rPr>
              <w:t>年矢量网络分析仪、频谱分析仪、射频微波信号发生器的市场规模复合增速均超过数字示波器的市场规模复合增速。</w:t>
            </w:r>
          </w:p>
          <w:p w14:paraId="20A13C79">
            <w:pPr>
              <w:adjustRightInd w:val="0"/>
              <w:snapToGrid w:val="0"/>
              <w:spacing w:line="360" w:lineRule="auto"/>
              <w:ind w:firstLine="420" w:firstLineChars="200"/>
              <w:jc w:val="center"/>
              <w:rPr>
                <w:sz w:val="24"/>
              </w:rPr>
            </w:pPr>
            <w:r>
              <w:drawing>
                <wp:inline distT="0" distB="0" distL="0" distR="0">
                  <wp:extent cx="4572000" cy="22002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99AC85">
            <w:pPr>
              <w:adjustRightInd w:val="0"/>
              <w:snapToGrid w:val="0"/>
              <w:spacing w:line="360" w:lineRule="auto"/>
              <w:jc w:val="right"/>
              <w:rPr>
                <w:rFonts w:hint="eastAsia"/>
                <w:sz w:val="18"/>
                <w:szCs w:val="18"/>
              </w:rPr>
            </w:pPr>
            <w:r>
              <w:rPr>
                <w:rFonts w:hint="eastAsia"/>
                <w:sz w:val="18"/>
                <w:szCs w:val="18"/>
              </w:rPr>
              <w:t>数据来源：</w:t>
            </w:r>
            <w:r>
              <w:rPr>
                <w:sz w:val="18"/>
                <w:szCs w:val="18"/>
              </w:rPr>
              <w:t>Technavio</w:t>
            </w:r>
          </w:p>
          <w:p w14:paraId="43DF44CF">
            <w:pPr>
              <w:adjustRightInd w:val="0"/>
              <w:snapToGrid w:val="0"/>
              <w:spacing w:line="360" w:lineRule="auto"/>
              <w:ind w:firstLine="480" w:firstLineChars="200"/>
              <w:rPr>
                <w:rFonts w:hint="eastAsia"/>
                <w:sz w:val="24"/>
              </w:rPr>
            </w:pPr>
            <w:r>
              <w:rPr>
                <w:rFonts w:hint="eastAsia"/>
                <w:sz w:val="24"/>
              </w:rPr>
              <w:t>公司在矢量网络分析仪产品方面的优势将有利于公司为客户提供通用电子测试领域的整体解决方案，依靠持续的品牌建设、全球化的销售渠道、稳定的产品品质以及明显的性价比优势，公司综合竞争力国内领先，通过全球市场渗透率的不断提升，未来公司营业收入的增长空间广阔。</w:t>
            </w:r>
          </w:p>
        </w:tc>
      </w:tr>
    </w:tbl>
    <w:p w14:paraId="63EB9167"/>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Wingdings 2">
    <w:altName w:val="Kingsoft Mark"/>
    <w:panose1 w:val="05020102010507070707"/>
    <w:charset w:val="02"/>
    <w:family w:val="roman"/>
    <w:pitch w:val="default"/>
    <w:sig w:usb0="00000000" w:usb1="00000000" w:usb2="00000000" w:usb3="00000000" w:csb0="80000000" w:csb1="00000000"/>
  </w:font>
  <w:font w:name="Kingsoft Mark">
    <w:panose1 w:val="05030102010509060703"/>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C432F">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1AD0">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BC"/>
    <w:rsid w:val="00006CFA"/>
    <w:rsid w:val="000108DF"/>
    <w:rsid w:val="00010C04"/>
    <w:rsid w:val="00012802"/>
    <w:rsid w:val="00012D00"/>
    <w:rsid w:val="0001392A"/>
    <w:rsid w:val="0001509B"/>
    <w:rsid w:val="00015915"/>
    <w:rsid w:val="00016F33"/>
    <w:rsid w:val="000207F0"/>
    <w:rsid w:val="00020C91"/>
    <w:rsid w:val="000220C0"/>
    <w:rsid w:val="0002224B"/>
    <w:rsid w:val="0002563C"/>
    <w:rsid w:val="00025F83"/>
    <w:rsid w:val="00027453"/>
    <w:rsid w:val="00027509"/>
    <w:rsid w:val="0003076F"/>
    <w:rsid w:val="0003092C"/>
    <w:rsid w:val="0003379A"/>
    <w:rsid w:val="00033A71"/>
    <w:rsid w:val="00034B32"/>
    <w:rsid w:val="00035B98"/>
    <w:rsid w:val="00036C7F"/>
    <w:rsid w:val="00041AC3"/>
    <w:rsid w:val="00042777"/>
    <w:rsid w:val="00043072"/>
    <w:rsid w:val="00044CFF"/>
    <w:rsid w:val="000524CA"/>
    <w:rsid w:val="000540CE"/>
    <w:rsid w:val="00063BE0"/>
    <w:rsid w:val="000650D4"/>
    <w:rsid w:val="00070BDB"/>
    <w:rsid w:val="00070D04"/>
    <w:rsid w:val="00071324"/>
    <w:rsid w:val="00072F55"/>
    <w:rsid w:val="000739C6"/>
    <w:rsid w:val="00075434"/>
    <w:rsid w:val="00077472"/>
    <w:rsid w:val="000800A8"/>
    <w:rsid w:val="00081B4D"/>
    <w:rsid w:val="00084F09"/>
    <w:rsid w:val="00085A29"/>
    <w:rsid w:val="000906B0"/>
    <w:rsid w:val="0009077C"/>
    <w:rsid w:val="0009088F"/>
    <w:rsid w:val="00091277"/>
    <w:rsid w:val="00092089"/>
    <w:rsid w:val="00094275"/>
    <w:rsid w:val="0009546A"/>
    <w:rsid w:val="000958F1"/>
    <w:rsid w:val="000959AF"/>
    <w:rsid w:val="00097A53"/>
    <w:rsid w:val="000A1834"/>
    <w:rsid w:val="000A1CC7"/>
    <w:rsid w:val="000A2AC6"/>
    <w:rsid w:val="000A33B0"/>
    <w:rsid w:val="000A3534"/>
    <w:rsid w:val="000A541B"/>
    <w:rsid w:val="000A6DE6"/>
    <w:rsid w:val="000A6EB7"/>
    <w:rsid w:val="000B1723"/>
    <w:rsid w:val="000B2C71"/>
    <w:rsid w:val="000B69A5"/>
    <w:rsid w:val="000B7444"/>
    <w:rsid w:val="000B7F2C"/>
    <w:rsid w:val="000C20DB"/>
    <w:rsid w:val="000C2210"/>
    <w:rsid w:val="000C2262"/>
    <w:rsid w:val="000C234D"/>
    <w:rsid w:val="000C2CDF"/>
    <w:rsid w:val="000C3C0F"/>
    <w:rsid w:val="000C4FEB"/>
    <w:rsid w:val="000C6D25"/>
    <w:rsid w:val="000D18A3"/>
    <w:rsid w:val="000D6C22"/>
    <w:rsid w:val="000D7B74"/>
    <w:rsid w:val="000E7DFE"/>
    <w:rsid w:val="000F021E"/>
    <w:rsid w:val="000F1760"/>
    <w:rsid w:val="000F1F69"/>
    <w:rsid w:val="000F1F6B"/>
    <w:rsid w:val="000F26D6"/>
    <w:rsid w:val="000F4489"/>
    <w:rsid w:val="000F5FD4"/>
    <w:rsid w:val="000F625B"/>
    <w:rsid w:val="000F6AA6"/>
    <w:rsid w:val="0010000B"/>
    <w:rsid w:val="00105AB3"/>
    <w:rsid w:val="00107963"/>
    <w:rsid w:val="0011286C"/>
    <w:rsid w:val="0011402F"/>
    <w:rsid w:val="00114371"/>
    <w:rsid w:val="00117229"/>
    <w:rsid w:val="00120030"/>
    <w:rsid w:val="00123271"/>
    <w:rsid w:val="0013240D"/>
    <w:rsid w:val="001326E6"/>
    <w:rsid w:val="0014120D"/>
    <w:rsid w:val="0014189D"/>
    <w:rsid w:val="00143637"/>
    <w:rsid w:val="0014523F"/>
    <w:rsid w:val="0014776D"/>
    <w:rsid w:val="00152F1B"/>
    <w:rsid w:val="0015555D"/>
    <w:rsid w:val="0015743F"/>
    <w:rsid w:val="0016018A"/>
    <w:rsid w:val="00163134"/>
    <w:rsid w:val="00163BF3"/>
    <w:rsid w:val="00164573"/>
    <w:rsid w:val="00165FB6"/>
    <w:rsid w:val="00167C75"/>
    <w:rsid w:val="0017193B"/>
    <w:rsid w:val="00176993"/>
    <w:rsid w:val="00184A14"/>
    <w:rsid w:val="00184FBB"/>
    <w:rsid w:val="00185732"/>
    <w:rsid w:val="001866DC"/>
    <w:rsid w:val="00191542"/>
    <w:rsid w:val="001971B7"/>
    <w:rsid w:val="001A1719"/>
    <w:rsid w:val="001A18F6"/>
    <w:rsid w:val="001A36D0"/>
    <w:rsid w:val="001A3D41"/>
    <w:rsid w:val="001A6960"/>
    <w:rsid w:val="001A75CE"/>
    <w:rsid w:val="001A783B"/>
    <w:rsid w:val="001B115E"/>
    <w:rsid w:val="001B186F"/>
    <w:rsid w:val="001B1D6E"/>
    <w:rsid w:val="001B51EF"/>
    <w:rsid w:val="001B5339"/>
    <w:rsid w:val="001B7871"/>
    <w:rsid w:val="001C1FF9"/>
    <w:rsid w:val="001C2316"/>
    <w:rsid w:val="001C315E"/>
    <w:rsid w:val="001C3A12"/>
    <w:rsid w:val="001D0B7C"/>
    <w:rsid w:val="001D0E24"/>
    <w:rsid w:val="001D12E8"/>
    <w:rsid w:val="001D1AFB"/>
    <w:rsid w:val="001D408C"/>
    <w:rsid w:val="001D44CD"/>
    <w:rsid w:val="001E078C"/>
    <w:rsid w:val="001E1C39"/>
    <w:rsid w:val="001E1F54"/>
    <w:rsid w:val="001E2588"/>
    <w:rsid w:val="001E5056"/>
    <w:rsid w:val="001E6A1E"/>
    <w:rsid w:val="001E7E39"/>
    <w:rsid w:val="001F0A66"/>
    <w:rsid w:val="001F1F59"/>
    <w:rsid w:val="001F2183"/>
    <w:rsid w:val="001F3253"/>
    <w:rsid w:val="001F42CB"/>
    <w:rsid w:val="001F4664"/>
    <w:rsid w:val="001F73C1"/>
    <w:rsid w:val="001F7745"/>
    <w:rsid w:val="001F7FC2"/>
    <w:rsid w:val="00202CC2"/>
    <w:rsid w:val="00203001"/>
    <w:rsid w:val="002035ED"/>
    <w:rsid w:val="0020367B"/>
    <w:rsid w:val="00203C01"/>
    <w:rsid w:val="00203F1B"/>
    <w:rsid w:val="00205D7B"/>
    <w:rsid w:val="00210FE7"/>
    <w:rsid w:val="00215AE9"/>
    <w:rsid w:val="00220809"/>
    <w:rsid w:val="00220CFB"/>
    <w:rsid w:val="00222BD0"/>
    <w:rsid w:val="00224FD4"/>
    <w:rsid w:val="002270A1"/>
    <w:rsid w:val="0023009E"/>
    <w:rsid w:val="00230E56"/>
    <w:rsid w:val="0023375E"/>
    <w:rsid w:val="002369B1"/>
    <w:rsid w:val="002370BE"/>
    <w:rsid w:val="0023727C"/>
    <w:rsid w:val="00243BC6"/>
    <w:rsid w:val="00246852"/>
    <w:rsid w:val="00246B0B"/>
    <w:rsid w:val="00251419"/>
    <w:rsid w:val="00252210"/>
    <w:rsid w:val="00253EBA"/>
    <w:rsid w:val="0025459A"/>
    <w:rsid w:val="00255704"/>
    <w:rsid w:val="00260B2B"/>
    <w:rsid w:val="00260B94"/>
    <w:rsid w:val="00260C09"/>
    <w:rsid w:val="00260E56"/>
    <w:rsid w:val="002620BB"/>
    <w:rsid w:val="00262893"/>
    <w:rsid w:val="00262C85"/>
    <w:rsid w:val="002630C1"/>
    <w:rsid w:val="0026611F"/>
    <w:rsid w:val="00266ABF"/>
    <w:rsid w:val="002702F1"/>
    <w:rsid w:val="0027062B"/>
    <w:rsid w:val="00275251"/>
    <w:rsid w:val="00276798"/>
    <w:rsid w:val="00276C81"/>
    <w:rsid w:val="00280508"/>
    <w:rsid w:val="00280C90"/>
    <w:rsid w:val="00281F23"/>
    <w:rsid w:val="00281F42"/>
    <w:rsid w:val="0028663C"/>
    <w:rsid w:val="00290792"/>
    <w:rsid w:val="0029098C"/>
    <w:rsid w:val="00295613"/>
    <w:rsid w:val="00297206"/>
    <w:rsid w:val="002A214D"/>
    <w:rsid w:val="002A2D54"/>
    <w:rsid w:val="002A3D3E"/>
    <w:rsid w:val="002A4B73"/>
    <w:rsid w:val="002A5783"/>
    <w:rsid w:val="002A579C"/>
    <w:rsid w:val="002A5F3F"/>
    <w:rsid w:val="002A62F0"/>
    <w:rsid w:val="002A6A2A"/>
    <w:rsid w:val="002B0CDA"/>
    <w:rsid w:val="002B2394"/>
    <w:rsid w:val="002B5563"/>
    <w:rsid w:val="002B76A9"/>
    <w:rsid w:val="002C1807"/>
    <w:rsid w:val="002C7145"/>
    <w:rsid w:val="002C7446"/>
    <w:rsid w:val="002D123D"/>
    <w:rsid w:val="002D129E"/>
    <w:rsid w:val="002D3259"/>
    <w:rsid w:val="002D4E9A"/>
    <w:rsid w:val="002E2B9A"/>
    <w:rsid w:val="002E54AD"/>
    <w:rsid w:val="002E6C29"/>
    <w:rsid w:val="002E747A"/>
    <w:rsid w:val="00303093"/>
    <w:rsid w:val="00303F25"/>
    <w:rsid w:val="00304875"/>
    <w:rsid w:val="00305900"/>
    <w:rsid w:val="00306CF4"/>
    <w:rsid w:val="00306F38"/>
    <w:rsid w:val="00310408"/>
    <w:rsid w:val="00310FD7"/>
    <w:rsid w:val="00311072"/>
    <w:rsid w:val="003123C2"/>
    <w:rsid w:val="003124F8"/>
    <w:rsid w:val="0031260C"/>
    <w:rsid w:val="00312792"/>
    <w:rsid w:val="00313674"/>
    <w:rsid w:val="00316F8C"/>
    <w:rsid w:val="003172B4"/>
    <w:rsid w:val="00317342"/>
    <w:rsid w:val="003207DD"/>
    <w:rsid w:val="0032257D"/>
    <w:rsid w:val="003236E7"/>
    <w:rsid w:val="00324DEE"/>
    <w:rsid w:val="00325D85"/>
    <w:rsid w:val="00330661"/>
    <w:rsid w:val="003335D3"/>
    <w:rsid w:val="003344E8"/>
    <w:rsid w:val="00335A34"/>
    <w:rsid w:val="0033715F"/>
    <w:rsid w:val="0034057E"/>
    <w:rsid w:val="00343E43"/>
    <w:rsid w:val="003446E5"/>
    <w:rsid w:val="00346F44"/>
    <w:rsid w:val="00347A3C"/>
    <w:rsid w:val="003517B2"/>
    <w:rsid w:val="003525C5"/>
    <w:rsid w:val="00352C2D"/>
    <w:rsid w:val="003558BD"/>
    <w:rsid w:val="00360BD5"/>
    <w:rsid w:val="00365F2B"/>
    <w:rsid w:val="00366E7C"/>
    <w:rsid w:val="0037151F"/>
    <w:rsid w:val="0037305C"/>
    <w:rsid w:val="00373814"/>
    <w:rsid w:val="003842BC"/>
    <w:rsid w:val="0038789D"/>
    <w:rsid w:val="00390DD4"/>
    <w:rsid w:val="003917AD"/>
    <w:rsid w:val="00394647"/>
    <w:rsid w:val="00395548"/>
    <w:rsid w:val="003A002A"/>
    <w:rsid w:val="003A1615"/>
    <w:rsid w:val="003A1BD5"/>
    <w:rsid w:val="003A1BF9"/>
    <w:rsid w:val="003A30E3"/>
    <w:rsid w:val="003A391A"/>
    <w:rsid w:val="003A569B"/>
    <w:rsid w:val="003A574D"/>
    <w:rsid w:val="003A5ED0"/>
    <w:rsid w:val="003A6555"/>
    <w:rsid w:val="003B1881"/>
    <w:rsid w:val="003B5A34"/>
    <w:rsid w:val="003C2656"/>
    <w:rsid w:val="003C3064"/>
    <w:rsid w:val="003C30E4"/>
    <w:rsid w:val="003C46A0"/>
    <w:rsid w:val="003C50C8"/>
    <w:rsid w:val="003C655B"/>
    <w:rsid w:val="003D3748"/>
    <w:rsid w:val="003D4E9E"/>
    <w:rsid w:val="003D546C"/>
    <w:rsid w:val="003D60F7"/>
    <w:rsid w:val="003D730D"/>
    <w:rsid w:val="003E08D0"/>
    <w:rsid w:val="003E0D9D"/>
    <w:rsid w:val="003E3089"/>
    <w:rsid w:val="003E30FD"/>
    <w:rsid w:val="003E3741"/>
    <w:rsid w:val="003E3B84"/>
    <w:rsid w:val="003E5247"/>
    <w:rsid w:val="003E6146"/>
    <w:rsid w:val="003E687C"/>
    <w:rsid w:val="003F0C9A"/>
    <w:rsid w:val="003F1D9B"/>
    <w:rsid w:val="003F2F3C"/>
    <w:rsid w:val="003F30F2"/>
    <w:rsid w:val="003F48BB"/>
    <w:rsid w:val="003F756C"/>
    <w:rsid w:val="0040210F"/>
    <w:rsid w:val="0040316D"/>
    <w:rsid w:val="00403C44"/>
    <w:rsid w:val="00406F55"/>
    <w:rsid w:val="004101D8"/>
    <w:rsid w:val="00412651"/>
    <w:rsid w:val="00412D01"/>
    <w:rsid w:val="00413BA4"/>
    <w:rsid w:val="004152D8"/>
    <w:rsid w:val="004166BF"/>
    <w:rsid w:val="00416F76"/>
    <w:rsid w:val="0042518E"/>
    <w:rsid w:val="004254D8"/>
    <w:rsid w:val="00425E55"/>
    <w:rsid w:val="0042682E"/>
    <w:rsid w:val="0043114A"/>
    <w:rsid w:val="00435308"/>
    <w:rsid w:val="00435BEB"/>
    <w:rsid w:val="0043619E"/>
    <w:rsid w:val="004371B7"/>
    <w:rsid w:val="004376E3"/>
    <w:rsid w:val="004407E2"/>
    <w:rsid w:val="0044193F"/>
    <w:rsid w:val="00441D38"/>
    <w:rsid w:val="00445595"/>
    <w:rsid w:val="00446210"/>
    <w:rsid w:val="00447F1E"/>
    <w:rsid w:val="00454BB2"/>
    <w:rsid w:val="0045579F"/>
    <w:rsid w:val="004561B7"/>
    <w:rsid w:val="00460B48"/>
    <w:rsid w:val="00461252"/>
    <w:rsid w:val="00461684"/>
    <w:rsid w:val="0046286D"/>
    <w:rsid w:val="00462FAA"/>
    <w:rsid w:val="00464D1B"/>
    <w:rsid w:val="00465734"/>
    <w:rsid w:val="00467591"/>
    <w:rsid w:val="0047117A"/>
    <w:rsid w:val="0047151F"/>
    <w:rsid w:val="00472AE5"/>
    <w:rsid w:val="00473974"/>
    <w:rsid w:val="004759DC"/>
    <w:rsid w:val="00475F56"/>
    <w:rsid w:val="004772E3"/>
    <w:rsid w:val="0047796F"/>
    <w:rsid w:val="00477AF2"/>
    <w:rsid w:val="0048108D"/>
    <w:rsid w:val="004835A6"/>
    <w:rsid w:val="00483CF8"/>
    <w:rsid w:val="00486E86"/>
    <w:rsid w:val="0049216E"/>
    <w:rsid w:val="004934DC"/>
    <w:rsid w:val="00493B01"/>
    <w:rsid w:val="00493ED4"/>
    <w:rsid w:val="00494C5D"/>
    <w:rsid w:val="0049585A"/>
    <w:rsid w:val="0049669B"/>
    <w:rsid w:val="004A1AF7"/>
    <w:rsid w:val="004A2AF7"/>
    <w:rsid w:val="004A33CB"/>
    <w:rsid w:val="004B10F8"/>
    <w:rsid w:val="004B2E06"/>
    <w:rsid w:val="004B32B6"/>
    <w:rsid w:val="004B5014"/>
    <w:rsid w:val="004B5C57"/>
    <w:rsid w:val="004C0839"/>
    <w:rsid w:val="004C0F9D"/>
    <w:rsid w:val="004C115A"/>
    <w:rsid w:val="004C37B4"/>
    <w:rsid w:val="004C5D51"/>
    <w:rsid w:val="004C777B"/>
    <w:rsid w:val="004D086C"/>
    <w:rsid w:val="004D0960"/>
    <w:rsid w:val="004D11FC"/>
    <w:rsid w:val="004D1D94"/>
    <w:rsid w:val="004D3FAC"/>
    <w:rsid w:val="004D4A23"/>
    <w:rsid w:val="004D4ACB"/>
    <w:rsid w:val="004D4E1D"/>
    <w:rsid w:val="004D4F7D"/>
    <w:rsid w:val="004D5EA9"/>
    <w:rsid w:val="004E45A6"/>
    <w:rsid w:val="004E6C16"/>
    <w:rsid w:val="004F0DD3"/>
    <w:rsid w:val="0050179B"/>
    <w:rsid w:val="00503388"/>
    <w:rsid w:val="005033EA"/>
    <w:rsid w:val="005047F2"/>
    <w:rsid w:val="00505D71"/>
    <w:rsid w:val="00506243"/>
    <w:rsid w:val="005108EB"/>
    <w:rsid w:val="005125D1"/>
    <w:rsid w:val="0051311B"/>
    <w:rsid w:val="00513C51"/>
    <w:rsid w:val="005215CE"/>
    <w:rsid w:val="005222C7"/>
    <w:rsid w:val="00527D84"/>
    <w:rsid w:val="00531341"/>
    <w:rsid w:val="00537BFC"/>
    <w:rsid w:val="0054023F"/>
    <w:rsid w:val="005421A5"/>
    <w:rsid w:val="00542D2A"/>
    <w:rsid w:val="00544441"/>
    <w:rsid w:val="00545BEA"/>
    <w:rsid w:val="00546090"/>
    <w:rsid w:val="00546BCC"/>
    <w:rsid w:val="00546FF2"/>
    <w:rsid w:val="00547F43"/>
    <w:rsid w:val="00553E4E"/>
    <w:rsid w:val="00553EE7"/>
    <w:rsid w:val="00555040"/>
    <w:rsid w:val="005557AA"/>
    <w:rsid w:val="00556165"/>
    <w:rsid w:val="005566E5"/>
    <w:rsid w:val="00557303"/>
    <w:rsid w:val="00557C0D"/>
    <w:rsid w:val="005615F7"/>
    <w:rsid w:val="00565A01"/>
    <w:rsid w:val="00565D62"/>
    <w:rsid w:val="00571383"/>
    <w:rsid w:val="00571CBA"/>
    <w:rsid w:val="0057233F"/>
    <w:rsid w:val="005778ED"/>
    <w:rsid w:val="00582715"/>
    <w:rsid w:val="00582B9C"/>
    <w:rsid w:val="00583CCA"/>
    <w:rsid w:val="00585A03"/>
    <w:rsid w:val="005867BE"/>
    <w:rsid w:val="005871F3"/>
    <w:rsid w:val="005923CB"/>
    <w:rsid w:val="005933C1"/>
    <w:rsid w:val="00593DD2"/>
    <w:rsid w:val="00595163"/>
    <w:rsid w:val="00595485"/>
    <w:rsid w:val="00595801"/>
    <w:rsid w:val="00596E21"/>
    <w:rsid w:val="005A050E"/>
    <w:rsid w:val="005A2A91"/>
    <w:rsid w:val="005A4463"/>
    <w:rsid w:val="005A6B89"/>
    <w:rsid w:val="005A7A92"/>
    <w:rsid w:val="005B1071"/>
    <w:rsid w:val="005B6501"/>
    <w:rsid w:val="005B68E5"/>
    <w:rsid w:val="005B7022"/>
    <w:rsid w:val="005C036E"/>
    <w:rsid w:val="005C375E"/>
    <w:rsid w:val="005C4F02"/>
    <w:rsid w:val="005C7021"/>
    <w:rsid w:val="005D1DEB"/>
    <w:rsid w:val="005D6131"/>
    <w:rsid w:val="005D7F30"/>
    <w:rsid w:val="005E0845"/>
    <w:rsid w:val="005E13E6"/>
    <w:rsid w:val="005E2F0E"/>
    <w:rsid w:val="005E4BB5"/>
    <w:rsid w:val="005F1FFD"/>
    <w:rsid w:val="005F7958"/>
    <w:rsid w:val="006028CB"/>
    <w:rsid w:val="00605A39"/>
    <w:rsid w:val="00605DAE"/>
    <w:rsid w:val="006064D8"/>
    <w:rsid w:val="006071A6"/>
    <w:rsid w:val="00611B73"/>
    <w:rsid w:val="00612476"/>
    <w:rsid w:val="00617BE9"/>
    <w:rsid w:val="00621CA1"/>
    <w:rsid w:val="006232EE"/>
    <w:rsid w:val="006243D3"/>
    <w:rsid w:val="006266CC"/>
    <w:rsid w:val="00632405"/>
    <w:rsid w:val="00633340"/>
    <w:rsid w:val="0064054F"/>
    <w:rsid w:val="00643DF4"/>
    <w:rsid w:val="006457B7"/>
    <w:rsid w:val="00646C9B"/>
    <w:rsid w:val="00651AAB"/>
    <w:rsid w:val="006529D0"/>
    <w:rsid w:val="006534AB"/>
    <w:rsid w:val="006536A5"/>
    <w:rsid w:val="00654D39"/>
    <w:rsid w:val="00661BFE"/>
    <w:rsid w:val="00663440"/>
    <w:rsid w:val="00663B2D"/>
    <w:rsid w:val="006640E6"/>
    <w:rsid w:val="00665E3B"/>
    <w:rsid w:val="00665E99"/>
    <w:rsid w:val="006675D0"/>
    <w:rsid w:val="006678DC"/>
    <w:rsid w:val="0067153D"/>
    <w:rsid w:val="0067268A"/>
    <w:rsid w:val="00674A1F"/>
    <w:rsid w:val="00674E2E"/>
    <w:rsid w:val="0067657C"/>
    <w:rsid w:val="00677F15"/>
    <w:rsid w:val="006805A6"/>
    <w:rsid w:val="00682512"/>
    <w:rsid w:val="0068270B"/>
    <w:rsid w:val="00683511"/>
    <w:rsid w:val="00687E5F"/>
    <w:rsid w:val="00690A4D"/>
    <w:rsid w:val="0069230B"/>
    <w:rsid w:val="00693138"/>
    <w:rsid w:val="0069605E"/>
    <w:rsid w:val="00696C34"/>
    <w:rsid w:val="006975F4"/>
    <w:rsid w:val="0069786A"/>
    <w:rsid w:val="006A0218"/>
    <w:rsid w:val="006A059B"/>
    <w:rsid w:val="006A2B41"/>
    <w:rsid w:val="006A375D"/>
    <w:rsid w:val="006A4246"/>
    <w:rsid w:val="006A533C"/>
    <w:rsid w:val="006A5D41"/>
    <w:rsid w:val="006A6E9E"/>
    <w:rsid w:val="006A7086"/>
    <w:rsid w:val="006B036F"/>
    <w:rsid w:val="006B0D09"/>
    <w:rsid w:val="006B0E99"/>
    <w:rsid w:val="006B3A7E"/>
    <w:rsid w:val="006B3B69"/>
    <w:rsid w:val="006B6E11"/>
    <w:rsid w:val="006B7C4D"/>
    <w:rsid w:val="006C25E1"/>
    <w:rsid w:val="006C34A7"/>
    <w:rsid w:val="006C3D06"/>
    <w:rsid w:val="006C7293"/>
    <w:rsid w:val="006C75D3"/>
    <w:rsid w:val="006C7B59"/>
    <w:rsid w:val="006D0648"/>
    <w:rsid w:val="006D098E"/>
    <w:rsid w:val="006D0B94"/>
    <w:rsid w:val="006D0E1B"/>
    <w:rsid w:val="006D1932"/>
    <w:rsid w:val="006D1A45"/>
    <w:rsid w:val="006D1D52"/>
    <w:rsid w:val="006D38FA"/>
    <w:rsid w:val="006D3E32"/>
    <w:rsid w:val="006D6C67"/>
    <w:rsid w:val="006D71AE"/>
    <w:rsid w:val="006D768F"/>
    <w:rsid w:val="006E126E"/>
    <w:rsid w:val="006E1BC9"/>
    <w:rsid w:val="006E4FF9"/>
    <w:rsid w:val="006E6039"/>
    <w:rsid w:val="006E7B1C"/>
    <w:rsid w:val="006F074A"/>
    <w:rsid w:val="006F0A60"/>
    <w:rsid w:val="006F18FD"/>
    <w:rsid w:val="006F193E"/>
    <w:rsid w:val="006F351A"/>
    <w:rsid w:val="006F4FE9"/>
    <w:rsid w:val="006F7CFB"/>
    <w:rsid w:val="00700336"/>
    <w:rsid w:val="0070260C"/>
    <w:rsid w:val="00706457"/>
    <w:rsid w:val="00706EEC"/>
    <w:rsid w:val="007117AA"/>
    <w:rsid w:val="00712B9A"/>
    <w:rsid w:val="00713DF1"/>
    <w:rsid w:val="00724A12"/>
    <w:rsid w:val="0073139A"/>
    <w:rsid w:val="0073299C"/>
    <w:rsid w:val="007346A7"/>
    <w:rsid w:val="007352C4"/>
    <w:rsid w:val="00735595"/>
    <w:rsid w:val="00736C51"/>
    <w:rsid w:val="00740766"/>
    <w:rsid w:val="0074349D"/>
    <w:rsid w:val="00744BA2"/>
    <w:rsid w:val="007459AB"/>
    <w:rsid w:val="00745B0C"/>
    <w:rsid w:val="00745BF5"/>
    <w:rsid w:val="00746FCA"/>
    <w:rsid w:val="00747024"/>
    <w:rsid w:val="007532E7"/>
    <w:rsid w:val="007538E7"/>
    <w:rsid w:val="00753C9F"/>
    <w:rsid w:val="007541D8"/>
    <w:rsid w:val="00755A08"/>
    <w:rsid w:val="00757859"/>
    <w:rsid w:val="00760ABB"/>
    <w:rsid w:val="00760E55"/>
    <w:rsid w:val="00762EC1"/>
    <w:rsid w:val="007632DB"/>
    <w:rsid w:val="007655EB"/>
    <w:rsid w:val="007659D8"/>
    <w:rsid w:val="0076713D"/>
    <w:rsid w:val="007671D8"/>
    <w:rsid w:val="0076731E"/>
    <w:rsid w:val="007678EC"/>
    <w:rsid w:val="007710F2"/>
    <w:rsid w:val="0077219E"/>
    <w:rsid w:val="0077316B"/>
    <w:rsid w:val="00776A89"/>
    <w:rsid w:val="00780E44"/>
    <w:rsid w:val="007851B7"/>
    <w:rsid w:val="007873D5"/>
    <w:rsid w:val="007916BA"/>
    <w:rsid w:val="00792409"/>
    <w:rsid w:val="0079480A"/>
    <w:rsid w:val="00794B28"/>
    <w:rsid w:val="007952F9"/>
    <w:rsid w:val="0079779F"/>
    <w:rsid w:val="007A003B"/>
    <w:rsid w:val="007A1068"/>
    <w:rsid w:val="007A1943"/>
    <w:rsid w:val="007A2782"/>
    <w:rsid w:val="007A4413"/>
    <w:rsid w:val="007B13B5"/>
    <w:rsid w:val="007B2281"/>
    <w:rsid w:val="007B23C7"/>
    <w:rsid w:val="007B32D5"/>
    <w:rsid w:val="007B6A43"/>
    <w:rsid w:val="007B7455"/>
    <w:rsid w:val="007C07DF"/>
    <w:rsid w:val="007C338A"/>
    <w:rsid w:val="007C51BB"/>
    <w:rsid w:val="007C75BD"/>
    <w:rsid w:val="007D0041"/>
    <w:rsid w:val="007D4B3F"/>
    <w:rsid w:val="007D585B"/>
    <w:rsid w:val="007D5ACD"/>
    <w:rsid w:val="007D6AFA"/>
    <w:rsid w:val="007D7AA3"/>
    <w:rsid w:val="007E0044"/>
    <w:rsid w:val="007E0A52"/>
    <w:rsid w:val="007E180A"/>
    <w:rsid w:val="007E1BAF"/>
    <w:rsid w:val="007E26B0"/>
    <w:rsid w:val="007E50E7"/>
    <w:rsid w:val="007E6483"/>
    <w:rsid w:val="007F0DA2"/>
    <w:rsid w:val="007F18C1"/>
    <w:rsid w:val="007F5D18"/>
    <w:rsid w:val="00801D47"/>
    <w:rsid w:val="00803B10"/>
    <w:rsid w:val="00806F23"/>
    <w:rsid w:val="00807787"/>
    <w:rsid w:val="00810E83"/>
    <w:rsid w:val="00810ED1"/>
    <w:rsid w:val="00811324"/>
    <w:rsid w:val="00812D25"/>
    <w:rsid w:val="00815CBC"/>
    <w:rsid w:val="00815F35"/>
    <w:rsid w:val="008233DE"/>
    <w:rsid w:val="008259D8"/>
    <w:rsid w:val="008372BA"/>
    <w:rsid w:val="008423C5"/>
    <w:rsid w:val="008430A7"/>
    <w:rsid w:val="0084481F"/>
    <w:rsid w:val="008449D6"/>
    <w:rsid w:val="00845B6F"/>
    <w:rsid w:val="0084624D"/>
    <w:rsid w:val="008470E9"/>
    <w:rsid w:val="008519E9"/>
    <w:rsid w:val="00853ADA"/>
    <w:rsid w:val="00856538"/>
    <w:rsid w:val="00856FCB"/>
    <w:rsid w:val="00857014"/>
    <w:rsid w:val="00863645"/>
    <w:rsid w:val="00870207"/>
    <w:rsid w:val="00871CE9"/>
    <w:rsid w:val="008729F9"/>
    <w:rsid w:val="008741C5"/>
    <w:rsid w:val="0087509C"/>
    <w:rsid w:val="00876C81"/>
    <w:rsid w:val="00880F3D"/>
    <w:rsid w:val="00881636"/>
    <w:rsid w:val="008851CB"/>
    <w:rsid w:val="00891242"/>
    <w:rsid w:val="00893E9F"/>
    <w:rsid w:val="00894DF1"/>
    <w:rsid w:val="00897A2E"/>
    <w:rsid w:val="008A0665"/>
    <w:rsid w:val="008A58B3"/>
    <w:rsid w:val="008A5993"/>
    <w:rsid w:val="008A799F"/>
    <w:rsid w:val="008B0BC2"/>
    <w:rsid w:val="008B2CCE"/>
    <w:rsid w:val="008B3958"/>
    <w:rsid w:val="008B7143"/>
    <w:rsid w:val="008B72C7"/>
    <w:rsid w:val="008B7E9A"/>
    <w:rsid w:val="008C08EF"/>
    <w:rsid w:val="008C2AC3"/>
    <w:rsid w:val="008C4E8A"/>
    <w:rsid w:val="008C53BD"/>
    <w:rsid w:val="008C5A18"/>
    <w:rsid w:val="008D32B4"/>
    <w:rsid w:val="008D6020"/>
    <w:rsid w:val="008E2F0A"/>
    <w:rsid w:val="008E77F9"/>
    <w:rsid w:val="008F06BE"/>
    <w:rsid w:val="008F082B"/>
    <w:rsid w:val="008F2436"/>
    <w:rsid w:val="008F33FF"/>
    <w:rsid w:val="008F3DB4"/>
    <w:rsid w:val="009005F6"/>
    <w:rsid w:val="00901779"/>
    <w:rsid w:val="00902AE8"/>
    <w:rsid w:val="009030C1"/>
    <w:rsid w:val="00905150"/>
    <w:rsid w:val="00916518"/>
    <w:rsid w:val="00916A5A"/>
    <w:rsid w:val="009177FE"/>
    <w:rsid w:val="00920CB7"/>
    <w:rsid w:val="009230DA"/>
    <w:rsid w:val="009231E3"/>
    <w:rsid w:val="0092376A"/>
    <w:rsid w:val="00923ED6"/>
    <w:rsid w:val="00926783"/>
    <w:rsid w:val="009314B1"/>
    <w:rsid w:val="009317A1"/>
    <w:rsid w:val="009325FC"/>
    <w:rsid w:val="00935152"/>
    <w:rsid w:val="0093552E"/>
    <w:rsid w:val="00936AED"/>
    <w:rsid w:val="009424AF"/>
    <w:rsid w:val="00943BBB"/>
    <w:rsid w:val="00944359"/>
    <w:rsid w:val="00946C85"/>
    <w:rsid w:val="00947672"/>
    <w:rsid w:val="009476E3"/>
    <w:rsid w:val="00951CB9"/>
    <w:rsid w:val="009557BD"/>
    <w:rsid w:val="00955921"/>
    <w:rsid w:val="0096012C"/>
    <w:rsid w:val="00962BBA"/>
    <w:rsid w:val="009655E8"/>
    <w:rsid w:val="0097000D"/>
    <w:rsid w:val="00971963"/>
    <w:rsid w:val="00972BF5"/>
    <w:rsid w:val="00974E78"/>
    <w:rsid w:val="009807A5"/>
    <w:rsid w:val="0098664F"/>
    <w:rsid w:val="0098697D"/>
    <w:rsid w:val="009870EA"/>
    <w:rsid w:val="00994910"/>
    <w:rsid w:val="00994F91"/>
    <w:rsid w:val="00997D13"/>
    <w:rsid w:val="009A3394"/>
    <w:rsid w:val="009A4B00"/>
    <w:rsid w:val="009A6331"/>
    <w:rsid w:val="009A77E8"/>
    <w:rsid w:val="009B122A"/>
    <w:rsid w:val="009B1A77"/>
    <w:rsid w:val="009B2544"/>
    <w:rsid w:val="009B2EBC"/>
    <w:rsid w:val="009B6900"/>
    <w:rsid w:val="009B6EAF"/>
    <w:rsid w:val="009B7169"/>
    <w:rsid w:val="009C0A26"/>
    <w:rsid w:val="009C570B"/>
    <w:rsid w:val="009C5F84"/>
    <w:rsid w:val="009C6D4B"/>
    <w:rsid w:val="009D1E26"/>
    <w:rsid w:val="009D325A"/>
    <w:rsid w:val="009D37B7"/>
    <w:rsid w:val="009D415E"/>
    <w:rsid w:val="009D6A8F"/>
    <w:rsid w:val="009D7799"/>
    <w:rsid w:val="009E1BCB"/>
    <w:rsid w:val="009E2CF0"/>
    <w:rsid w:val="009E3221"/>
    <w:rsid w:val="009E3DA0"/>
    <w:rsid w:val="009E58B1"/>
    <w:rsid w:val="009E7E71"/>
    <w:rsid w:val="009F0882"/>
    <w:rsid w:val="009F0CB6"/>
    <w:rsid w:val="009F13B3"/>
    <w:rsid w:val="009F1D09"/>
    <w:rsid w:val="009F37EC"/>
    <w:rsid w:val="009F60CC"/>
    <w:rsid w:val="009F6E98"/>
    <w:rsid w:val="009F7A77"/>
    <w:rsid w:val="00A01056"/>
    <w:rsid w:val="00A0151D"/>
    <w:rsid w:val="00A01943"/>
    <w:rsid w:val="00A01F00"/>
    <w:rsid w:val="00A021FF"/>
    <w:rsid w:val="00A04206"/>
    <w:rsid w:val="00A04842"/>
    <w:rsid w:val="00A107BB"/>
    <w:rsid w:val="00A10F40"/>
    <w:rsid w:val="00A14D3F"/>
    <w:rsid w:val="00A15A73"/>
    <w:rsid w:val="00A171D9"/>
    <w:rsid w:val="00A175BA"/>
    <w:rsid w:val="00A21202"/>
    <w:rsid w:val="00A23D85"/>
    <w:rsid w:val="00A270B9"/>
    <w:rsid w:val="00A308EA"/>
    <w:rsid w:val="00A30EA4"/>
    <w:rsid w:val="00A30FF4"/>
    <w:rsid w:val="00A3168A"/>
    <w:rsid w:val="00A31DE7"/>
    <w:rsid w:val="00A35732"/>
    <w:rsid w:val="00A40842"/>
    <w:rsid w:val="00A4115F"/>
    <w:rsid w:val="00A41807"/>
    <w:rsid w:val="00A446C0"/>
    <w:rsid w:val="00A50D3F"/>
    <w:rsid w:val="00A52DA7"/>
    <w:rsid w:val="00A54526"/>
    <w:rsid w:val="00A56AEC"/>
    <w:rsid w:val="00A647EB"/>
    <w:rsid w:val="00A64FFE"/>
    <w:rsid w:val="00A704D2"/>
    <w:rsid w:val="00A71269"/>
    <w:rsid w:val="00A71397"/>
    <w:rsid w:val="00A7321D"/>
    <w:rsid w:val="00A76FBE"/>
    <w:rsid w:val="00A77A89"/>
    <w:rsid w:val="00A832A5"/>
    <w:rsid w:val="00A83A0A"/>
    <w:rsid w:val="00A8451D"/>
    <w:rsid w:val="00A84F47"/>
    <w:rsid w:val="00A9299E"/>
    <w:rsid w:val="00A936B9"/>
    <w:rsid w:val="00A953D5"/>
    <w:rsid w:val="00A95A20"/>
    <w:rsid w:val="00A96D01"/>
    <w:rsid w:val="00A96E26"/>
    <w:rsid w:val="00AA43E7"/>
    <w:rsid w:val="00AB031A"/>
    <w:rsid w:val="00AB49CD"/>
    <w:rsid w:val="00AC0C28"/>
    <w:rsid w:val="00AC0ECF"/>
    <w:rsid w:val="00AC43DA"/>
    <w:rsid w:val="00AC512D"/>
    <w:rsid w:val="00AC65FC"/>
    <w:rsid w:val="00AD22CC"/>
    <w:rsid w:val="00AD2852"/>
    <w:rsid w:val="00AD381F"/>
    <w:rsid w:val="00AD65B3"/>
    <w:rsid w:val="00AD6D49"/>
    <w:rsid w:val="00AE0537"/>
    <w:rsid w:val="00AE05FF"/>
    <w:rsid w:val="00AE19BC"/>
    <w:rsid w:val="00AE200E"/>
    <w:rsid w:val="00AE3578"/>
    <w:rsid w:val="00AF6870"/>
    <w:rsid w:val="00AF6989"/>
    <w:rsid w:val="00AF7252"/>
    <w:rsid w:val="00B076FD"/>
    <w:rsid w:val="00B07A75"/>
    <w:rsid w:val="00B07F51"/>
    <w:rsid w:val="00B111C4"/>
    <w:rsid w:val="00B11D26"/>
    <w:rsid w:val="00B13C8A"/>
    <w:rsid w:val="00B160C7"/>
    <w:rsid w:val="00B16646"/>
    <w:rsid w:val="00B17C27"/>
    <w:rsid w:val="00B203F7"/>
    <w:rsid w:val="00B21219"/>
    <w:rsid w:val="00B217E7"/>
    <w:rsid w:val="00B21B60"/>
    <w:rsid w:val="00B2233B"/>
    <w:rsid w:val="00B23F02"/>
    <w:rsid w:val="00B23FDE"/>
    <w:rsid w:val="00B24725"/>
    <w:rsid w:val="00B26925"/>
    <w:rsid w:val="00B26C17"/>
    <w:rsid w:val="00B300F1"/>
    <w:rsid w:val="00B30DC0"/>
    <w:rsid w:val="00B314C6"/>
    <w:rsid w:val="00B32FD4"/>
    <w:rsid w:val="00B353A4"/>
    <w:rsid w:val="00B370DC"/>
    <w:rsid w:val="00B401A9"/>
    <w:rsid w:val="00B4137A"/>
    <w:rsid w:val="00B424D1"/>
    <w:rsid w:val="00B47731"/>
    <w:rsid w:val="00B50A92"/>
    <w:rsid w:val="00B51D2A"/>
    <w:rsid w:val="00B53B8A"/>
    <w:rsid w:val="00B55E12"/>
    <w:rsid w:val="00B57B91"/>
    <w:rsid w:val="00B57E25"/>
    <w:rsid w:val="00B61969"/>
    <w:rsid w:val="00B65E15"/>
    <w:rsid w:val="00B67F22"/>
    <w:rsid w:val="00B70D8B"/>
    <w:rsid w:val="00B71F29"/>
    <w:rsid w:val="00B72D39"/>
    <w:rsid w:val="00B749BC"/>
    <w:rsid w:val="00B7536B"/>
    <w:rsid w:val="00B7612A"/>
    <w:rsid w:val="00B811B3"/>
    <w:rsid w:val="00B812EE"/>
    <w:rsid w:val="00B863E6"/>
    <w:rsid w:val="00B872BC"/>
    <w:rsid w:val="00B87BEF"/>
    <w:rsid w:val="00B906C8"/>
    <w:rsid w:val="00B91ED6"/>
    <w:rsid w:val="00B92934"/>
    <w:rsid w:val="00B9376A"/>
    <w:rsid w:val="00B94875"/>
    <w:rsid w:val="00B9501C"/>
    <w:rsid w:val="00B950D7"/>
    <w:rsid w:val="00B95333"/>
    <w:rsid w:val="00B95924"/>
    <w:rsid w:val="00B97721"/>
    <w:rsid w:val="00B977DD"/>
    <w:rsid w:val="00BA002B"/>
    <w:rsid w:val="00BA0795"/>
    <w:rsid w:val="00BA2F68"/>
    <w:rsid w:val="00BA4835"/>
    <w:rsid w:val="00BA65E2"/>
    <w:rsid w:val="00BA7EAC"/>
    <w:rsid w:val="00BB6E95"/>
    <w:rsid w:val="00BB6F20"/>
    <w:rsid w:val="00BC06F3"/>
    <w:rsid w:val="00BC36E0"/>
    <w:rsid w:val="00BD1698"/>
    <w:rsid w:val="00BD1CA7"/>
    <w:rsid w:val="00BD2F0F"/>
    <w:rsid w:val="00BD34EC"/>
    <w:rsid w:val="00BD4AD7"/>
    <w:rsid w:val="00BD6906"/>
    <w:rsid w:val="00BD70FC"/>
    <w:rsid w:val="00BD79A0"/>
    <w:rsid w:val="00BE0465"/>
    <w:rsid w:val="00BE0DB7"/>
    <w:rsid w:val="00BE22DF"/>
    <w:rsid w:val="00BE3879"/>
    <w:rsid w:val="00BE38A4"/>
    <w:rsid w:val="00BF2017"/>
    <w:rsid w:val="00C03009"/>
    <w:rsid w:val="00C03F10"/>
    <w:rsid w:val="00C041DF"/>
    <w:rsid w:val="00C05201"/>
    <w:rsid w:val="00C0527A"/>
    <w:rsid w:val="00C0569B"/>
    <w:rsid w:val="00C06FC2"/>
    <w:rsid w:val="00C1009B"/>
    <w:rsid w:val="00C12B0D"/>
    <w:rsid w:val="00C149C2"/>
    <w:rsid w:val="00C15FF4"/>
    <w:rsid w:val="00C168E2"/>
    <w:rsid w:val="00C2052E"/>
    <w:rsid w:val="00C22438"/>
    <w:rsid w:val="00C25FF2"/>
    <w:rsid w:val="00C26945"/>
    <w:rsid w:val="00C3599B"/>
    <w:rsid w:val="00C35F60"/>
    <w:rsid w:val="00C3718F"/>
    <w:rsid w:val="00C4077A"/>
    <w:rsid w:val="00C433EB"/>
    <w:rsid w:val="00C43461"/>
    <w:rsid w:val="00C475B0"/>
    <w:rsid w:val="00C47F1F"/>
    <w:rsid w:val="00C54E69"/>
    <w:rsid w:val="00C5676A"/>
    <w:rsid w:val="00C56BCC"/>
    <w:rsid w:val="00C57BCE"/>
    <w:rsid w:val="00C57DCD"/>
    <w:rsid w:val="00C60290"/>
    <w:rsid w:val="00C62C0B"/>
    <w:rsid w:val="00C6443F"/>
    <w:rsid w:val="00C66377"/>
    <w:rsid w:val="00C66415"/>
    <w:rsid w:val="00C66658"/>
    <w:rsid w:val="00C7340C"/>
    <w:rsid w:val="00C7636C"/>
    <w:rsid w:val="00C76A95"/>
    <w:rsid w:val="00C80769"/>
    <w:rsid w:val="00C82910"/>
    <w:rsid w:val="00C82912"/>
    <w:rsid w:val="00C8727A"/>
    <w:rsid w:val="00C90706"/>
    <w:rsid w:val="00C9202D"/>
    <w:rsid w:val="00C97111"/>
    <w:rsid w:val="00C97824"/>
    <w:rsid w:val="00CA13D1"/>
    <w:rsid w:val="00CA2B32"/>
    <w:rsid w:val="00CA31C7"/>
    <w:rsid w:val="00CA702F"/>
    <w:rsid w:val="00CB493B"/>
    <w:rsid w:val="00CB6D09"/>
    <w:rsid w:val="00CC099F"/>
    <w:rsid w:val="00CC35A9"/>
    <w:rsid w:val="00CD468D"/>
    <w:rsid w:val="00CD4749"/>
    <w:rsid w:val="00CD5541"/>
    <w:rsid w:val="00CD5A6A"/>
    <w:rsid w:val="00CD6E4B"/>
    <w:rsid w:val="00CD7D57"/>
    <w:rsid w:val="00CE101C"/>
    <w:rsid w:val="00CE4783"/>
    <w:rsid w:val="00CE587E"/>
    <w:rsid w:val="00CF13E2"/>
    <w:rsid w:val="00CF2284"/>
    <w:rsid w:val="00CF699B"/>
    <w:rsid w:val="00CF7ABB"/>
    <w:rsid w:val="00CF7C0A"/>
    <w:rsid w:val="00D009DE"/>
    <w:rsid w:val="00D02521"/>
    <w:rsid w:val="00D064A1"/>
    <w:rsid w:val="00D065B8"/>
    <w:rsid w:val="00D06F9E"/>
    <w:rsid w:val="00D07979"/>
    <w:rsid w:val="00D1003F"/>
    <w:rsid w:val="00D10E5A"/>
    <w:rsid w:val="00D13A91"/>
    <w:rsid w:val="00D140A2"/>
    <w:rsid w:val="00D20B34"/>
    <w:rsid w:val="00D211A1"/>
    <w:rsid w:val="00D218D3"/>
    <w:rsid w:val="00D22AF2"/>
    <w:rsid w:val="00D34507"/>
    <w:rsid w:val="00D40538"/>
    <w:rsid w:val="00D42C28"/>
    <w:rsid w:val="00D431DA"/>
    <w:rsid w:val="00D44AF0"/>
    <w:rsid w:val="00D44B1F"/>
    <w:rsid w:val="00D450DF"/>
    <w:rsid w:val="00D51322"/>
    <w:rsid w:val="00D525AD"/>
    <w:rsid w:val="00D53ADC"/>
    <w:rsid w:val="00D61085"/>
    <w:rsid w:val="00D625BD"/>
    <w:rsid w:val="00D640DD"/>
    <w:rsid w:val="00D65A27"/>
    <w:rsid w:val="00D713DC"/>
    <w:rsid w:val="00D71917"/>
    <w:rsid w:val="00D72326"/>
    <w:rsid w:val="00D75A46"/>
    <w:rsid w:val="00D8153A"/>
    <w:rsid w:val="00D842DC"/>
    <w:rsid w:val="00D8495E"/>
    <w:rsid w:val="00D85936"/>
    <w:rsid w:val="00D8749D"/>
    <w:rsid w:val="00D9271A"/>
    <w:rsid w:val="00D9507A"/>
    <w:rsid w:val="00DA2DEA"/>
    <w:rsid w:val="00DA695D"/>
    <w:rsid w:val="00DB1824"/>
    <w:rsid w:val="00DB2CFC"/>
    <w:rsid w:val="00DB3B87"/>
    <w:rsid w:val="00DB4054"/>
    <w:rsid w:val="00DB471B"/>
    <w:rsid w:val="00DB6290"/>
    <w:rsid w:val="00DB7A4D"/>
    <w:rsid w:val="00DC012F"/>
    <w:rsid w:val="00DC15DF"/>
    <w:rsid w:val="00DC5E4D"/>
    <w:rsid w:val="00DD0FB2"/>
    <w:rsid w:val="00DD435B"/>
    <w:rsid w:val="00DD47E3"/>
    <w:rsid w:val="00DD7EDC"/>
    <w:rsid w:val="00DE6589"/>
    <w:rsid w:val="00DF427A"/>
    <w:rsid w:val="00DF45D0"/>
    <w:rsid w:val="00DF57FD"/>
    <w:rsid w:val="00DF5877"/>
    <w:rsid w:val="00DF789C"/>
    <w:rsid w:val="00DF7FD2"/>
    <w:rsid w:val="00E0393E"/>
    <w:rsid w:val="00E05C44"/>
    <w:rsid w:val="00E1345E"/>
    <w:rsid w:val="00E15BA6"/>
    <w:rsid w:val="00E162A4"/>
    <w:rsid w:val="00E1669C"/>
    <w:rsid w:val="00E169AE"/>
    <w:rsid w:val="00E21133"/>
    <w:rsid w:val="00E262A9"/>
    <w:rsid w:val="00E2729D"/>
    <w:rsid w:val="00E3001F"/>
    <w:rsid w:val="00E3269A"/>
    <w:rsid w:val="00E32FD4"/>
    <w:rsid w:val="00E3375E"/>
    <w:rsid w:val="00E36ED9"/>
    <w:rsid w:val="00E37A7D"/>
    <w:rsid w:val="00E37B05"/>
    <w:rsid w:val="00E40C4F"/>
    <w:rsid w:val="00E41E16"/>
    <w:rsid w:val="00E4433F"/>
    <w:rsid w:val="00E45C16"/>
    <w:rsid w:val="00E46882"/>
    <w:rsid w:val="00E477E1"/>
    <w:rsid w:val="00E50130"/>
    <w:rsid w:val="00E540D1"/>
    <w:rsid w:val="00E5495E"/>
    <w:rsid w:val="00E54F18"/>
    <w:rsid w:val="00E603CD"/>
    <w:rsid w:val="00E618FA"/>
    <w:rsid w:val="00E64F89"/>
    <w:rsid w:val="00E66485"/>
    <w:rsid w:val="00E668B2"/>
    <w:rsid w:val="00E704A3"/>
    <w:rsid w:val="00E7093D"/>
    <w:rsid w:val="00E71E06"/>
    <w:rsid w:val="00E729B0"/>
    <w:rsid w:val="00E72F7F"/>
    <w:rsid w:val="00E76587"/>
    <w:rsid w:val="00E77698"/>
    <w:rsid w:val="00E77CAD"/>
    <w:rsid w:val="00E80E31"/>
    <w:rsid w:val="00E81760"/>
    <w:rsid w:val="00E8273C"/>
    <w:rsid w:val="00E83987"/>
    <w:rsid w:val="00E85122"/>
    <w:rsid w:val="00E85B37"/>
    <w:rsid w:val="00E85CD1"/>
    <w:rsid w:val="00E860F9"/>
    <w:rsid w:val="00E86E7E"/>
    <w:rsid w:val="00E92013"/>
    <w:rsid w:val="00E92B5E"/>
    <w:rsid w:val="00E94603"/>
    <w:rsid w:val="00EA0A97"/>
    <w:rsid w:val="00EA2B2D"/>
    <w:rsid w:val="00EA4525"/>
    <w:rsid w:val="00EA46CC"/>
    <w:rsid w:val="00EA5C11"/>
    <w:rsid w:val="00EB0CFB"/>
    <w:rsid w:val="00EB138E"/>
    <w:rsid w:val="00EB19F2"/>
    <w:rsid w:val="00EB26C8"/>
    <w:rsid w:val="00EB31C2"/>
    <w:rsid w:val="00EC21A5"/>
    <w:rsid w:val="00EC2F50"/>
    <w:rsid w:val="00EC5F00"/>
    <w:rsid w:val="00ED0657"/>
    <w:rsid w:val="00ED1331"/>
    <w:rsid w:val="00ED275B"/>
    <w:rsid w:val="00ED2917"/>
    <w:rsid w:val="00ED4ADD"/>
    <w:rsid w:val="00EE1087"/>
    <w:rsid w:val="00EE6E33"/>
    <w:rsid w:val="00EE774B"/>
    <w:rsid w:val="00EF1E60"/>
    <w:rsid w:val="00EF2737"/>
    <w:rsid w:val="00EF2832"/>
    <w:rsid w:val="00EF297A"/>
    <w:rsid w:val="00EF335B"/>
    <w:rsid w:val="00EF6DDF"/>
    <w:rsid w:val="00EF7DCF"/>
    <w:rsid w:val="00F00C8F"/>
    <w:rsid w:val="00F04502"/>
    <w:rsid w:val="00F047E7"/>
    <w:rsid w:val="00F1075C"/>
    <w:rsid w:val="00F11DF6"/>
    <w:rsid w:val="00F124C7"/>
    <w:rsid w:val="00F13789"/>
    <w:rsid w:val="00F143FC"/>
    <w:rsid w:val="00F16AB9"/>
    <w:rsid w:val="00F17432"/>
    <w:rsid w:val="00F205A3"/>
    <w:rsid w:val="00F2368D"/>
    <w:rsid w:val="00F24578"/>
    <w:rsid w:val="00F2495B"/>
    <w:rsid w:val="00F261E6"/>
    <w:rsid w:val="00F274A7"/>
    <w:rsid w:val="00F34CE4"/>
    <w:rsid w:val="00F365AC"/>
    <w:rsid w:val="00F375D2"/>
    <w:rsid w:val="00F415AE"/>
    <w:rsid w:val="00F472FB"/>
    <w:rsid w:val="00F47F01"/>
    <w:rsid w:val="00F500C3"/>
    <w:rsid w:val="00F52A16"/>
    <w:rsid w:val="00F541DB"/>
    <w:rsid w:val="00F5551D"/>
    <w:rsid w:val="00F55D2F"/>
    <w:rsid w:val="00F63722"/>
    <w:rsid w:val="00F64D63"/>
    <w:rsid w:val="00F64ED9"/>
    <w:rsid w:val="00F668F2"/>
    <w:rsid w:val="00F6698E"/>
    <w:rsid w:val="00F71B60"/>
    <w:rsid w:val="00F742CF"/>
    <w:rsid w:val="00F7784C"/>
    <w:rsid w:val="00F839C5"/>
    <w:rsid w:val="00F83C69"/>
    <w:rsid w:val="00F84F16"/>
    <w:rsid w:val="00F854FF"/>
    <w:rsid w:val="00F86ADC"/>
    <w:rsid w:val="00F87B23"/>
    <w:rsid w:val="00F94443"/>
    <w:rsid w:val="00F94FC7"/>
    <w:rsid w:val="00F95C8B"/>
    <w:rsid w:val="00F972E6"/>
    <w:rsid w:val="00FA1325"/>
    <w:rsid w:val="00FA1490"/>
    <w:rsid w:val="00FA3F99"/>
    <w:rsid w:val="00FA64BB"/>
    <w:rsid w:val="00FB3141"/>
    <w:rsid w:val="00FB4758"/>
    <w:rsid w:val="00FB520D"/>
    <w:rsid w:val="00FB67D8"/>
    <w:rsid w:val="00FC053E"/>
    <w:rsid w:val="00FC0E13"/>
    <w:rsid w:val="00FC2CA7"/>
    <w:rsid w:val="00FC4242"/>
    <w:rsid w:val="00FC7222"/>
    <w:rsid w:val="00FD0402"/>
    <w:rsid w:val="00FD168B"/>
    <w:rsid w:val="00FD2813"/>
    <w:rsid w:val="00FD3905"/>
    <w:rsid w:val="00FD49A7"/>
    <w:rsid w:val="00FD5F4A"/>
    <w:rsid w:val="00FD64C7"/>
    <w:rsid w:val="00FD6E58"/>
    <w:rsid w:val="00FE01A6"/>
    <w:rsid w:val="00FE2E42"/>
    <w:rsid w:val="00FE4929"/>
    <w:rsid w:val="00FE5249"/>
    <w:rsid w:val="00FE7CE4"/>
    <w:rsid w:val="00FF065E"/>
    <w:rsid w:val="00FF614A"/>
    <w:rsid w:val="00FF769D"/>
    <w:rsid w:val="00FF7A45"/>
    <w:rsid w:val="2A798E91"/>
    <w:rsid w:val="2F2F1D03"/>
    <w:rsid w:val="3B8D7772"/>
    <w:rsid w:val="7DF53C39"/>
    <w:rsid w:val="FFBB51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39"/>
    <w:pPr>
      <w:widowControl w:val="0"/>
      <w:jc w:val="both"/>
    </w:pPr>
    <w:rPr>
      <w:rFonts w:ascii="Times New Roman" w:hAnsi="Times New Roman" w:eastAsia="宋体" w:cs="Times New Roman"/>
      <w:kern w:val="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4"/>
    <w:qFormat/>
    <w:uiPriority w:val="0"/>
    <w:rPr>
      <w:rFonts w:ascii="Times New Roman" w:hAnsi="Times New Roman" w:eastAsia="宋体" w:cs="Times New Roman"/>
      <w:sz w:val="18"/>
      <w:szCs w:val="18"/>
    </w:rPr>
  </w:style>
  <w:style w:type="character" w:customStyle="1" w:styleId="14">
    <w:name w:val="页眉 字符"/>
    <w:basedOn w:val="10"/>
    <w:link w:val="5"/>
    <w:qFormat/>
    <w:uiPriority w:val="0"/>
    <w:rPr>
      <w:rFonts w:ascii="Times New Roman" w:hAnsi="Times New Roman" w:eastAsia="宋体" w:cs="Times New Roman"/>
      <w:sz w:val="18"/>
      <w:szCs w:val="18"/>
    </w:rPr>
  </w:style>
  <w:style w:type="paragraph" w:customStyle="1" w:styleId="15">
    <w:name w:val="_Style 6"/>
    <w:basedOn w:val="1"/>
    <w:qFormat/>
    <w:uiPriority w:val="34"/>
    <w:pPr>
      <w:ind w:firstLine="420" w:firstLineChars="200"/>
    </w:pPr>
    <w:rPr>
      <w:rFonts w:ascii="Calibri" w:hAnsi="Calibri"/>
      <w:szCs w:val="22"/>
    </w:rPr>
  </w:style>
  <w:style w:type="character" w:customStyle="1" w:styleId="16">
    <w:name w:val="批注文字 字符"/>
    <w:basedOn w:val="10"/>
    <w:link w:val="2"/>
    <w:qFormat/>
    <w:uiPriority w:val="99"/>
    <w:rPr>
      <w:rFonts w:ascii="Times New Roman" w:hAnsi="Times New Roman" w:eastAsia="宋体" w:cs="Times New Roman"/>
      <w:szCs w:val="24"/>
    </w:rPr>
  </w:style>
  <w:style w:type="character" w:customStyle="1" w:styleId="17">
    <w:name w:val="批注主题 字符"/>
    <w:basedOn w:val="16"/>
    <w:link w:val="7"/>
    <w:semiHidden/>
    <w:qFormat/>
    <w:uiPriority w:val="99"/>
    <w:rPr>
      <w:rFonts w:ascii="Times New Roman" w:hAnsi="Times New Roman" w:eastAsia="宋体" w:cs="Times New Roman"/>
      <w:b/>
      <w:bCs/>
      <w:szCs w:val="24"/>
    </w:rPr>
  </w:style>
  <w:style w:type="character" w:customStyle="1" w:styleId="18">
    <w:name w:val="批注框文本 字符"/>
    <w:basedOn w:val="10"/>
    <w:link w:val="3"/>
    <w:semiHidden/>
    <w:qFormat/>
    <w:uiPriority w:val="99"/>
    <w:rPr>
      <w:rFonts w:ascii="Times New Roman" w:hAnsi="Times New Roman" w:eastAsia="宋体" w:cs="Times New Roman"/>
      <w:sz w:val="18"/>
      <w:szCs w:val="18"/>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55"/>
    <w:qFormat/>
    <w:uiPriority w:val="0"/>
    <w:rPr>
      <w:rFonts w:ascii="宋体" w:hAnsi="宋体" w:eastAsia="宋体" w:cs="宋体"/>
      <w:kern w:val="0"/>
      <w:sz w:val="21"/>
      <w:szCs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sz23089\Desktop\&#25237;&#36164;&#32773;&#20851;&#31995;&#27963;&#21160;\&#25237;&#36164;&#32773;&#35843;&#30740;&#20250;&#35758;&#35760;&#24405;-20240920-mjh.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sz23089\Desktop\&#25237;&#36164;&#32773;&#20851;&#31995;&#27963;&#21160;\&#25237;&#36164;&#32773;&#35843;&#30740;&#20250;&#35758;&#35760;&#24405;-20240920-mj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Times New Roman" panose="02020603050405020304" charset="0"/>
                <a:ea typeface="宋体" charset="-122"/>
                <a:cs typeface="Times New Roman" panose="02020603050405020304" charset="0"/>
              </a:defRPr>
            </a:pPr>
            <a:r>
              <a:rPr lang="en-US" sz="1100">
                <a:latin typeface="Times New Roman" panose="02020603050405020304" charset="0"/>
                <a:ea typeface="宋体" charset="-122"/>
                <a:cs typeface="Times New Roman" panose="02020603050405020304" charset="0"/>
              </a:rPr>
              <a:t>2022</a:t>
            </a:r>
            <a:r>
              <a:rPr lang="zh-CN" sz="1100">
                <a:latin typeface="Times New Roman" panose="02020603050405020304" charset="0"/>
                <a:ea typeface="宋体" charset="-122"/>
                <a:cs typeface="Times New Roman" panose="02020603050405020304" charset="0"/>
              </a:rPr>
              <a:t>年全球通用电子测试测量仪器分产品市场份额占比</a:t>
            </a:r>
            <a:endParaRPr lang="zh-CN" sz="1100">
              <a:latin typeface="Times New Roman" panose="02020603050405020304" charset="0"/>
              <a:ea typeface="宋体" charset="-122"/>
              <a:cs typeface="Times New Roman" panose="02020603050405020304" charset="0"/>
            </a:endParaRPr>
          </a:p>
        </c:rich>
      </c:tx>
      <c:layout>
        <c:manualLayout>
          <c:xMode val="edge"/>
          <c:yMode val="edge"/>
          <c:x val="0.125"/>
          <c:y val="0.0277777777777778"/>
        </c:manualLayout>
      </c:layout>
      <c:overlay val="0"/>
      <c:spPr>
        <a:noFill/>
        <a:ln>
          <a:noFill/>
        </a:ln>
        <a:effectLst/>
      </c:spPr>
    </c:title>
    <c:autoTitleDeleted val="0"/>
    <c:plotArea>
      <c:layout>
        <c:manualLayout>
          <c:layoutTarget val="inner"/>
          <c:xMode val="edge"/>
          <c:yMode val="edge"/>
          <c:x val="0.262658137882018"/>
          <c:y val="0.151369235779834"/>
          <c:w val="0.473711084621885"/>
          <c:h val="0.810841236086365"/>
        </c:manualLayout>
      </c:layout>
      <c:pieChart>
        <c:varyColors val="1"/>
        <c:ser>
          <c:idx val="0"/>
          <c:order val="0"/>
          <c:spPr/>
          <c:explosion val="0"/>
          <c:dPt>
            <c:idx val="0"/>
            <c:bubble3D val="0"/>
            <c:spPr>
              <a:solidFill>
                <a:schemeClr val="accent5">
                  <a:tint val="54000"/>
                </a:schemeClr>
              </a:solidFill>
              <a:ln w="19050">
                <a:solidFill>
                  <a:schemeClr val="lt1"/>
                </a:solidFill>
              </a:ln>
              <a:effectLst/>
            </c:spPr>
          </c:dPt>
          <c:dPt>
            <c:idx val="1"/>
            <c:bubble3D val="0"/>
            <c:spPr>
              <a:solidFill>
                <a:schemeClr val="accent5">
                  <a:tint val="77000"/>
                </a:schemeClr>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5">
                  <a:shade val="76000"/>
                </a:schemeClr>
              </a:solidFill>
              <a:ln w="19050">
                <a:solidFill>
                  <a:schemeClr val="lt1"/>
                </a:solidFill>
              </a:ln>
              <a:effectLst/>
            </c:spPr>
          </c:dPt>
          <c:dPt>
            <c:idx val="4"/>
            <c:bubble3D val="0"/>
            <c:spPr>
              <a:solidFill>
                <a:schemeClr val="accent5">
                  <a:shade val="53000"/>
                </a:schemeClr>
              </a:solidFill>
              <a:ln w="19050">
                <a:solidFill>
                  <a:schemeClr val="lt1"/>
                </a:solidFill>
              </a:ln>
              <a:effectLst/>
            </c:spPr>
          </c:dPt>
          <c:dLbls>
            <c:dLbl>
              <c:idx val="2"/>
              <c:layout>
                <c:manualLayout>
                  <c:x val="-0.111111111111111"/>
                  <c:y val="-0.097222222222222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72222222222222"/>
                      <c:h val="0.173611111111111"/>
                    </c:manualLayout>
                  </c15:layout>
                </c:ext>
              </c:extLst>
            </c:dLbl>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bg1"/>
                    </a:solidFill>
                    <a:latin typeface="Times New Roman" panose="02020603050405020304" charset="0"/>
                    <a:ea typeface="宋体" charset="-122"/>
                    <a:cs typeface="Times New Roman" panose="02020603050405020304" charset="0"/>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频谱分析仪</c:v>
                </c:pt>
                <c:pt idx="1">
                  <c:v>信号发生器</c:v>
                </c:pt>
                <c:pt idx="2">
                  <c:v>矢量网络分析仪</c:v>
                </c:pt>
                <c:pt idx="3">
                  <c:v>万用表及其他</c:v>
                </c:pt>
                <c:pt idx="4">
                  <c:v>数字示波器</c:v>
                </c:pt>
              </c:strCache>
            </c:strRef>
          </c:cat>
          <c:val>
            <c:numRef>
              <c:f>Sheet1!$B$3:$B$7</c:f>
              <c:numCache>
                <c:formatCode>0.00%</c:formatCode>
                <c:ptCount val="5"/>
                <c:pt idx="0">
                  <c:v>0.2223</c:v>
                </c:pt>
                <c:pt idx="1">
                  <c:v>0.1434</c:v>
                </c:pt>
                <c:pt idx="2">
                  <c:v>0.1242</c:v>
                </c:pt>
                <c:pt idx="3">
                  <c:v>0.2267</c:v>
                </c:pt>
                <c:pt idx="4">
                  <c:v>0.2834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latin typeface="Times New Roman" panose="02020603050405020304" charset="0"/>
          <a:ea typeface="宋体" charset="-122"/>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Times New Roman" panose="02020603050405020304" charset="0"/>
                <a:ea typeface="宋体" charset="-122"/>
                <a:cs typeface="Times New Roman" panose="02020603050405020304" charset="0"/>
              </a:defRPr>
            </a:pPr>
            <a:r>
              <a:rPr lang="en-US" sz="1100">
                <a:latin typeface="Times New Roman" panose="02020603050405020304" charset="0"/>
                <a:ea typeface="宋体" charset="-122"/>
                <a:cs typeface="Times New Roman" panose="02020603050405020304" charset="0"/>
              </a:rPr>
              <a:t>2022</a:t>
            </a:r>
            <a:r>
              <a:rPr lang="zh-CN" sz="1100">
                <a:latin typeface="Times New Roman" panose="02020603050405020304" charset="0"/>
                <a:ea typeface="宋体" charset="-122"/>
                <a:cs typeface="Times New Roman" panose="02020603050405020304" charset="0"/>
              </a:rPr>
              <a:t>年</a:t>
            </a:r>
            <a:r>
              <a:rPr lang="en-US" sz="1100">
                <a:latin typeface="Times New Roman" panose="02020603050405020304" charset="0"/>
                <a:ea typeface="宋体" charset="-122"/>
                <a:cs typeface="Times New Roman" panose="02020603050405020304" charset="0"/>
              </a:rPr>
              <a:t>-2027</a:t>
            </a:r>
            <a:r>
              <a:rPr lang="zh-CN" sz="1100">
                <a:latin typeface="Times New Roman" panose="02020603050405020304" charset="0"/>
                <a:ea typeface="宋体" charset="-122"/>
                <a:cs typeface="Times New Roman" panose="02020603050405020304" charset="0"/>
              </a:rPr>
              <a:t>年全球通用电子测试测量仪器</a:t>
            </a:r>
            <a:endParaRPr lang="en-US" altLang="zh-CN" sz="1100">
              <a:latin typeface="Times New Roman" panose="02020603050405020304" charset="0"/>
              <a:ea typeface="宋体" charset="-122"/>
              <a:cs typeface="Times New Roman" panose="02020603050405020304" charset="0"/>
            </a:endParaRPr>
          </a:p>
          <a:p>
            <a:pPr>
              <a:defRPr lang="zh-CN" sz="1400" b="0" i="0" u="none" strike="noStrike" kern="1200" spc="0" baseline="0">
                <a:solidFill>
                  <a:schemeClr val="tx1">
                    <a:lumMod val="65000"/>
                    <a:lumOff val="35000"/>
                  </a:schemeClr>
                </a:solidFill>
                <a:latin typeface="Times New Roman" panose="02020603050405020304" charset="0"/>
                <a:ea typeface="宋体" charset="-122"/>
                <a:cs typeface="Times New Roman" panose="02020603050405020304" charset="0"/>
              </a:defRPr>
            </a:pPr>
            <a:r>
              <a:rPr lang="zh-CN" sz="1100">
                <a:latin typeface="Times New Roman" panose="02020603050405020304" charset="0"/>
                <a:ea typeface="宋体" charset="-122"/>
                <a:cs typeface="Times New Roman" panose="02020603050405020304" charset="0"/>
              </a:rPr>
              <a:t>四大主力产品复合增速</a:t>
            </a:r>
            <a:endParaRPr lang="zh-CN" sz="1100">
              <a:latin typeface="Times New Roman" panose="02020603050405020304" charset="0"/>
              <a:ea typeface="宋体" charset="-122"/>
              <a:cs typeface="Times New Roman" panose="02020603050405020304" charset="0"/>
            </a:endParaRPr>
          </a:p>
        </c:rich>
      </c:tx>
      <c:layout>
        <c:manualLayout>
          <c:xMode val="edge"/>
          <c:yMode val="edge"/>
          <c:x val="0.196298556430446"/>
          <c:y val="0.0173160173160173"/>
        </c:manualLayout>
      </c:layout>
      <c:overlay val="0"/>
      <c:spPr>
        <a:noFill/>
        <a:ln>
          <a:noFill/>
        </a:ln>
        <a:effectLst/>
      </c:spPr>
    </c:title>
    <c:autoTitleDeleted val="0"/>
    <c:plotArea>
      <c:layout/>
      <c:barChart>
        <c:barDir val="col"/>
        <c:grouping val="clustered"/>
        <c:varyColors val="0"/>
        <c:ser>
          <c:idx val="0"/>
          <c:order val="0"/>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宋体" charset="-122"/>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频谱分析仪</c:v>
                </c:pt>
                <c:pt idx="1">
                  <c:v>矢量网络分析仪</c:v>
                </c:pt>
                <c:pt idx="2">
                  <c:v>信号发生器</c:v>
                </c:pt>
                <c:pt idx="3">
                  <c:v>数字示波器</c:v>
                </c:pt>
              </c:strCache>
            </c:strRef>
          </c:cat>
          <c:val>
            <c:numRef>
              <c:f>Sheet1!$B$18:$B$21</c:f>
              <c:numCache>
                <c:formatCode>0.00%</c:formatCode>
                <c:ptCount val="4"/>
                <c:pt idx="0">
                  <c:v>0.068</c:v>
                </c:pt>
                <c:pt idx="1">
                  <c:v>0.0637</c:v>
                </c:pt>
                <c:pt idx="2">
                  <c:v>0.0589</c:v>
                </c:pt>
                <c:pt idx="3">
                  <c:v>0.0566</c:v>
                </c:pt>
              </c:numCache>
            </c:numRef>
          </c:val>
        </c:ser>
        <c:dLbls>
          <c:showLegendKey val="0"/>
          <c:showVal val="1"/>
          <c:showCatName val="0"/>
          <c:showSerName val="0"/>
          <c:showPercent val="0"/>
          <c:showBubbleSize val="0"/>
        </c:dLbls>
        <c:gapWidth val="219"/>
        <c:overlap val="-27"/>
        <c:axId val="1336506576"/>
        <c:axId val="1336507824"/>
      </c:barChart>
      <c:catAx>
        <c:axId val="133650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charset="-122"/>
                <a:cs typeface="Times New Roman" panose="02020603050405020304" charset="0"/>
              </a:defRPr>
            </a:pPr>
          </a:p>
        </c:txPr>
        <c:crossAx val="1336507824"/>
        <c:crosses val="autoZero"/>
        <c:auto val="1"/>
        <c:lblAlgn val="ctr"/>
        <c:lblOffset val="100"/>
        <c:noMultiLvlLbl val="0"/>
      </c:catAx>
      <c:valAx>
        <c:axId val="1336507824"/>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charset="-122"/>
                <a:cs typeface="Times New Roman" panose="02020603050405020304" charset="0"/>
              </a:defRPr>
            </a:pPr>
          </a:p>
        </c:txPr>
        <c:crossAx val="1336506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latin typeface="Times New Roman" panose="02020603050405020304" charset="0"/>
          <a:ea typeface="宋体" charset="-122"/>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306</Words>
  <Characters>1747</Characters>
  <Lines>14</Lines>
  <Paragraphs>4</Paragraphs>
  <TotalTime>0</TotalTime>
  <ScaleCrop>false</ScaleCrop>
  <LinksUpToDate>false</LinksUpToDate>
  <CharactersWithSpaces>2049</CharactersWithSpaces>
  <Application>WPS Office WWO_wpscloud_20240912200119-2f3a33a672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2024-08-31T10:26:00Z</dcterms:created>
  <dc:creator>ZQ-毛佳红</dc:creator>
  <cp:lastModifiedBy>ZQ-毛佳红</cp:lastModifiedBy>
  <dcterms:modified xsi:type="dcterms:W3CDTF">2024-09-20T18:22:58Z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2052-12.9.0.18238</vt:lpwstr>
  </property>
  <property fmtid="{D5CDD505-2E9C-101B-9397-08002B2CF9AE}" pid="3" name="ICV">
    <vt:lpwstr>C288B8142AB2CE9D024DED66ED4DC13B_43</vt:lpwstr>
  </property>
</Properties>
</file>