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A13" w:rsidRDefault="00401E62">
      <w:pPr>
        <w:spacing w:beforeLines="50" w:before="156" w:afterLines="50" w:after="156" w:line="400" w:lineRule="exact"/>
        <w:ind w:firstLineChars="0" w:firstLine="0"/>
        <w:rPr>
          <w:bCs/>
          <w:iCs/>
          <w:color w:val="000000"/>
          <w:szCs w:val="22"/>
        </w:rPr>
      </w:pPr>
      <w:r>
        <w:rPr>
          <w:bCs/>
          <w:iCs/>
          <w:color w:val="000000"/>
          <w:szCs w:val="22"/>
        </w:rPr>
        <w:t>证券代码：</w:t>
      </w:r>
      <w:r>
        <w:rPr>
          <w:bCs/>
          <w:iCs/>
          <w:color w:val="000000"/>
          <w:szCs w:val="22"/>
        </w:rPr>
        <w:t xml:space="preserve">688273                                     </w:t>
      </w:r>
      <w:r>
        <w:rPr>
          <w:bCs/>
          <w:iCs/>
          <w:color w:val="000000"/>
          <w:szCs w:val="22"/>
        </w:rPr>
        <w:t>证券简称：麦澜德</w:t>
      </w:r>
    </w:p>
    <w:p w:rsidR="00513A13" w:rsidRDefault="00401E62">
      <w:pPr>
        <w:ind w:firstLineChars="0" w:firstLine="0"/>
        <w:jc w:val="center"/>
        <w:rPr>
          <w:b/>
          <w:bCs/>
          <w:iCs/>
          <w:color w:val="000000"/>
        </w:rPr>
      </w:pPr>
      <w:r>
        <w:rPr>
          <w:b/>
          <w:bCs/>
          <w:iCs/>
          <w:color w:val="000000"/>
          <w:sz w:val="28"/>
          <w:szCs w:val="28"/>
        </w:rPr>
        <w:t>南京麦澜德医疗科技股份有限公司投资者关系活动记录表</w:t>
      </w:r>
    </w:p>
    <w:p w:rsidR="00513A13" w:rsidRDefault="00401E62">
      <w:pPr>
        <w:ind w:firstLineChars="0" w:firstLine="0"/>
        <w:jc w:val="center"/>
        <w:rPr>
          <w:b/>
          <w:bCs/>
          <w:iCs/>
          <w:color w:val="000000"/>
        </w:rPr>
      </w:pPr>
      <w:r>
        <w:rPr>
          <w:b/>
          <w:bCs/>
          <w:iCs/>
          <w:color w:val="000000"/>
        </w:rPr>
        <w:t>（</w:t>
      </w:r>
      <w:r>
        <w:rPr>
          <w:b/>
          <w:bCs/>
          <w:iCs/>
          <w:color w:val="000000"/>
        </w:rPr>
        <w:t>2024</w:t>
      </w:r>
      <w:r>
        <w:rPr>
          <w:b/>
          <w:bCs/>
          <w:iCs/>
          <w:color w:val="000000"/>
        </w:rPr>
        <w:t>年</w:t>
      </w:r>
      <w:r>
        <w:rPr>
          <w:b/>
          <w:bCs/>
          <w:iCs/>
          <w:color w:val="000000"/>
        </w:rPr>
        <w:t>9</w:t>
      </w:r>
      <w:r>
        <w:rPr>
          <w:b/>
          <w:bCs/>
          <w:iCs/>
          <w:color w:val="000000"/>
        </w:rPr>
        <w:t>月</w:t>
      </w:r>
      <w:r w:rsidR="00001D2B">
        <w:rPr>
          <w:b/>
          <w:bCs/>
          <w:iCs/>
          <w:color w:val="000000"/>
        </w:rPr>
        <w:t>23</w:t>
      </w:r>
      <w:r>
        <w:rPr>
          <w:b/>
          <w:bCs/>
          <w:iCs/>
          <w:color w:val="000000"/>
        </w:rPr>
        <w:t>日）</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025"/>
      </w:tblGrid>
      <w:tr w:rsidR="00513A13">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spacing w:line="400" w:lineRule="exact"/>
              <w:ind w:firstLine="480"/>
              <w:rPr>
                <w:bCs/>
                <w:iCs/>
                <w:color w:val="000000"/>
              </w:rPr>
            </w:pPr>
            <w:r>
              <w:rPr>
                <w:bCs/>
                <w:iCs/>
                <w:color w:val="000000"/>
              </w:rPr>
              <w:t xml:space="preserve">                                                  </w:t>
            </w:r>
            <w:r>
              <w:rPr>
                <w:bCs/>
                <w:iCs/>
                <w:color w:val="000000"/>
              </w:rPr>
              <w:t>投资者关系活动类别</w:t>
            </w:r>
          </w:p>
          <w:p w:rsidR="00513A13" w:rsidRDefault="00513A13">
            <w:pPr>
              <w:ind w:firstLineChars="0" w:firstLine="0"/>
              <w:rPr>
                <w:bCs/>
                <w:iCs/>
                <w:color w:val="000000"/>
              </w:rPr>
            </w:pP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001D2B">
            <w:pPr>
              <w:spacing w:line="480" w:lineRule="atLeast"/>
              <w:ind w:firstLineChars="0" w:firstLine="0"/>
              <w:rPr>
                <w:bCs/>
                <w:iCs/>
                <w:color w:val="000000"/>
              </w:rPr>
            </w:pPr>
            <w:r>
              <w:rPr>
                <w:bCs/>
                <w:iCs/>
                <w:color w:val="000000"/>
              </w:rPr>
              <w:sym w:font="Wingdings 2" w:char="00A3"/>
            </w:r>
            <w:r w:rsidR="00401E62">
              <w:t>特定对象调研</w:t>
            </w:r>
            <w:r w:rsidR="00401E62">
              <w:t xml:space="preserve">       </w:t>
            </w:r>
            <w:r w:rsidR="00401E62">
              <w:rPr>
                <w:bCs/>
                <w:iCs/>
                <w:color w:val="000000"/>
              </w:rPr>
              <w:sym w:font="Wingdings 2" w:char="00A3"/>
            </w:r>
            <w:r w:rsidR="00401E62">
              <w:t>分析师会议</w:t>
            </w:r>
          </w:p>
          <w:p w:rsidR="00513A13" w:rsidRDefault="00401E62">
            <w:pPr>
              <w:spacing w:line="480" w:lineRule="atLeast"/>
              <w:ind w:firstLineChars="0" w:firstLine="0"/>
              <w:rPr>
                <w:bCs/>
                <w:iCs/>
                <w:color w:val="000000"/>
              </w:rPr>
            </w:pPr>
            <w:r>
              <w:rPr>
                <w:bCs/>
                <w:iCs/>
                <w:color w:val="000000"/>
              </w:rPr>
              <w:sym w:font="Wingdings 2" w:char="00A3"/>
            </w:r>
            <w:r>
              <w:t>媒体采访</w:t>
            </w:r>
            <w:r>
              <w:t xml:space="preserve">            </w:t>
            </w:r>
            <w:r w:rsidR="00001D2B">
              <w:rPr>
                <w:bCs/>
                <w:iCs/>
                <w:color w:val="000000"/>
              </w:rPr>
              <w:sym w:font="Wingdings 2" w:char="0052"/>
            </w:r>
            <w:r>
              <w:t>业绩说明会</w:t>
            </w:r>
          </w:p>
          <w:p w:rsidR="00513A13" w:rsidRDefault="00401E62">
            <w:pPr>
              <w:spacing w:line="480" w:lineRule="atLeast"/>
              <w:ind w:firstLineChars="0" w:firstLine="0"/>
              <w:rPr>
                <w:bCs/>
                <w:iCs/>
                <w:color w:val="000000"/>
              </w:rPr>
            </w:pPr>
            <w:r>
              <w:rPr>
                <w:bCs/>
                <w:iCs/>
                <w:color w:val="000000"/>
              </w:rPr>
              <w:sym w:font="Wingdings 2" w:char="00A3"/>
            </w:r>
            <w:r>
              <w:t>新闻发布会</w:t>
            </w:r>
            <w:r>
              <w:t xml:space="preserve">          </w:t>
            </w:r>
            <w:r>
              <w:rPr>
                <w:bCs/>
                <w:iCs/>
                <w:color w:val="000000"/>
              </w:rPr>
              <w:sym w:font="Wingdings 2" w:char="00A3"/>
            </w:r>
            <w:r>
              <w:t>路演活动</w:t>
            </w:r>
          </w:p>
          <w:p w:rsidR="00513A13" w:rsidRDefault="00401E62">
            <w:pPr>
              <w:tabs>
                <w:tab w:val="left" w:pos="3045"/>
                <w:tab w:val="center" w:pos="3199"/>
              </w:tabs>
              <w:spacing w:line="480" w:lineRule="atLeast"/>
              <w:ind w:firstLineChars="0" w:firstLine="0"/>
              <w:rPr>
                <w:bCs/>
                <w:iCs/>
                <w:color w:val="000000"/>
              </w:rPr>
            </w:pPr>
            <w:r>
              <w:rPr>
                <w:bCs/>
                <w:iCs/>
                <w:color w:val="000000"/>
              </w:rPr>
              <w:sym w:font="Wingdings 2" w:char="00A3"/>
            </w:r>
            <w:r>
              <w:t>现场参观</w:t>
            </w:r>
            <w:r>
              <w:rPr>
                <w:bCs/>
                <w:iCs/>
                <w:color w:val="000000"/>
              </w:rPr>
              <w:tab/>
            </w:r>
          </w:p>
          <w:p w:rsidR="00513A13" w:rsidRDefault="00401E62">
            <w:pPr>
              <w:tabs>
                <w:tab w:val="center" w:pos="3199"/>
              </w:tabs>
              <w:spacing w:line="480" w:lineRule="atLeast"/>
              <w:ind w:firstLineChars="0" w:firstLine="0"/>
              <w:rPr>
                <w:bCs/>
                <w:iCs/>
                <w:color w:val="000000"/>
                <w:u w:val="single"/>
              </w:rPr>
            </w:pPr>
            <w:r>
              <w:rPr>
                <w:bCs/>
                <w:iCs/>
                <w:color w:val="000000"/>
              </w:rPr>
              <w:sym w:font="Wingdings 2" w:char="00A3"/>
            </w:r>
            <w:r>
              <w:t>其他</w:t>
            </w:r>
            <w:r>
              <w:t xml:space="preserve"> </w:t>
            </w:r>
          </w:p>
        </w:tc>
      </w:tr>
      <w:tr w:rsidR="00513A13">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参与单位名称</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001D2B" w:rsidP="00001D2B">
            <w:pPr>
              <w:spacing w:line="480" w:lineRule="atLeast"/>
              <w:ind w:firstLineChars="0" w:firstLine="0"/>
            </w:pPr>
            <w:r>
              <w:rPr>
                <w:rFonts w:hint="eastAsia"/>
                <w:bCs/>
                <w:iCs/>
                <w:color w:val="000000"/>
              </w:rPr>
              <w:t>参加公司</w:t>
            </w:r>
            <w:r>
              <w:rPr>
                <w:bCs/>
                <w:iCs/>
                <w:color w:val="000000"/>
              </w:rPr>
              <w:t>2024</w:t>
            </w:r>
            <w:r>
              <w:rPr>
                <w:bCs/>
                <w:iCs/>
                <w:color w:val="000000"/>
              </w:rPr>
              <w:t>年半年度</w:t>
            </w:r>
            <w:r>
              <w:rPr>
                <w:rFonts w:hint="eastAsia"/>
                <w:bCs/>
                <w:iCs/>
                <w:color w:val="000000"/>
              </w:rPr>
              <w:t>业绩说明会的投资者</w:t>
            </w:r>
          </w:p>
        </w:tc>
      </w:tr>
      <w:tr w:rsidR="00513A13">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时间</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rsidP="00001D2B">
            <w:pPr>
              <w:spacing w:line="240" w:lineRule="auto"/>
              <w:ind w:firstLineChars="0" w:firstLine="0"/>
              <w:rPr>
                <w:bCs/>
                <w:iCs/>
                <w:color w:val="000000"/>
              </w:rPr>
            </w:pPr>
            <w:r>
              <w:rPr>
                <w:bCs/>
                <w:iCs/>
                <w:color w:val="000000"/>
              </w:rPr>
              <w:t>2024</w:t>
            </w:r>
            <w:r>
              <w:rPr>
                <w:bCs/>
                <w:iCs/>
                <w:color w:val="000000"/>
              </w:rPr>
              <w:t>年</w:t>
            </w:r>
            <w:r>
              <w:rPr>
                <w:bCs/>
                <w:iCs/>
                <w:color w:val="000000"/>
              </w:rPr>
              <w:t>9</w:t>
            </w:r>
            <w:r>
              <w:rPr>
                <w:bCs/>
                <w:iCs/>
                <w:color w:val="000000"/>
              </w:rPr>
              <w:t>月</w:t>
            </w:r>
            <w:r w:rsidR="00001D2B">
              <w:rPr>
                <w:bCs/>
                <w:iCs/>
                <w:color w:val="000000"/>
              </w:rPr>
              <w:t>23</w:t>
            </w:r>
            <w:r>
              <w:rPr>
                <w:bCs/>
                <w:iCs/>
                <w:color w:val="000000"/>
              </w:rPr>
              <w:t>日</w:t>
            </w:r>
          </w:p>
        </w:tc>
      </w:tr>
      <w:tr w:rsidR="00513A13">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地点（形式）</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001D2B">
            <w:pPr>
              <w:spacing w:line="240" w:lineRule="auto"/>
              <w:ind w:firstLineChars="0" w:firstLine="0"/>
              <w:rPr>
                <w:bCs/>
                <w:iCs/>
                <w:color w:val="000000"/>
              </w:rPr>
            </w:pPr>
            <w:r>
              <w:rPr>
                <w:rFonts w:hint="eastAsia"/>
                <w:bCs/>
                <w:iCs/>
                <w:color w:val="000000"/>
                <w:lang w:bidi="ar"/>
              </w:rPr>
              <w:t>上</w:t>
            </w:r>
            <w:proofErr w:type="gramStart"/>
            <w:r>
              <w:rPr>
                <w:rFonts w:hint="eastAsia"/>
                <w:bCs/>
                <w:iCs/>
                <w:color w:val="000000"/>
                <w:lang w:bidi="ar"/>
              </w:rPr>
              <w:t>证路演中心</w:t>
            </w:r>
            <w:proofErr w:type="gramEnd"/>
            <w:r>
              <w:rPr>
                <w:rFonts w:hint="eastAsia"/>
                <w:bCs/>
                <w:iCs/>
                <w:color w:val="000000"/>
                <w:lang w:bidi="ar"/>
              </w:rPr>
              <w:t>网络文字互动回答</w:t>
            </w:r>
          </w:p>
        </w:tc>
      </w:tr>
      <w:tr w:rsidR="00513A13">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上市公司接待人员姓名</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001D2B" w:rsidRDefault="00001D2B">
            <w:pPr>
              <w:spacing w:line="480" w:lineRule="atLeast"/>
              <w:ind w:firstLineChars="0" w:firstLine="0"/>
              <w:rPr>
                <w:bCs/>
                <w:iCs/>
                <w:color w:val="000000"/>
              </w:rPr>
            </w:pPr>
            <w:r>
              <w:rPr>
                <w:rFonts w:hint="eastAsia"/>
                <w:bCs/>
                <w:iCs/>
                <w:color w:val="000000"/>
              </w:rPr>
              <w:t>董事长、总经理</w:t>
            </w:r>
            <w:r>
              <w:rPr>
                <w:bCs/>
                <w:iCs/>
                <w:color w:val="000000"/>
              </w:rPr>
              <w:t xml:space="preserve">  </w:t>
            </w:r>
            <w:r>
              <w:rPr>
                <w:rFonts w:hint="eastAsia"/>
                <w:bCs/>
                <w:iCs/>
                <w:color w:val="000000"/>
              </w:rPr>
              <w:t>杨瑞嘉</w:t>
            </w:r>
          </w:p>
          <w:p w:rsidR="00513A13" w:rsidRDefault="00401E62">
            <w:pPr>
              <w:spacing w:line="480" w:lineRule="atLeast"/>
              <w:ind w:firstLineChars="0" w:firstLine="0"/>
              <w:rPr>
                <w:bCs/>
                <w:iCs/>
                <w:color w:val="000000"/>
              </w:rPr>
            </w:pPr>
            <w:r>
              <w:rPr>
                <w:bCs/>
                <w:iCs/>
                <w:color w:val="000000"/>
              </w:rPr>
              <w:t>副总经理、董事会秘书</w:t>
            </w:r>
            <w:r>
              <w:rPr>
                <w:bCs/>
                <w:iCs/>
                <w:color w:val="000000"/>
              </w:rPr>
              <w:t xml:space="preserve">  </w:t>
            </w:r>
            <w:r>
              <w:rPr>
                <w:bCs/>
                <w:iCs/>
                <w:color w:val="000000"/>
              </w:rPr>
              <w:t>陈江宁</w:t>
            </w:r>
          </w:p>
          <w:p w:rsidR="00001D2B" w:rsidRDefault="00001D2B" w:rsidP="00001D2B">
            <w:pPr>
              <w:spacing w:line="480" w:lineRule="atLeast"/>
              <w:ind w:firstLineChars="0" w:firstLine="0"/>
              <w:rPr>
                <w:bCs/>
                <w:iCs/>
                <w:color w:val="000000"/>
              </w:rPr>
            </w:pPr>
            <w:r>
              <w:rPr>
                <w:rFonts w:hint="eastAsia"/>
                <w:bCs/>
                <w:iCs/>
                <w:color w:val="000000"/>
              </w:rPr>
              <w:t>财务总监</w:t>
            </w:r>
            <w:r>
              <w:rPr>
                <w:bCs/>
                <w:iCs/>
                <w:color w:val="000000"/>
              </w:rPr>
              <w:t xml:space="preserve">  </w:t>
            </w:r>
            <w:r>
              <w:rPr>
                <w:rFonts w:hint="eastAsia"/>
                <w:bCs/>
                <w:iCs/>
                <w:color w:val="000000"/>
              </w:rPr>
              <w:t>徐宁</w:t>
            </w:r>
          </w:p>
          <w:p w:rsidR="00513A13" w:rsidRDefault="00401E62">
            <w:pPr>
              <w:spacing w:line="480" w:lineRule="atLeast"/>
              <w:ind w:firstLineChars="0" w:firstLine="0"/>
              <w:rPr>
                <w:bCs/>
                <w:iCs/>
                <w:color w:val="000000"/>
              </w:rPr>
            </w:pPr>
            <w:r>
              <w:rPr>
                <w:bCs/>
                <w:iCs/>
                <w:color w:val="000000"/>
              </w:rPr>
              <w:t>投资总监</w:t>
            </w:r>
            <w:r>
              <w:rPr>
                <w:bCs/>
                <w:iCs/>
                <w:color w:val="000000"/>
              </w:rPr>
              <w:t xml:space="preserve">  </w:t>
            </w:r>
            <w:r>
              <w:rPr>
                <w:bCs/>
                <w:iCs/>
                <w:color w:val="000000"/>
              </w:rPr>
              <w:t>焦靖</w:t>
            </w:r>
          </w:p>
          <w:p w:rsidR="006C4658" w:rsidRDefault="006C4658">
            <w:pPr>
              <w:spacing w:line="480" w:lineRule="atLeast"/>
              <w:ind w:firstLineChars="0" w:firstLine="0"/>
              <w:rPr>
                <w:bCs/>
                <w:iCs/>
                <w:color w:val="000000"/>
              </w:rPr>
            </w:pPr>
            <w:r>
              <w:rPr>
                <w:rFonts w:hint="eastAsia"/>
                <w:bCs/>
                <w:iCs/>
                <w:color w:val="000000"/>
              </w:rPr>
              <w:t>独立董事</w:t>
            </w:r>
            <w:r>
              <w:rPr>
                <w:bCs/>
                <w:iCs/>
                <w:color w:val="000000"/>
              </w:rPr>
              <w:t xml:space="preserve">  </w:t>
            </w:r>
            <w:r>
              <w:rPr>
                <w:rFonts w:hint="eastAsia"/>
                <w:bCs/>
                <w:iCs/>
                <w:color w:val="000000"/>
              </w:rPr>
              <w:t>舒柏晛</w:t>
            </w:r>
          </w:p>
          <w:p w:rsidR="00513A13" w:rsidRDefault="00401E62">
            <w:pPr>
              <w:spacing w:line="480" w:lineRule="atLeast"/>
              <w:ind w:firstLineChars="0" w:firstLine="0"/>
              <w:rPr>
                <w:bCs/>
                <w:iCs/>
                <w:color w:val="000000"/>
              </w:rPr>
            </w:pPr>
            <w:r>
              <w:rPr>
                <w:bCs/>
                <w:iCs/>
                <w:color w:val="000000"/>
              </w:rPr>
              <w:t>证券代表</w:t>
            </w:r>
            <w:r>
              <w:rPr>
                <w:bCs/>
                <w:iCs/>
                <w:color w:val="000000"/>
              </w:rPr>
              <w:t xml:space="preserve">  </w:t>
            </w:r>
            <w:proofErr w:type="gramStart"/>
            <w:r>
              <w:rPr>
                <w:bCs/>
                <w:iCs/>
                <w:color w:val="000000"/>
              </w:rPr>
              <w:t>倪</w:t>
            </w:r>
            <w:proofErr w:type="gramEnd"/>
            <w:r>
              <w:rPr>
                <w:bCs/>
                <w:iCs/>
                <w:color w:val="000000"/>
              </w:rPr>
              <w:t>清清</w:t>
            </w:r>
          </w:p>
        </w:tc>
      </w:tr>
      <w:tr w:rsidR="00513A13">
        <w:trPr>
          <w:trHeight w:val="9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投资者关系活动主要内容介绍</w:t>
            </w:r>
          </w:p>
          <w:p w:rsidR="00513A13" w:rsidRDefault="00513A13">
            <w:pPr>
              <w:ind w:firstLineChars="0" w:firstLine="0"/>
              <w:rPr>
                <w:bCs/>
                <w:iCs/>
                <w:color w:val="000000"/>
              </w:rPr>
            </w:pP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482"/>
              <w:rPr>
                <w:b/>
                <w:iCs/>
              </w:rPr>
            </w:pPr>
            <w:r>
              <w:rPr>
                <w:b/>
                <w:iCs/>
              </w:rPr>
              <w:t>一、</w:t>
            </w:r>
            <w:r>
              <w:rPr>
                <w:b/>
                <w:iCs/>
              </w:rPr>
              <w:t>2024</w:t>
            </w:r>
            <w:r>
              <w:rPr>
                <w:b/>
                <w:iCs/>
              </w:rPr>
              <w:t>年上半年公司业绩概况</w:t>
            </w:r>
          </w:p>
          <w:p w:rsidR="00513A13" w:rsidRDefault="00401E62">
            <w:pPr>
              <w:ind w:firstLine="480"/>
              <w:rPr>
                <w:bCs/>
                <w:iCs/>
              </w:rPr>
            </w:pPr>
            <w:r>
              <w:rPr>
                <w:bCs/>
                <w:iCs/>
              </w:rPr>
              <w:t>公司于</w:t>
            </w:r>
            <w:r>
              <w:rPr>
                <w:bCs/>
                <w:iCs/>
              </w:rPr>
              <w:t>2024</w:t>
            </w:r>
            <w:r>
              <w:rPr>
                <w:bCs/>
                <w:iCs/>
              </w:rPr>
              <w:t>年</w:t>
            </w:r>
            <w:r>
              <w:rPr>
                <w:bCs/>
                <w:iCs/>
              </w:rPr>
              <w:t>8</w:t>
            </w:r>
            <w:r>
              <w:rPr>
                <w:bCs/>
                <w:iCs/>
              </w:rPr>
              <w:t>月</w:t>
            </w:r>
            <w:r>
              <w:rPr>
                <w:bCs/>
                <w:iCs/>
              </w:rPr>
              <w:t>22</w:t>
            </w:r>
            <w:r>
              <w:rPr>
                <w:bCs/>
                <w:iCs/>
              </w:rPr>
              <w:t>日披露了</w:t>
            </w:r>
            <w:r>
              <w:rPr>
                <w:bCs/>
                <w:iCs/>
              </w:rPr>
              <w:t>2024</w:t>
            </w:r>
            <w:r>
              <w:rPr>
                <w:bCs/>
                <w:iCs/>
              </w:rPr>
              <w:t>年半年度报告。</w:t>
            </w:r>
          </w:p>
          <w:p w:rsidR="00513A13" w:rsidRDefault="00401E62">
            <w:pPr>
              <w:ind w:firstLine="480"/>
              <w:rPr>
                <w:b/>
                <w:iCs/>
              </w:rPr>
            </w:pPr>
            <w:r>
              <w:rPr>
                <w:bCs/>
                <w:iCs/>
              </w:rPr>
              <w:t>2024</w:t>
            </w:r>
            <w:r>
              <w:rPr>
                <w:bCs/>
                <w:iCs/>
              </w:rPr>
              <w:t>年上半年，公司经营业绩营利双增，企稳向好。报告期内，公司实现营业收入</w:t>
            </w:r>
            <w:r>
              <w:rPr>
                <w:bCs/>
                <w:iCs/>
              </w:rPr>
              <w:t>2.28</w:t>
            </w:r>
            <w:r>
              <w:rPr>
                <w:bCs/>
                <w:iCs/>
              </w:rPr>
              <w:t>亿元，同比增长</w:t>
            </w:r>
            <w:r>
              <w:rPr>
                <w:bCs/>
                <w:iCs/>
              </w:rPr>
              <w:t>11.73%</w:t>
            </w:r>
            <w:r>
              <w:rPr>
                <w:bCs/>
                <w:iCs/>
              </w:rPr>
              <w:t>；</w:t>
            </w:r>
            <w:proofErr w:type="gramStart"/>
            <w:r>
              <w:rPr>
                <w:bCs/>
                <w:iCs/>
              </w:rPr>
              <w:t>归母净利润</w:t>
            </w:r>
            <w:proofErr w:type="gramEnd"/>
            <w:r>
              <w:rPr>
                <w:bCs/>
                <w:iCs/>
              </w:rPr>
              <w:t>7,260.67</w:t>
            </w:r>
            <w:r>
              <w:rPr>
                <w:bCs/>
                <w:iCs/>
              </w:rPr>
              <w:t>万元，同比增长</w:t>
            </w:r>
            <w:r>
              <w:rPr>
                <w:bCs/>
                <w:iCs/>
              </w:rPr>
              <w:t>23.39%</w:t>
            </w:r>
            <w:r>
              <w:rPr>
                <w:bCs/>
                <w:iCs/>
              </w:rPr>
              <w:t>；</w:t>
            </w:r>
            <w:proofErr w:type="gramStart"/>
            <w:r>
              <w:rPr>
                <w:bCs/>
                <w:iCs/>
              </w:rPr>
              <w:t>扣非后归母净利润</w:t>
            </w:r>
            <w:proofErr w:type="gramEnd"/>
            <w:r>
              <w:rPr>
                <w:bCs/>
                <w:iCs/>
              </w:rPr>
              <w:t>6,605.90</w:t>
            </w:r>
            <w:r>
              <w:rPr>
                <w:bCs/>
                <w:iCs/>
              </w:rPr>
              <w:t>万元，同比增长</w:t>
            </w:r>
            <w:r>
              <w:rPr>
                <w:bCs/>
                <w:iCs/>
              </w:rPr>
              <w:t>32.81%</w:t>
            </w:r>
            <w:r>
              <w:rPr>
                <w:bCs/>
                <w:iCs/>
              </w:rPr>
              <w:t>；研发投入</w:t>
            </w:r>
            <w:r>
              <w:rPr>
                <w:bCs/>
                <w:iCs/>
              </w:rPr>
              <w:t>2,641.79</w:t>
            </w:r>
            <w:r>
              <w:rPr>
                <w:bCs/>
                <w:iCs/>
              </w:rPr>
              <w:t>万元，</w:t>
            </w:r>
            <w:r>
              <w:rPr>
                <w:rFonts w:eastAsia="瀹嬩綋"/>
                <w:bCs/>
                <w:color w:val="000000"/>
                <w:szCs w:val="21"/>
              </w:rPr>
              <w:t>占当期营业收入的</w:t>
            </w:r>
            <w:r>
              <w:rPr>
                <w:bCs/>
                <w:color w:val="000000"/>
                <w:szCs w:val="21"/>
              </w:rPr>
              <w:t>11.57%</w:t>
            </w:r>
            <w:r>
              <w:rPr>
                <w:bCs/>
                <w:iCs/>
              </w:rPr>
              <w:t>。截至</w:t>
            </w:r>
            <w:r>
              <w:rPr>
                <w:bCs/>
                <w:iCs/>
              </w:rPr>
              <w:t>2024</w:t>
            </w:r>
            <w:r>
              <w:rPr>
                <w:bCs/>
                <w:iCs/>
              </w:rPr>
              <w:t>年</w:t>
            </w:r>
            <w:r>
              <w:rPr>
                <w:bCs/>
                <w:iCs/>
              </w:rPr>
              <w:t>6</w:t>
            </w:r>
            <w:r>
              <w:rPr>
                <w:bCs/>
                <w:iCs/>
              </w:rPr>
              <w:t>月</w:t>
            </w:r>
            <w:r>
              <w:rPr>
                <w:bCs/>
                <w:iCs/>
              </w:rPr>
              <w:t>30</w:t>
            </w:r>
            <w:r>
              <w:rPr>
                <w:bCs/>
                <w:iCs/>
              </w:rPr>
              <w:t>日，公司总资产</w:t>
            </w:r>
            <w:r>
              <w:rPr>
                <w:bCs/>
                <w:iCs/>
              </w:rPr>
              <w:t>15.39</w:t>
            </w:r>
            <w:r>
              <w:rPr>
                <w:bCs/>
                <w:iCs/>
              </w:rPr>
              <w:t>亿元，归属于上市公司股东的净资产</w:t>
            </w:r>
            <w:r>
              <w:rPr>
                <w:bCs/>
                <w:iCs/>
              </w:rPr>
              <w:t>13.45</w:t>
            </w:r>
            <w:r>
              <w:rPr>
                <w:bCs/>
                <w:iCs/>
              </w:rPr>
              <w:t>亿元。经营情况稳中有升，符合预期。</w:t>
            </w:r>
          </w:p>
          <w:p w:rsidR="00513A13" w:rsidRDefault="00401E62">
            <w:pPr>
              <w:ind w:firstLine="482"/>
              <w:rPr>
                <w:b/>
                <w:iCs/>
              </w:rPr>
            </w:pPr>
            <w:r>
              <w:rPr>
                <w:b/>
                <w:iCs/>
              </w:rPr>
              <w:t>二、提问交流</w:t>
            </w:r>
          </w:p>
          <w:p w:rsidR="00513A13" w:rsidRDefault="00401E62">
            <w:pPr>
              <w:ind w:firstLine="482"/>
              <w:rPr>
                <w:b/>
                <w:iCs/>
              </w:rPr>
            </w:pPr>
            <w:r>
              <w:rPr>
                <w:b/>
                <w:iCs/>
              </w:rPr>
              <w:t>Q1</w:t>
            </w:r>
            <w:r>
              <w:rPr>
                <w:b/>
                <w:iCs/>
              </w:rPr>
              <w:t>：</w:t>
            </w:r>
            <w:r w:rsidR="006C4D8B" w:rsidRPr="006C4D8B">
              <w:rPr>
                <w:rFonts w:hint="eastAsia"/>
                <w:b/>
                <w:iCs/>
              </w:rPr>
              <w:t>请问上半年行业的整体数据如何？</w:t>
            </w:r>
          </w:p>
          <w:p w:rsidR="00513A13" w:rsidRDefault="006C4D8B">
            <w:pPr>
              <w:ind w:firstLine="482"/>
              <w:rPr>
                <w:bCs/>
                <w:iCs/>
              </w:rPr>
            </w:pPr>
            <w:r w:rsidRPr="006C4D8B">
              <w:rPr>
                <w:rFonts w:hint="eastAsia"/>
                <w:b/>
                <w:bCs/>
                <w:iCs/>
              </w:rPr>
              <w:lastRenderedPageBreak/>
              <w:t>答：</w:t>
            </w:r>
            <w:r w:rsidRPr="006C4D8B">
              <w:rPr>
                <w:rFonts w:hint="eastAsia"/>
                <w:bCs/>
                <w:iCs/>
              </w:rPr>
              <w:t>尊敬的投资者，您好！目前整个行业的竞争还是比较激烈的，我们在一季度也推出了新品，同时公司会持续内外兼修，以应对竞争环境。感谢您的关注！</w:t>
            </w:r>
          </w:p>
          <w:p w:rsidR="00513A13" w:rsidRDefault="00401E62">
            <w:pPr>
              <w:ind w:firstLine="482"/>
              <w:rPr>
                <w:b/>
                <w:iCs/>
              </w:rPr>
            </w:pPr>
            <w:r>
              <w:rPr>
                <w:b/>
                <w:iCs/>
              </w:rPr>
              <w:t>Q2</w:t>
            </w:r>
            <w:r>
              <w:rPr>
                <w:b/>
                <w:iCs/>
              </w:rPr>
              <w:t>：</w:t>
            </w:r>
            <w:r w:rsidR="006C4D8B" w:rsidRPr="006C4D8B">
              <w:rPr>
                <w:rFonts w:hint="eastAsia"/>
                <w:b/>
                <w:iCs/>
              </w:rPr>
              <w:t>在</w:t>
            </w:r>
            <w:r w:rsidR="006C4D8B" w:rsidRPr="006C4D8B">
              <w:rPr>
                <w:rFonts w:hint="eastAsia"/>
                <w:b/>
                <w:iCs/>
              </w:rPr>
              <w:t>2024</w:t>
            </w:r>
            <w:r w:rsidR="006C4D8B" w:rsidRPr="006C4D8B">
              <w:rPr>
                <w:rFonts w:hint="eastAsia"/>
                <w:b/>
                <w:iCs/>
              </w:rPr>
              <w:t>年在成本控制方面采取了哪些措施？</w:t>
            </w:r>
          </w:p>
          <w:p w:rsidR="00513A13" w:rsidRDefault="00401E62">
            <w:pPr>
              <w:ind w:firstLine="482"/>
              <w:rPr>
                <w:bCs/>
                <w:iCs/>
              </w:rPr>
            </w:pPr>
            <w:r>
              <w:rPr>
                <w:b/>
                <w:iCs/>
              </w:rPr>
              <w:t>答：</w:t>
            </w:r>
            <w:r w:rsidR="006C4D8B" w:rsidRPr="006C4D8B">
              <w:rPr>
                <w:rFonts w:hint="eastAsia"/>
                <w:bCs/>
                <w:iCs/>
              </w:rPr>
              <w:t>尊敬的投资者，您好！一方面，公司与供应</w:t>
            </w:r>
            <w:proofErr w:type="gramStart"/>
            <w:r w:rsidR="006C4D8B" w:rsidRPr="006C4D8B">
              <w:rPr>
                <w:rFonts w:hint="eastAsia"/>
                <w:bCs/>
                <w:iCs/>
              </w:rPr>
              <w:t>商保持</w:t>
            </w:r>
            <w:proofErr w:type="gramEnd"/>
            <w:r w:rsidR="006C4D8B" w:rsidRPr="006C4D8B">
              <w:rPr>
                <w:rFonts w:hint="eastAsia"/>
                <w:bCs/>
                <w:iCs/>
              </w:rPr>
              <w:t>互惠互利合作共赢的良性关系，为兼顾公司产品品质和成本控制，公司制定供应商准入制度，为公司积累了一批产品与服务均优的合作伙伴。于此同时公司也注重与合作伙伴的共同成长，注重对中小供应商的培养和管理，使供应商间形成公平竞争、优胜劣汰的机制，经过多年的努力，公司逐步与信誉良好的上游产品供应商建立战略合作关系，有效的保证公司供应</w:t>
            </w:r>
            <w:proofErr w:type="gramStart"/>
            <w:r w:rsidR="006C4D8B" w:rsidRPr="006C4D8B">
              <w:rPr>
                <w:rFonts w:hint="eastAsia"/>
                <w:bCs/>
                <w:iCs/>
              </w:rPr>
              <w:t>链安全</w:t>
            </w:r>
            <w:proofErr w:type="gramEnd"/>
            <w:r w:rsidR="006C4D8B" w:rsidRPr="006C4D8B">
              <w:rPr>
                <w:rFonts w:hint="eastAsia"/>
                <w:bCs/>
                <w:iCs/>
              </w:rPr>
              <w:t>和稳定。另一方面，在费用管控上，公司按照年度预算，严格执行并加强预算管理。感谢您的关注！</w:t>
            </w:r>
          </w:p>
          <w:p w:rsidR="00513A13" w:rsidRDefault="00401E62">
            <w:pPr>
              <w:ind w:firstLine="482"/>
              <w:rPr>
                <w:b/>
                <w:iCs/>
              </w:rPr>
            </w:pPr>
            <w:r>
              <w:rPr>
                <w:b/>
                <w:iCs/>
              </w:rPr>
              <w:t>Q3</w:t>
            </w:r>
            <w:r>
              <w:rPr>
                <w:b/>
                <w:iCs/>
              </w:rPr>
              <w:t>：</w:t>
            </w:r>
            <w:r w:rsidR="006C4D8B" w:rsidRPr="006C4D8B">
              <w:rPr>
                <w:rFonts w:hint="eastAsia"/>
                <w:b/>
                <w:iCs/>
              </w:rPr>
              <w:t>业绩和行业比是什么水平？</w:t>
            </w:r>
          </w:p>
          <w:p w:rsidR="00513A13" w:rsidRDefault="00401E62">
            <w:pPr>
              <w:ind w:firstLine="482"/>
              <w:rPr>
                <w:b/>
                <w:iCs/>
              </w:rPr>
            </w:pPr>
            <w:r>
              <w:rPr>
                <w:b/>
                <w:iCs/>
              </w:rPr>
              <w:t>答：</w:t>
            </w:r>
            <w:r w:rsidR="006C4D8B" w:rsidRPr="006C4D8B">
              <w:rPr>
                <w:rFonts w:hint="eastAsia"/>
                <w:bCs/>
                <w:iCs/>
              </w:rPr>
              <w:t>尊敬的投资者，您好！</w:t>
            </w:r>
            <w:r w:rsidR="006C4D8B" w:rsidRPr="006C4D8B">
              <w:rPr>
                <w:rFonts w:hint="eastAsia"/>
                <w:bCs/>
                <w:iCs/>
              </w:rPr>
              <w:t>2024</w:t>
            </w:r>
            <w:r w:rsidR="006C4D8B" w:rsidRPr="006C4D8B">
              <w:rPr>
                <w:rFonts w:hint="eastAsia"/>
                <w:bCs/>
                <w:iCs/>
              </w:rPr>
              <w:t>年上半年，公司经营业绩营利双增，企稳向好。报告期内，公司实现营业收入</w:t>
            </w:r>
            <w:r w:rsidR="006C4D8B" w:rsidRPr="006C4D8B">
              <w:rPr>
                <w:rFonts w:hint="eastAsia"/>
                <w:bCs/>
                <w:iCs/>
              </w:rPr>
              <w:t>2.28</w:t>
            </w:r>
            <w:r w:rsidR="006C4D8B" w:rsidRPr="006C4D8B">
              <w:rPr>
                <w:rFonts w:hint="eastAsia"/>
                <w:bCs/>
                <w:iCs/>
              </w:rPr>
              <w:t>亿元，同比增长</w:t>
            </w:r>
            <w:r w:rsidR="006C4D8B" w:rsidRPr="006C4D8B">
              <w:rPr>
                <w:rFonts w:hint="eastAsia"/>
                <w:bCs/>
                <w:iCs/>
              </w:rPr>
              <w:t>11.73%</w:t>
            </w:r>
            <w:r w:rsidR="006C4D8B" w:rsidRPr="006C4D8B">
              <w:rPr>
                <w:rFonts w:hint="eastAsia"/>
                <w:bCs/>
                <w:iCs/>
              </w:rPr>
              <w:t>；</w:t>
            </w:r>
            <w:proofErr w:type="gramStart"/>
            <w:r w:rsidR="006C4D8B" w:rsidRPr="006C4D8B">
              <w:rPr>
                <w:rFonts w:hint="eastAsia"/>
                <w:bCs/>
                <w:iCs/>
              </w:rPr>
              <w:t>归母净利润</w:t>
            </w:r>
            <w:proofErr w:type="gramEnd"/>
            <w:r w:rsidR="006C4D8B" w:rsidRPr="006C4D8B">
              <w:rPr>
                <w:rFonts w:hint="eastAsia"/>
                <w:bCs/>
                <w:iCs/>
              </w:rPr>
              <w:t>7,260.67</w:t>
            </w:r>
            <w:r w:rsidR="006C4D8B" w:rsidRPr="006C4D8B">
              <w:rPr>
                <w:rFonts w:hint="eastAsia"/>
                <w:bCs/>
                <w:iCs/>
              </w:rPr>
              <w:t>万元，同比增长</w:t>
            </w:r>
            <w:r w:rsidR="006C4D8B" w:rsidRPr="006C4D8B">
              <w:rPr>
                <w:rFonts w:hint="eastAsia"/>
                <w:bCs/>
                <w:iCs/>
              </w:rPr>
              <w:t>23.39%</w:t>
            </w:r>
            <w:r w:rsidR="006C4D8B" w:rsidRPr="006C4D8B">
              <w:rPr>
                <w:rFonts w:hint="eastAsia"/>
                <w:bCs/>
                <w:iCs/>
              </w:rPr>
              <w:t>；</w:t>
            </w:r>
            <w:proofErr w:type="gramStart"/>
            <w:r w:rsidR="006C4D8B" w:rsidRPr="006C4D8B">
              <w:rPr>
                <w:rFonts w:hint="eastAsia"/>
                <w:bCs/>
                <w:iCs/>
              </w:rPr>
              <w:t>扣非后归母净利润</w:t>
            </w:r>
            <w:proofErr w:type="gramEnd"/>
            <w:r w:rsidR="006C4D8B" w:rsidRPr="006C4D8B">
              <w:rPr>
                <w:rFonts w:hint="eastAsia"/>
                <w:bCs/>
                <w:iCs/>
              </w:rPr>
              <w:t xml:space="preserve">6,605.90 </w:t>
            </w:r>
            <w:r w:rsidR="006C4D8B" w:rsidRPr="006C4D8B">
              <w:rPr>
                <w:rFonts w:hint="eastAsia"/>
                <w:bCs/>
                <w:iCs/>
              </w:rPr>
              <w:t>万元，同比增长</w:t>
            </w:r>
            <w:r w:rsidR="006C4D8B" w:rsidRPr="006C4D8B">
              <w:rPr>
                <w:rFonts w:hint="eastAsia"/>
                <w:bCs/>
                <w:iCs/>
              </w:rPr>
              <w:t>32.81%</w:t>
            </w:r>
            <w:r w:rsidR="006C4D8B" w:rsidRPr="006C4D8B">
              <w:rPr>
                <w:rFonts w:hint="eastAsia"/>
                <w:bCs/>
                <w:iCs/>
              </w:rPr>
              <w:t>；公司上半年新产品的推出对业绩有一定的助力作用，上半年整体经营完成了既定目标，稳中有升，符合预期。感谢您的关注！</w:t>
            </w:r>
          </w:p>
          <w:p w:rsidR="00513A13" w:rsidRDefault="00401E62">
            <w:pPr>
              <w:ind w:firstLine="482"/>
              <w:rPr>
                <w:b/>
                <w:iCs/>
              </w:rPr>
            </w:pPr>
            <w:r>
              <w:rPr>
                <w:b/>
                <w:iCs/>
              </w:rPr>
              <w:t>Q4</w:t>
            </w:r>
            <w:r>
              <w:rPr>
                <w:b/>
                <w:iCs/>
              </w:rPr>
              <w:t>：</w:t>
            </w:r>
            <w:r w:rsidR="006C4D8B" w:rsidRPr="006C4D8B">
              <w:rPr>
                <w:rFonts w:hint="eastAsia"/>
                <w:b/>
                <w:iCs/>
              </w:rPr>
              <w:t>公司在近期的交流中提到目前盆底治疗的就诊率最多在</w:t>
            </w:r>
            <w:r w:rsidR="006C4D8B" w:rsidRPr="006C4D8B">
              <w:rPr>
                <w:rFonts w:hint="eastAsia"/>
                <w:b/>
                <w:iCs/>
              </w:rPr>
              <w:t>13.4%</w:t>
            </w:r>
            <w:r w:rsidR="006C4D8B" w:rsidRPr="006C4D8B">
              <w:rPr>
                <w:rFonts w:hint="eastAsia"/>
                <w:b/>
                <w:iCs/>
              </w:rPr>
              <w:t>，但是杨总在去年的报告中以</w:t>
            </w:r>
            <w:r w:rsidR="006C4D8B" w:rsidRPr="006C4D8B">
              <w:rPr>
                <w:rFonts w:hint="eastAsia"/>
                <w:b/>
                <w:iCs/>
              </w:rPr>
              <w:t>2021</w:t>
            </w:r>
            <w:r w:rsidR="006C4D8B" w:rsidRPr="006C4D8B">
              <w:rPr>
                <w:rFonts w:hint="eastAsia"/>
                <w:b/>
                <w:iCs/>
              </w:rPr>
              <w:t>年一次性电极筛查量最多</w:t>
            </w:r>
            <w:r w:rsidR="006C4D8B" w:rsidRPr="006C4D8B">
              <w:rPr>
                <w:rFonts w:hint="eastAsia"/>
                <w:b/>
                <w:iCs/>
              </w:rPr>
              <w:t>1658939</w:t>
            </w:r>
            <w:r w:rsidR="006C4D8B" w:rsidRPr="006C4D8B">
              <w:rPr>
                <w:rFonts w:hint="eastAsia"/>
                <w:b/>
                <w:iCs/>
              </w:rPr>
              <w:t>例测算的捕获率为千分之</w:t>
            </w:r>
            <w:proofErr w:type="gramStart"/>
            <w:r w:rsidR="006C4D8B" w:rsidRPr="006C4D8B">
              <w:rPr>
                <w:rFonts w:hint="eastAsia"/>
                <w:b/>
                <w:iCs/>
              </w:rPr>
              <w:t>7</w:t>
            </w:r>
            <w:proofErr w:type="gramEnd"/>
            <w:r w:rsidR="006C4D8B" w:rsidRPr="006C4D8B">
              <w:rPr>
                <w:rFonts w:hint="eastAsia"/>
                <w:b/>
                <w:iCs/>
              </w:rPr>
              <w:t>.61</w:t>
            </w:r>
            <w:r w:rsidR="006C4D8B" w:rsidRPr="006C4D8B">
              <w:rPr>
                <w:rFonts w:hint="eastAsia"/>
                <w:b/>
                <w:iCs/>
              </w:rPr>
              <w:t>，请问数据口径有什么差异吗？</w:t>
            </w:r>
            <w:bookmarkStart w:id="0" w:name="_GoBack"/>
            <w:bookmarkEnd w:id="0"/>
          </w:p>
          <w:p w:rsidR="00513A13" w:rsidRPr="006C4D8B" w:rsidRDefault="00401E62" w:rsidP="006C4D8B">
            <w:pPr>
              <w:ind w:firstLine="482"/>
              <w:rPr>
                <w:b/>
                <w:iCs/>
                <w:highlight w:val="yellow"/>
              </w:rPr>
            </w:pPr>
            <w:r>
              <w:rPr>
                <w:b/>
                <w:iCs/>
              </w:rPr>
              <w:t>答：</w:t>
            </w:r>
            <w:r w:rsidR="006C4D8B" w:rsidRPr="006C4D8B">
              <w:rPr>
                <w:rFonts w:hint="eastAsia"/>
                <w:bCs/>
                <w:iCs/>
              </w:rPr>
              <w:t>尊敬的投资者，您好！问题中提及的两组数据之所以有差异，主要是因为测算口径和假设条件不同。以公司某一年度一次性电极筛查量为基数，您提到的第一个数据是假设一次性筛查电极</w:t>
            </w:r>
            <w:r w:rsidR="006C4D8B" w:rsidRPr="006C4D8B">
              <w:rPr>
                <w:rFonts w:hint="eastAsia"/>
                <w:bCs/>
                <w:iCs/>
              </w:rPr>
              <w:t>80%</w:t>
            </w:r>
            <w:r w:rsidR="006C4D8B" w:rsidRPr="006C4D8B">
              <w:rPr>
                <w:rFonts w:hint="eastAsia"/>
                <w:bCs/>
                <w:iCs/>
              </w:rPr>
              <w:t>用于产后盆底康复人群，并据此估算相应的就诊率；而您提到的第二个数据是一次性筛查电极全部用于盆底功能疾病人群，并</w:t>
            </w:r>
            <w:r w:rsidR="006C4D8B" w:rsidRPr="006C4D8B">
              <w:rPr>
                <w:rFonts w:hint="eastAsia"/>
                <w:bCs/>
                <w:iCs/>
              </w:rPr>
              <w:lastRenderedPageBreak/>
              <w:t>据此估算相应的就诊率。由于暂时没有权威机构发布过完整市场的盆底领域的研究报告，因此，我们只能采用上述两种场景，在一定程度上反映盆底市场现状及潜在空间，这两种方式仅为估算，旨在为广大投资者提供参考与理解。感谢您的关注</w:t>
            </w:r>
            <w:r w:rsidR="006C4D8B">
              <w:rPr>
                <w:rFonts w:hint="eastAsia"/>
                <w:bCs/>
                <w:iCs/>
              </w:rPr>
              <w:t>！</w:t>
            </w:r>
          </w:p>
        </w:tc>
      </w:tr>
      <w:tr w:rsidR="00513A13">
        <w:trPr>
          <w:trHeight w:val="1550"/>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lastRenderedPageBreak/>
              <w:t>风险提示</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rsidR="00513A13">
        <w:trPr>
          <w:trHeight w:val="1033"/>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是否涉及应当披露重大信息</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spacing w:line="480" w:lineRule="atLeast"/>
              <w:ind w:firstLineChars="0" w:firstLine="0"/>
              <w:rPr>
                <w:bCs/>
                <w:iCs/>
              </w:rPr>
            </w:pPr>
            <w:r>
              <w:rPr>
                <w:bCs/>
                <w:iCs/>
              </w:rPr>
              <w:t>否</w:t>
            </w:r>
          </w:p>
        </w:tc>
      </w:tr>
      <w:tr w:rsidR="00513A13">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pPr>
              <w:ind w:firstLineChars="0" w:firstLine="0"/>
              <w:rPr>
                <w:bCs/>
                <w:iCs/>
                <w:color w:val="000000"/>
              </w:rPr>
            </w:pPr>
            <w:r>
              <w:rPr>
                <w:bCs/>
                <w:iCs/>
                <w:color w:val="000000"/>
              </w:rPr>
              <w:t>日期</w:t>
            </w:r>
          </w:p>
        </w:tc>
        <w:tc>
          <w:tcPr>
            <w:tcW w:w="7025" w:type="dxa"/>
            <w:tcBorders>
              <w:top w:val="single" w:sz="4" w:space="0" w:color="auto"/>
              <w:left w:val="single" w:sz="4" w:space="0" w:color="auto"/>
              <w:bottom w:val="single" w:sz="4" w:space="0" w:color="auto"/>
              <w:right w:val="single" w:sz="4" w:space="0" w:color="auto"/>
            </w:tcBorders>
            <w:shd w:val="clear" w:color="auto" w:fill="auto"/>
            <w:vAlign w:val="center"/>
          </w:tcPr>
          <w:p w:rsidR="00513A13" w:rsidRDefault="00401E62" w:rsidP="006C4D8B">
            <w:pPr>
              <w:spacing w:line="240" w:lineRule="auto"/>
              <w:ind w:firstLineChars="0" w:firstLine="0"/>
              <w:rPr>
                <w:bCs/>
                <w:iCs/>
                <w:color w:val="000000"/>
              </w:rPr>
            </w:pPr>
            <w:r>
              <w:rPr>
                <w:bCs/>
                <w:iCs/>
                <w:color w:val="000000"/>
              </w:rPr>
              <w:t>2024</w:t>
            </w:r>
            <w:r>
              <w:rPr>
                <w:bCs/>
                <w:iCs/>
                <w:color w:val="000000"/>
              </w:rPr>
              <w:t>年</w:t>
            </w:r>
            <w:r>
              <w:rPr>
                <w:bCs/>
                <w:iCs/>
                <w:color w:val="000000"/>
              </w:rPr>
              <w:t>9</w:t>
            </w:r>
            <w:r>
              <w:rPr>
                <w:bCs/>
                <w:iCs/>
                <w:color w:val="000000"/>
              </w:rPr>
              <w:t>月</w:t>
            </w:r>
            <w:r w:rsidR="006C4D8B">
              <w:rPr>
                <w:bCs/>
                <w:iCs/>
                <w:color w:val="000000"/>
              </w:rPr>
              <w:t>23</w:t>
            </w:r>
            <w:r>
              <w:rPr>
                <w:bCs/>
                <w:iCs/>
                <w:color w:val="000000"/>
              </w:rPr>
              <w:t>日</w:t>
            </w:r>
          </w:p>
        </w:tc>
      </w:tr>
    </w:tbl>
    <w:p w:rsidR="00513A13" w:rsidRDefault="00513A13">
      <w:pPr>
        <w:spacing w:line="240" w:lineRule="auto"/>
        <w:ind w:firstLineChars="0" w:firstLine="0"/>
      </w:pPr>
    </w:p>
    <w:sectPr w:rsidR="00513A13">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34F" w:rsidRDefault="0068034F">
      <w:pPr>
        <w:spacing w:line="240" w:lineRule="auto"/>
        <w:ind w:firstLine="480"/>
      </w:pPr>
      <w:r>
        <w:separator/>
      </w:r>
    </w:p>
  </w:endnote>
  <w:endnote w:type="continuationSeparator" w:id="0">
    <w:p w:rsidR="0068034F" w:rsidRDefault="0068034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瀹嬩綋">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A13" w:rsidRDefault="00513A1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A13" w:rsidRDefault="00513A1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A13" w:rsidRDefault="00513A1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34F" w:rsidRDefault="0068034F">
      <w:pPr>
        <w:ind w:firstLine="480"/>
      </w:pPr>
      <w:r>
        <w:separator/>
      </w:r>
    </w:p>
  </w:footnote>
  <w:footnote w:type="continuationSeparator" w:id="0">
    <w:p w:rsidR="0068034F" w:rsidRDefault="0068034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A13" w:rsidRDefault="00513A13">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A13" w:rsidRDefault="00513A13">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A13" w:rsidRDefault="00513A13">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kMDhiNzAyZGI2YTA4NjZmMTkxM2JiYjNhNDRiZjEifQ=="/>
  </w:docVars>
  <w:rsids>
    <w:rsidRoot w:val="421A00E8"/>
    <w:rsid w:val="00001D2B"/>
    <w:rsid w:val="0000604E"/>
    <w:rsid w:val="0005269E"/>
    <w:rsid w:val="00063468"/>
    <w:rsid w:val="00064FC3"/>
    <w:rsid w:val="00072EC7"/>
    <w:rsid w:val="00077E67"/>
    <w:rsid w:val="00081CA4"/>
    <w:rsid w:val="000966EF"/>
    <w:rsid w:val="000A2D4D"/>
    <w:rsid w:val="000C6D5F"/>
    <w:rsid w:val="000F0489"/>
    <w:rsid w:val="000F72AF"/>
    <w:rsid w:val="001245FA"/>
    <w:rsid w:val="00135185"/>
    <w:rsid w:val="001365C1"/>
    <w:rsid w:val="00155473"/>
    <w:rsid w:val="0015704E"/>
    <w:rsid w:val="0017012E"/>
    <w:rsid w:val="001A5D86"/>
    <w:rsid w:val="001D5C86"/>
    <w:rsid w:val="0021391B"/>
    <w:rsid w:val="00236A00"/>
    <w:rsid w:val="00237E79"/>
    <w:rsid w:val="0024415A"/>
    <w:rsid w:val="00263CFE"/>
    <w:rsid w:val="00270B35"/>
    <w:rsid w:val="0027744C"/>
    <w:rsid w:val="002971E8"/>
    <w:rsid w:val="002A03E5"/>
    <w:rsid w:val="002B06D1"/>
    <w:rsid w:val="002B2A83"/>
    <w:rsid w:val="002B3468"/>
    <w:rsid w:val="002C50F8"/>
    <w:rsid w:val="002D54CE"/>
    <w:rsid w:val="002E7B76"/>
    <w:rsid w:val="003154F4"/>
    <w:rsid w:val="0033461E"/>
    <w:rsid w:val="00351C53"/>
    <w:rsid w:val="0037010F"/>
    <w:rsid w:val="00390192"/>
    <w:rsid w:val="003B34E6"/>
    <w:rsid w:val="003D5FBB"/>
    <w:rsid w:val="003D65A8"/>
    <w:rsid w:val="003F1A1B"/>
    <w:rsid w:val="00401E62"/>
    <w:rsid w:val="00414CC0"/>
    <w:rsid w:val="00485569"/>
    <w:rsid w:val="004C6129"/>
    <w:rsid w:val="004E3520"/>
    <w:rsid w:val="004F40B9"/>
    <w:rsid w:val="00506414"/>
    <w:rsid w:val="005122BC"/>
    <w:rsid w:val="00513A13"/>
    <w:rsid w:val="00537400"/>
    <w:rsid w:val="005829F4"/>
    <w:rsid w:val="005C379B"/>
    <w:rsid w:val="005F3501"/>
    <w:rsid w:val="00603E07"/>
    <w:rsid w:val="00604039"/>
    <w:rsid w:val="006337EB"/>
    <w:rsid w:val="00634A02"/>
    <w:rsid w:val="006436B2"/>
    <w:rsid w:val="00677030"/>
    <w:rsid w:val="0068034F"/>
    <w:rsid w:val="00681A16"/>
    <w:rsid w:val="00681D02"/>
    <w:rsid w:val="006A01B1"/>
    <w:rsid w:val="006A2197"/>
    <w:rsid w:val="006B2597"/>
    <w:rsid w:val="006B2E62"/>
    <w:rsid w:val="006C4658"/>
    <w:rsid w:val="006C4D8B"/>
    <w:rsid w:val="006E790B"/>
    <w:rsid w:val="007262B1"/>
    <w:rsid w:val="007328DC"/>
    <w:rsid w:val="00735407"/>
    <w:rsid w:val="00763270"/>
    <w:rsid w:val="00846FD9"/>
    <w:rsid w:val="0088448D"/>
    <w:rsid w:val="00890DBA"/>
    <w:rsid w:val="008A7CF6"/>
    <w:rsid w:val="008D0FBF"/>
    <w:rsid w:val="008E3C20"/>
    <w:rsid w:val="008F77BB"/>
    <w:rsid w:val="0092118D"/>
    <w:rsid w:val="00926CA1"/>
    <w:rsid w:val="00954A0C"/>
    <w:rsid w:val="009677F3"/>
    <w:rsid w:val="009A2C82"/>
    <w:rsid w:val="009A7DD2"/>
    <w:rsid w:val="009D7198"/>
    <w:rsid w:val="009E2491"/>
    <w:rsid w:val="00A22D29"/>
    <w:rsid w:val="00A26F73"/>
    <w:rsid w:val="00A33EBB"/>
    <w:rsid w:val="00A50F81"/>
    <w:rsid w:val="00A73B84"/>
    <w:rsid w:val="00A76B98"/>
    <w:rsid w:val="00AA021C"/>
    <w:rsid w:val="00AA23FA"/>
    <w:rsid w:val="00AD317C"/>
    <w:rsid w:val="00AD67E0"/>
    <w:rsid w:val="00AE190D"/>
    <w:rsid w:val="00B15B2F"/>
    <w:rsid w:val="00B26E56"/>
    <w:rsid w:val="00B314A3"/>
    <w:rsid w:val="00B367A4"/>
    <w:rsid w:val="00B37457"/>
    <w:rsid w:val="00B87D00"/>
    <w:rsid w:val="00BA4D2D"/>
    <w:rsid w:val="00BE217C"/>
    <w:rsid w:val="00C01893"/>
    <w:rsid w:val="00C34692"/>
    <w:rsid w:val="00C40F6C"/>
    <w:rsid w:val="00C73805"/>
    <w:rsid w:val="00C760B0"/>
    <w:rsid w:val="00C95628"/>
    <w:rsid w:val="00CF0BDA"/>
    <w:rsid w:val="00D010CB"/>
    <w:rsid w:val="00D023E4"/>
    <w:rsid w:val="00D20B7D"/>
    <w:rsid w:val="00D319F9"/>
    <w:rsid w:val="00D36E0D"/>
    <w:rsid w:val="00D64F2C"/>
    <w:rsid w:val="00D65BCC"/>
    <w:rsid w:val="00D867DF"/>
    <w:rsid w:val="00DB467D"/>
    <w:rsid w:val="00DC6DB7"/>
    <w:rsid w:val="00DE305F"/>
    <w:rsid w:val="00DE400C"/>
    <w:rsid w:val="00E06CE8"/>
    <w:rsid w:val="00E10695"/>
    <w:rsid w:val="00E33C86"/>
    <w:rsid w:val="00E46C0D"/>
    <w:rsid w:val="00E655C2"/>
    <w:rsid w:val="00E932C3"/>
    <w:rsid w:val="00EE5002"/>
    <w:rsid w:val="00F50ABE"/>
    <w:rsid w:val="00FD1285"/>
    <w:rsid w:val="01852063"/>
    <w:rsid w:val="02760E3B"/>
    <w:rsid w:val="0321400D"/>
    <w:rsid w:val="036A7762"/>
    <w:rsid w:val="05260C54"/>
    <w:rsid w:val="05DD0407"/>
    <w:rsid w:val="05E337FC"/>
    <w:rsid w:val="069B135D"/>
    <w:rsid w:val="070842DC"/>
    <w:rsid w:val="070A727B"/>
    <w:rsid w:val="0726123E"/>
    <w:rsid w:val="0731192F"/>
    <w:rsid w:val="076F3599"/>
    <w:rsid w:val="086E30CB"/>
    <w:rsid w:val="087D7BFC"/>
    <w:rsid w:val="08C64073"/>
    <w:rsid w:val="08D24321"/>
    <w:rsid w:val="09412D13"/>
    <w:rsid w:val="099B1D4D"/>
    <w:rsid w:val="09D102B6"/>
    <w:rsid w:val="09DF6945"/>
    <w:rsid w:val="09F328D9"/>
    <w:rsid w:val="0A220E20"/>
    <w:rsid w:val="0A4B12B3"/>
    <w:rsid w:val="0AE422C6"/>
    <w:rsid w:val="0B037A92"/>
    <w:rsid w:val="0B7256FC"/>
    <w:rsid w:val="0B8401A9"/>
    <w:rsid w:val="0C660EC7"/>
    <w:rsid w:val="0C7E7C46"/>
    <w:rsid w:val="0CD12600"/>
    <w:rsid w:val="0D2235D4"/>
    <w:rsid w:val="0D5D11BA"/>
    <w:rsid w:val="0DCA3C27"/>
    <w:rsid w:val="0DD81262"/>
    <w:rsid w:val="0E6619A5"/>
    <w:rsid w:val="0ECE7CE8"/>
    <w:rsid w:val="0F1113DA"/>
    <w:rsid w:val="0F5117D6"/>
    <w:rsid w:val="0F7A0F1C"/>
    <w:rsid w:val="0F925474"/>
    <w:rsid w:val="103F5AD3"/>
    <w:rsid w:val="10A312B4"/>
    <w:rsid w:val="10B20618"/>
    <w:rsid w:val="119500A0"/>
    <w:rsid w:val="11A958FA"/>
    <w:rsid w:val="11B6115E"/>
    <w:rsid w:val="11BA3663"/>
    <w:rsid w:val="11BB562D"/>
    <w:rsid w:val="121D3BF2"/>
    <w:rsid w:val="126C4455"/>
    <w:rsid w:val="12F30075"/>
    <w:rsid w:val="138A5F38"/>
    <w:rsid w:val="13DF6C1A"/>
    <w:rsid w:val="13EE43C3"/>
    <w:rsid w:val="15042DCB"/>
    <w:rsid w:val="15154AEF"/>
    <w:rsid w:val="15D90184"/>
    <w:rsid w:val="1635389E"/>
    <w:rsid w:val="16573B76"/>
    <w:rsid w:val="166C5E7A"/>
    <w:rsid w:val="169C5A2D"/>
    <w:rsid w:val="169F376F"/>
    <w:rsid w:val="16CA07EC"/>
    <w:rsid w:val="16D871BB"/>
    <w:rsid w:val="16FC7880"/>
    <w:rsid w:val="17EA6C51"/>
    <w:rsid w:val="18000331"/>
    <w:rsid w:val="180876B7"/>
    <w:rsid w:val="18C9566A"/>
    <w:rsid w:val="18DF304D"/>
    <w:rsid w:val="18F845CE"/>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F2305DA"/>
    <w:rsid w:val="1F572E39"/>
    <w:rsid w:val="1F8B2AE2"/>
    <w:rsid w:val="1FDE70B6"/>
    <w:rsid w:val="20C55EE0"/>
    <w:rsid w:val="20D46448"/>
    <w:rsid w:val="2113029B"/>
    <w:rsid w:val="211C60E8"/>
    <w:rsid w:val="21582E98"/>
    <w:rsid w:val="21785046"/>
    <w:rsid w:val="220A2C61"/>
    <w:rsid w:val="220D5A31"/>
    <w:rsid w:val="22A2261D"/>
    <w:rsid w:val="237256DF"/>
    <w:rsid w:val="23C16186"/>
    <w:rsid w:val="243248B3"/>
    <w:rsid w:val="24BA1251"/>
    <w:rsid w:val="25B032A3"/>
    <w:rsid w:val="25F53697"/>
    <w:rsid w:val="271E64A6"/>
    <w:rsid w:val="273D6BFC"/>
    <w:rsid w:val="27C42DE0"/>
    <w:rsid w:val="2875754E"/>
    <w:rsid w:val="28A6330A"/>
    <w:rsid w:val="28F26962"/>
    <w:rsid w:val="29464110"/>
    <w:rsid w:val="296B27BD"/>
    <w:rsid w:val="297C1854"/>
    <w:rsid w:val="29C66496"/>
    <w:rsid w:val="2A6232D9"/>
    <w:rsid w:val="2A9801E3"/>
    <w:rsid w:val="2A9C2048"/>
    <w:rsid w:val="2B8723B0"/>
    <w:rsid w:val="2BCF1785"/>
    <w:rsid w:val="2BD20FFC"/>
    <w:rsid w:val="2BF10937"/>
    <w:rsid w:val="2C0461E6"/>
    <w:rsid w:val="2C1D0DE3"/>
    <w:rsid w:val="2CAE16B2"/>
    <w:rsid w:val="2CD967A8"/>
    <w:rsid w:val="2CF33D99"/>
    <w:rsid w:val="2D502C75"/>
    <w:rsid w:val="2D990AC0"/>
    <w:rsid w:val="2DB96A6D"/>
    <w:rsid w:val="2E0942F9"/>
    <w:rsid w:val="2E615D08"/>
    <w:rsid w:val="2F2D3A13"/>
    <w:rsid w:val="30332B06"/>
    <w:rsid w:val="30616556"/>
    <w:rsid w:val="30F1618A"/>
    <w:rsid w:val="313034EA"/>
    <w:rsid w:val="31422069"/>
    <w:rsid w:val="3147705B"/>
    <w:rsid w:val="31F97D80"/>
    <w:rsid w:val="321B062D"/>
    <w:rsid w:val="32A80181"/>
    <w:rsid w:val="32FB4313"/>
    <w:rsid w:val="332A12C2"/>
    <w:rsid w:val="33350C99"/>
    <w:rsid w:val="333F7A14"/>
    <w:rsid w:val="334D4E72"/>
    <w:rsid w:val="33756FB2"/>
    <w:rsid w:val="33E74334"/>
    <w:rsid w:val="33F21F69"/>
    <w:rsid w:val="344D7F0F"/>
    <w:rsid w:val="34A262E1"/>
    <w:rsid w:val="34AB38D1"/>
    <w:rsid w:val="350902DA"/>
    <w:rsid w:val="3538471B"/>
    <w:rsid w:val="35467305"/>
    <w:rsid w:val="35523A2F"/>
    <w:rsid w:val="355359F9"/>
    <w:rsid w:val="360E0311"/>
    <w:rsid w:val="363751AC"/>
    <w:rsid w:val="369B31B3"/>
    <w:rsid w:val="36D641EB"/>
    <w:rsid w:val="36FA722C"/>
    <w:rsid w:val="373C01E0"/>
    <w:rsid w:val="37C02A49"/>
    <w:rsid w:val="38D24DAB"/>
    <w:rsid w:val="393A4F06"/>
    <w:rsid w:val="3A8F302F"/>
    <w:rsid w:val="3AAD79C2"/>
    <w:rsid w:val="3AAF722D"/>
    <w:rsid w:val="3AD663DF"/>
    <w:rsid w:val="3AE74C2D"/>
    <w:rsid w:val="3B0D5063"/>
    <w:rsid w:val="3B947CD8"/>
    <w:rsid w:val="3B9C7819"/>
    <w:rsid w:val="3D0929B2"/>
    <w:rsid w:val="3D732DB4"/>
    <w:rsid w:val="3D8B35C2"/>
    <w:rsid w:val="3DEA5509"/>
    <w:rsid w:val="3DFF04CC"/>
    <w:rsid w:val="3EB94B1E"/>
    <w:rsid w:val="3EBC460F"/>
    <w:rsid w:val="3EDE57C4"/>
    <w:rsid w:val="3F010273"/>
    <w:rsid w:val="3F255940"/>
    <w:rsid w:val="3F7942AE"/>
    <w:rsid w:val="3F7E511A"/>
    <w:rsid w:val="3FE21909"/>
    <w:rsid w:val="402204A1"/>
    <w:rsid w:val="404B5A35"/>
    <w:rsid w:val="40AD77A5"/>
    <w:rsid w:val="413A5BBD"/>
    <w:rsid w:val="4191768D"/>
    <w:rsid w:val="41A77371"/>
    <w:rsid w:val="421A00E8"/>
    <w:rsid w:val="428159D7"/>
    <w:rsid w:val="428E5D95"/>
    <w:rsid w:val="42F11136"/>
    <w:rsid w:val="4315253F"/>
    <w:rsid w:val="43282273"/>
    <w:rsid w:val="43963180"/>
    <w:rsid w:val="43B45FE5"/>
    <w:rsid w:val="43C95804"/>
    <w:rsid w:val="44074D8C"/>
    <w:rsid w:val="44783E70"/>
    <w:rsid w:val="44E74A1A"/>
    <w:rsid w:val="452A17CA"/>
    <w:rsid w:val="45B35CD2"/>
    <w:rsid w:val="46491165"/>
    <w:rsid w:val="46B1257F"/>
    <w:rsid w:val="470E79D1"/>
    <w:rsid w:val="480B792A"/>
    <w:rsid w:val="480C2163"/>
    <w:rsid w:val="48226E12"/>
    <w:rsid w:val="48677399"/>
    <w:rsid w:val="49365ADC"/>
    <w:rsid w:val="498A77E3"/>
    <w:rsid w:val="498B6D54"/>
    <w:rsid w:val="49FF5D06"/>
    <w:rsid w:val="4A275032"/>
    <w:rsid w:val="4A5C671F"/>
    <w:rsid w:val="4A7144FF"/>
    <w:rsid w:val="4A8A4060"/>
    <w:rsid w:val="4B0435C5"/>
    <w:rsid w:val="4B5D2CD5"/>
    <w:rsid w:val="4C0E0F2C"/>
    <w:rsid w:val="4C1C3566"/>
    <w:rsid w:val="4C743C8F"/>
    <w:rsid w:val="4C973DD0"/>
    <w:rsid w:val="4CCE063F"/>
    <w:rsid w:val="4D691D3D"/>
    <w:rsid w:val="4DE34C75"/>
    <w:rsid w:val="4EFA2326"/>
    <w:rsid w:val="4F141C5B"/>
    <w:rsid w:val="4F2A278D"/>
    <w:rsid w:val="50937738"/>
    <w:rsid w:val="5124051D"/>
    <w:rsid w:val="5191021A"/>
    <w:rsid w:val="51C413B8"/>
    <w:rsid w:val="51D35A9F"/>
    <w:rsid w:val="51DC4954"/>
    <w:rsid w:val="51FD5486"/>
    <w:rsid w:val="52252A8C"/>
    <w:rsid w:val="525B1CAD"/>
    <w:rsid w:val="52696B6E"/>
    <w:rsid w:val="526A31DC"/>
    <w:rsid w:val="533956A0"/>
    <w:rsid w:val="53566988"/>
    <w:rsid w:val="535B607A"/>
    <w:rsid w:val="536D782E"/>
    <w:rsid w:val="53DD0E57"/>
    <w:rsid w:val="546608B4"/>
    <w:rsid w:val="546828EF"/>
    <w:rsid w:val="54893697"/>
    <w:rsid w:val="5658621E"/>
    <w:rsid w:val="565C2507"/>
    <w:rsid w:val="566B7B47"/>
    <w:rsid w:val="5691220A"/>
    <w:rsid w:val="56A33C92"/>
    <w:rsid w:val="57087F99"/>
    <w:rsid w:val="5714693E"/>
    <w:rsid w:val="577C4B7A"/>
    <w:rsid w:val="57914433"/>
    <w:rsid w:val="583E6D91"/>
    <w:rsid w:val="585202CE"/>
    <w:rsid w:val="5853404D"/>
    <w:rsid w:val="585A2A77"/>
    <w:rsid w:val="58D2085F"/>
    <w:rsid w:val="590F1AB3"/>
    <w:rsid w:val="595F0AA1"/>
    <w:rsid w:val="59802BFB"/>
    <w:rsid w:val="59A82DA4"/>
    <w:rsid w:val="59AD307A"/>
    <w:rsid w:val="5A1B369A"/>
    <w:rsid w:val="5A1F4951"/>
    <w:rsid w:val="5A984EB0"/>
    <w:rsid w:val="5AC06FC6"/>
    <w:rsid w:val="5AD11B61"/>
    <w:rsid w:val="5ADC3C17"/>
    <w:rsid w:val="5B4812AC"/>
    <w:rsid w:val="5B50206A"/>
    <w:rsid w:val="5B8D3163"/>
    <w:rsid w:val="5BB35DCB"/>
    <w:rsid w:val="5BBB382C"/>
    <w:rsid w:val="5BC64C07"/>
    <w:rsid w:val="5BE45F24"/>
    <w:rsid w:val="5C28646B"/>
    <w:rsid w:val="5C8A31FF"/>
    <w:rsid w:val="5C975B35"/>
    <w:rsid w:val="5CDC2A68"/>
    <w:rsid w:val="5CED69AD"/>
    <w:rsid w:val="5D610403"/>
    <w:rsid w:val="5DB00ACF"/>
    <w:rsid w:val="5DB50BEA"/>
    <w:rsid w:val="5DEF1EB3"/>
    <w:rsid w:val="5F487ACD"/>
    <w:rsid w:val="5FAB3D7E"/>
    <w:rsid w:val="5FC73AE4"/>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736738"/>
    <w:rsid w:val="63950E07"/>
    <w:rsid w:val="63A4729C"/>
    <w:rsid w:val="63AB4186"/>
    <w:rsid w:val="643C54C2"/>
    <w:rsid w:val="64A7791B"/>
    <w:rsid w:val="64E72007"/>
    <w:rsid w:val="65081772"/>
    <w:rsid w:val="65130235"/>
    <w:rsid w:val="651359D4"/>
    <w:rsid w:val="656A7A0B"/>
    <w:rsid w:val="65B23EF2"/>
    <w:rsid w:val="65D85B03"/>
    <w:rsid w:val="66372649"/>
    <w:rsid w:val="670071F1"/>
    <w:rsid w:val="674E7C4A"/>
    <w:rsid w:val="67672ABA"/>
    <w:rsid w:val="67965CD2"/>
    <w:rsid w:val="67A96C2F"/>
    <w:rsid w:val="67EA28E8"/>
    <w:rsid w:val="681A3274"/>
    <w:rsid w:val="68352C25"/>
    <w:rsid w:val="683706DE"/>
    <w:rsid w:val="690D65E2"/>
    <w:rsid w:val="692923AE"/>
    <w:rsid w:val="695E6FEA"/>
    <w:rsid w:val="69677B23"/>
    <w:rsid w:val="696D635C"/>
    <w:rsid w:val="69F06698"/>
    <w:rsid w:val="6A7A254F"/>
    <w:rsid w:val="6A8D3E81"/>
    <w:rsid w:val="6AD41B9F"/>
    <w:rsid w:val="6B095ECC"/>
    <w:rsid w:val="6B5B2176"/>
    <w:rsid w:val="6B8660E8"/>
    <w:rsid w:val="6BD24A49"/>
    <w:rsid w:val="6BE4624A"/>
    <w:rsid w:val="6C091C4C"/>
    <w:rsid w:val="6C150AF4"/>
    <w:rsid w:val="6CA67BE1"/>
    <w:rsid w:val="6CD54F42"/>
    <w:rsid w:val="6D13480F"/>
    <w:rsid w:val="6D24268C"/>
    <w:rsid w:val="6E056B89"/>
    <w:rsid w:val="6E565636"/>
    <w:rsid w:val="6ECC4355"/>
    <w:rsid w:val="6F280D81"/>
    <w:rsid w:val="6F381049"/>
    <w:rsid w:val="6FC8230E"/>
    <w:rsid w:val="6FE8093F"/>
    <w:rsid w:val="700823C4"/>
    <w:rsid w:val="702305E1"/>
    <w:rsid w:val="702932C7"/>
    <w:rsid w:val="7104581E"/>
    <w:rsid w:val="710857EE"/>
    <w:rsid w:val="71D01737"/>
    <w:rsid w:val="71D7083C"/>
    <w:rsid w:val="72694884"/>
    <w:rsid w:val="735D2FC3"/>
    <w:rsid w:val="73C16D4D"/>
    <w:rsid w:val="746A3BCE"/>
    <w:rsid w:val="75681C87"/>
    <w:rsid w:val="75871EE4"/>
    <w:rsid w:val="7621378B"/>
    <w:rsid w:val="7626077B"/>
    <w:rsid w:val="76402E45"/>
    <w:rsid w:val="766C59F7"/>
    <w:rsid w:val="768E1E11"/>
    <w:rsid w:val="773D3837"/>
    <w:rsid w:val="776B5CAF"/>
    <w:rsid w:val="78F12E51"/>
    <w:rsid w:val="799A7812"/>
    <w:rsid w:val="79F20909"/>
    <w:rsid w:val="79FC52E4"/>
    <w:rsid w:val="7A444ABF"/>
    <w:rsid w:val="7A931D3D"/>
    <w:rsid w:val="7AE746E5"/>
    <w:rsid w:val="7AE85672"/>
    <w:rsid w:val="7B986CF0"/>
    <w:rsid w:val="7B9E7A95"/>
    <w:rsid w:val="7C1A5EF5"/>
    <w:rsid w:val="7C4411C4"/>
    <w:rsid w:val="7C6B04FF"/>
    <w:rsid w:val="7DAF5C99"/>
    <w:rsid w:val="7DBB1012"/>
    <w:rsid w:val="7DDA520A"/>
    <w:rsid w:val="7EAA1892"/>
    <w:rsid w:val="7ECC2A49"/>
    <w:rsid w:val="7F087BEA"/>
    <w:rsid w:val="7F405C73"/>
    <w:rsid w:val="7F6148CC"/>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54E1A6-ED6D-4B08-8A06-ABA3FDC7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alloon Text"/>
    <w:basedOn w:val="a"/>
    <w:link w:val="Char0"/>
    <w:autoRedefine/>
    <w:qFormat/>
    <w:pPr>
      <w:spacing w:line="240" w:lineRule="auto"/>
    </w:pPr>
    <w:rPr>
      <w:sz w:val="18"/>
      <w:szCs w:val="18"/>
    </w:rPr>
  </w:style>
  <w:style w:type="paragraph" w:styleId="a5">
    <w:name w:val="footer"/>
    <w:basedOn w:val="a"/>
    <w:link w:val="Char1"/>
    <w:autoRedefine/>
    <w:qFormat/>
    <w:pPr>
      <w:tabs>
        <w:tab w:val="center" w:pos="4153"/>
        <w:tab w:val="right" w:pos="8306"/>
      </w:tabs>
      <w:snapToGrid w:val="0"/>
      <w:spacing w:line="240" w:lineRule="auto"/>
      <w:jc w:val="left"/>
    </w:pPr>
    <w:rPr>
      <w:sz w:val="18"/>
      <w:szCs w:val="18"/>
    </w:rPr>
  </w:style>
  <w:style w:type="paragraph" w:styleId="a6">
    <w:name w:val="header"/>
    <w:basedOn w:val="a"/>
    <w:link w:val="Char2"/>
    <w:autoRedefine/>
    <w:qFormat/>
    <w:pPr>
      <w:tabs>
        <w:tab w:val="center" w:pos="4153"/>
        <w:tab w:val="right" w:pos="8306"/>
      </w:tabs>
      <w:snapToGrid w:val="0"/>
      <w:spacing w:line="240" w:lineRule="auto"/>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rPr>
  </w:style>
  <w:style w:type="paragraph" w:styleId="a7">
    <w:name w:val="Normal (Web)"/>
    <w:basedOn w:val="a"/>
    <w:qFormat/>
    <w:pPr>
      <w:spacing w:beforeAutospacing="1" w:afterAutospacing="1"/>
      <w:jc w:val="left"/>
    </w:pPr>
    <w:rPr>
      <w:kern w:val="0"/>
    </w:rPr>
  </w:style>
  <w:style w:type="paragraph" w:styleId="a8">
    <w:name w:val="annotation subject"/>
    <w:basedOn w:val="a3"/>
    <w:next w:val="a3"/>
    <w:link w:val="Char3"/>
    <w:autoRedefine/>
    <w:qFormat/>
    <w:rPr>
      <w:b/>
      <w:bCs/>
    </w:rPr>
  </w:style>
  <w:style w:type="character" w:styleId="a9">
    <w:name w:val="Strong"/>
    <w:basedOn w:val="a0"/>
    <w:qFormat/>
    <w:rPr>
      <w:b/>
    </w:rPr>
  </w:style>
  <w:style w:type="character" w:styleId="aa">
    <w:name w:val="annotation reference"/>
    <w:basedOn w:val="a0"/>
    <w:autoRedefine/>
    <w:qFormat/>
    <w:rPr>
      <w:sz w:val="21"/>
      <w:szCs w:val="21"/>
    </w:rPr>
  </w:style>
  <w:style w:type="character" w:customStyle="1" w:styleId="Char0">
    <w:name w:val="批注框文本 Char"/>
    <w:basedOn w:val="a0"/>
    <w:link w:val="a4"/>
    <w:autoRedefine/>
    <w:qFormat/>
    <w:rPr>
      <w:kern w:val="2"/>
      <w:sz w:val="18"/>
      <w:szCs w:val="18"/>
    </w:rPr>
  </w:style>
  <w:style w:type="character" w:customStyle="1" w:styleId="Char">
    <w:name w:val="批注文字 Char"/>
    <w:basedOn w:val="a0"/>
    <w:link w:val="a3"/>
    <w:autoRedefine/>
    <w:qFormat/>
    <w:rPr>
      <w:kern w:val="2"/>
      <w:sz w:val="24"/>
      <w:szCs w:val="24"/>
    </w:rPr>
  </w:style>
  <w:style w:type="character" w:customStyle="1" w:styleId="Char3">
    <w:name w:val="批注主题 Char"/>
    <w:basedOn w:val="Char"/>
    <w:link w:val="a8"/>
    <w:autoRedefine/>
    <w:qFormat/>
    <w:rPr>
      <w:b/>
      <w:bCs/>
      <w:kern w:val="2"/>
      <w:sz w:val="24"/>
      <w:szCs w:val="24"/>
    </w:rPr>
  </w:style>
  <w:style w:type="paragraph" w:customStyle="1" w:styleId="1">
    <w:name w:val="修订1"/>
    <w:autoRedefine/>
    <w:hidden/>
    <w:uiPriority w:val="99"/>
    <w:semiHidden/>
    <w:qFormat/>
    <w:rPr>
      <w:kern w:val="2"/>
      <w:sz w:val="24"/>
      <w:szCs w:val="24"/>
    </w:rPr>
  </w:style>
  <w:style w:type="character" w:customStyle="1" w:styleId="Char2">
    <w:name w:val="页眉 Char"/>
    <w:basedOn w:val="a0"/>
    <w:link w:val="a6"/>
    <w:autoRedefine/>
    <w:qFormat/>
    <w:rPr>
      <w:kern w:val="2"/>
      <w:sz w:val="18"/>
      <w:szCs w:val="18"/>
    </w:rPr>
  </w:style>
  <w:style w:type="character" w:customStyle="1" w:styleId="Char1">
    <w:name w:val="页脚 Char"/>
    <w:basedOn w:val="a0"/>
    <w:link w:val="a5"/>
    <w:autoRedefine/>
    <w:qFormat/>
    <w:rPr>
      <w:kern w:val="2"/>
      <w:sz w:val="18"/>
      <w:szCs w:val="18"/>
    </w:rPr>
  </w:style>
  <w:style w:type="paragraph" w:customStyle="1" w:styleId="2">
    <w:name w:val="修订2"/>
    <w:autoRedefine/>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872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031FE-9A9D-43FF-BEEE-ADBB9C2E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247</Words>
  <Characters>1411</Characters>
  <Application>Microsoft Office Word</Application>
  <DocSecurity>0</DocSecurity>
  <Lines>11</Lines>
  <Paragraphs>3</Paragraphs>
  <ScaleCrop>false</ScaleCrop>
  <Company>China</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倪清清</dc:creator>
  <cp:lastModifiedBy>21003</cp:lastModifiedBy>
  <cp:revision>28</cp:revision>
  <cp:lastPrinted>2024-01-02T06:55:00Z</cp:lastPrinted>
  <dcterms:created xsi:type="dcterms:W3CDTF">2024-01-02T06:49:00Z</dcterms:created>
  <dcterms:modified xsi:type="dcterms:W3CDTF">2024-09-23T05:34:00Z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F514B4D6229B403DB5A174E12533586C_13</vt:lpwstr>
  </property>
</Properties>
</file>