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0115A">
      <w:pPr>
        <w:spacing w:before="182" w:line="316" w:lineRule="auto"/>
        <w:ind w:left="2775" w:right="1919" w:hanging="842"/>
        <w:outlineLvl w:val="0"/>
        <w:rPr>
          <w:rFonts w:ascii="宋体" w:hAnsi="宋体" w:eastAsia="宋体" w:cs="宋体"/>
          <w:sz w:val="28"/>
          <w:szCs w:val="28"/>
        </w:rPr>
      </w:pPr>
      <w:r>
        <w:rPr>
          <w:rFonts w:ascii="宋体" w:hAnsi="宋体" w:eastAsia="宋体" w:cs="宋体"/>
          <w:b/>
          <w:bCs/>
          <w:spacing w:val="-3"/>
          <w:sz w:val="28"/>
          <w:szCs w:val="28"/>
        </w:rPr>
        <w:t>北京九州一轨环境科技股份有限公司</w:t>
      </w:r>
      <w:r>
        <w:rPr>
          <w:rFonts w:ascii="宋体" w:hAnsi="宋体" w:eastAsia="宋体" w:cs="宋体"/>
          <w:b/>
          <w:bCs/>
          <w:spacing w:val="-4"/>
          <w:sz w:val="28"/>
          <w:szCs w:val="28"/>
        </w:rPr>
        <w:t>投资者关系活动记录表</w:t>
      </w:r>
    </w:p>
    <w:p w14:paraId="077BCB6C">
      <w:pPr>
        <w:spacing w:before="153" w:line="211" w:lineRule="auto"/>
        <w:ind w:left="263"/>
        <w:rPr>
          <w:rFonts w:hint="eastAsia" w:ascii="Times New Roman" w:hAnsi="Times New Roman" w:eastAsia="宋体" w:cs="Times New Roman"/>
          <w:sz w:val="24"/>
          <w:szCs w:val="24"/>
          <w:highlight w:val="yellow"/>
          <w:lang w:eastAsia="zh-CN"/>
        </w:rPr>
      </w:pPr>
      <w:r>
        <w:rPr>
          <w:rFonts w:ascii="宋体" w:hAnsi="宋体" w:eastAsia="宋体" w:cs="宋体"/>
          <w:b/>
          <w:bCs/>
          <w:sz w:val="24"/>
          <w:szCs w:val="24"/>
        </w:rPr>
        <w:t>证券简称：九州一轨</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证券代</w:t>
      </w:r>
      <w:r>
        <w:rPr>
          <w:rFonts w:ascii="宋体" w:hAnsi="宋体" w:eastAsia="宋体" w:cs="宋体"/>
          <w:b/>
          <w:bCs/>
          <w:spacing w:val="-1"/>
          <w:sz w:val="24"/>
          <w:szCs w:val="24"/>
        </w:rPr>
        <w:t>码：</w:t>
      </w:r>
      <w:r>
        <w:rPr>
          <w:rFonts w:ascii="Times New Roman" w:hAnsi="Times New Roman" w:eastAsia="Times New Roman" w:cs="Times New Roman"/>
          <w:b/>
          <w:bCs/>
          <w:spacing w:val="-1"/>
          <w:sz w:val="24"/>
          <w:szCs w:val="24"/>
        </w:rPr>
        <w:t>688485</w:t>
      </w:r>
      <w:r>
        <w:rPr>
          <w:rFonts w:hint="eastAsia" w:ascii="Times New Roman" w:hAnsi="Times New Roman" w:eastAsia="宋体" w:cs="Times New Roman"/>
          <w:b/>
          <w:bCs/>
          <w:spacing w:val="-1"/>
          <w:sz w:val="24"/>
          <w:szCs w:val="24"/>
          <w:lang w:val="en-US" w:eastAsia="zh-CN"/>
        </w:rPr>
        <w:t xml:space="preserve">                    </w:t>
      </w:r>
      <w:r>
        <w:rPr>
          <w:rFonts w:ascii="宋体" w:hAnsi="宋体" w:eastAsia="宋体" w:cs="宋体"/>
          <w:b/>
          <w:bCs/>
          <w:spacing w:val="-1"/>
          <w:sz w:val="24"/>
          <w:szCs w:val="24"/>
        </w:rPr>
        <w:t>编号：</w:t>
      </w:r>
      <w:r>
        <w:rPr>
          <w:rFonts w:ascii="Times New Roman" w:hAnsi="Times New Roman" w:eastAsia="Times New Roman" w:cs="Times New Roman"/>
          <w:b/>
          <w:bCs/>
          <w:spacing w:val="-1"/>
          <w:sz w:val="24"/>
          <w:szCs w:val="24"/>
        </w:rPr>
        <w:t>2024-00</w:t>
      </w:r>
      <w:r>
        <w:rPr>
          <w:rFonts w:hint="eastAsia" w:ascii="Times New Roman" w:hAnsi="Times New Roman" w:eastAsia="宋体" w:cs="Times New Roman"/>
          <w:b/>
          <w:bCs/>
          <w:spacing w:val="-1"/>
          <w:sz w:val="24"/>
          <w:szCs w:val="24"/>
          <w:highlight w:val="none"/>
          <w:lang w:val="en-US" w:eastAsia="zh-CN"/>
        </w:rPr>
        <w:t>4</w:t>
      </w:r>
    </w:p>
    <w:p w14:paraId="36A97F2A"/>
    <w:tbl>
      <w:tblPr>
        <w:tblStyle w:val="5"/>
        <w:tblW w:w="8295"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5888"/>
      </w:tblGrid>
      <w:tr w14:paraId="75148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restart"/>
            <w:vAlign w:val="center"/>
          </w:tcPr>
          <w:p w14:paraId="0C833084">
            <w:pPr>
              <w:pStyle w:val="6"/>
              <w:spacing w:before="78" w:line="230" w:lineRule="auto"/>
              <w:ind w:right="477"/>
              <w:jc w:val="center"/>
              <w:rPr>
                <w:b/>
                <w:bCs/>
                <w:spacing w:val="-4"/>
              </w:rPr>
            </w:pPr>
            <w:r>
              <w:rPr>
                <w:b/>
                <w:bCs/>
                <w:spacing w:val="-4"/>
              </w:rPr>
              <w:t>投资者关系活动</w:t>
            </w:r>
            <w:r>
              <w:rPr>
                <w:b/>
                <w:bCs/>
                <w:spacing w:val="-7"/>
              </w:rPr>
              <w:t>类别</w:t>
            </w:r>
          </w:p>
        </w:tc>
        <w:tc>
          <w:tcPr>
            <w:tcW w:w="5888" w:type="dxa"/>
            <w:tcBorders>
              <w:bottom w:val="nil"/>
            </w:tcBorders>
            <w:vAlign w:val="center"/>
          </w:tcPr>
          <w:p w14:paraId="14B20653">
            <w:pPr>
              <w:pStyle w:val="6"/>
              <w:autoSpaceDE/>
              <w:autoSpaceDN/>
              <w:spacing w:before="115" w:line="200" w:lineRule="auto"/>
              <w:ind w:left="0" w:firstLine="246" w:firstLineChars="100"/>
              <w:rPr>
                <w:rFonts w:hint="default" w:eastAsia="微软雅黑"/>
                <w:lang w:val="en-US" w:eastAsia="zh-CN"/>
              </w:rPr>
            </w:pPr>
            <w:r>
              <w:rPr>
                <w:rFonts w:ascii="微软雅黑" w:hAnsi="微软雅黑" w:eastAsia="微软雅黑" w:cs="微软雅黑"/>
                <w:spacing w:val="3"/>
              </w:rPr>
              <w:sym w:font="Wingdings 2" w:char="0052"/>
            </w:r>
            <w:r>
              <w:rPr>
                <w:spacing w:val="3"/>
              </w:rPr>
              <w:t>特定对象调研</w:t>
            </w:r>
            <w:r>
              <w:rPr>
                <w:rFonts w:hint="eastAsia"/>
                <w:spacing w:val="3"/>
                <w:lang w:val="en-US" w:eastAsia="zh-CN"/>
              </w:rPr>
              <w:t xml:space="preserve">  </w:t>
            </w:r>
            <w:r>
              <w:rPr>
                <w:rFonts w:ascii="微软雅黑" w:hAnsi="微软雅黑" w:eastAsia="微软雅黑" w:cs="微软雅黑"/>
                <w:spacing w:val="3"/>
              </w:rPr>
              <w:sym w:font="Wingdings 2" w:char="00A3"/>
            </w:r>
            <w:r>
              <w:rPr>
                <w:rFonts w:hint="default" w:eastAsia="宋体"/>
                <w:spacing w:val="-5"/>
                <w:lang w:val="en-US" w:eastAsia="zh-CN"/>
              </w:rPr>
              <w:t>分析师会议</w:t>
            </w:r>
          </w:p>
          <w:p w14:paraId="3CB117ED">
            <w:pPr>
              <w:pStyle w:val="6"/>
              <w:spacing w:before="27" w:line="202" w:lineRule="auto"/>
              <w:ind w:firstLine="0" w:firstLineChars="0"/>
              <w:jc w:val="left"/>
            </w:pPr>
          </w:p>
        </w:tc>
      </w:tr>
      <w:tr w14:paraId="7CA8D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6B130788">
            <w:pPr>
              <w:pStyle w:val="6"/>
              <w:spacing w:before="78" w:line="230" w:lineRule="auto"/>
              <w:ind w:right="477"/>
              <w:jc w:val="center"/>
              <w:rPr>
                <w:b/>
                <w:bCs/>
                <w:spacing w:val="-4"/>
              </w:rPr>
            </w:pPr>
          </w:p>
        </w:tc>
        <w:tc>
          <w:tcPr>
            <w:tcW w:w="5888" w:type="dxa"/>
            <w:tcBorders>
              <w:top w:val="nil"/>
              <w:bottom w:val="nil"/>
            </w:tcBorders>
            <w:vAlign w:val="center"/>
          </w:tcPr>
          <w:p w14:paraId="2E818838">
            <w:pPr>
              <w:pStyle w:val="6"/>
              <w:spacing w:before="182" w:line="220" w:lineRule="auto"/>
              <w:ind w:left="0" w:firstLine="228" w:firstLineChars="100"/>
              <w:rPr>
                <w:rFonts w:hint="default" w:eastAsia="宋体"/>
                <w:lang w:val="en-US" w:eastAsia="zh-CN"/>
              </w:rPr>
            </w:pPr>
            <w:r>
              <w:rPr>
                <w:spacing w:val="-6"/>
              </w:rPr>
              <w:t>□媒体采访</w:t>
            </w:r>
            <w:r>
              <w:rPr>
                <w:rFonts w:hint="eastAsia"/>
                <w:spacing w:val="-6"/>
                <w:lang w:val="en-US" w:eastAsia="zh-CN"/>
              </w:rPr>
              <w:t xml:space="preserve">      </w:t>
            </w:r>
            <w:r>
              <w:rPr>
                <w:spacing w:val="-5"/>
              </w:rPr>
              <w:t>□业绩说明会</w:t>
            </w:r>
          </w:p>
          <w:p w14:paraId="1319A405">
            <w:pPr>
              <w:pStyle w:val="6"/>
              <w:spacing w:before="27" w:line="202" w:lineRule="auto"/>
              <w:ind w:firstLine="960" w:firstLineChars="400"/>
              <w:jc w:val="left"/>
            </w:pPr>
          </w:p>
        </w:tc>
      </w:tr>
      <w:tr w14:paraId="2035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6FE942A3">
            <w:pPr>
              <w:pStyle w:val="6"/>
              <w:spacing w:before="78" w:line="230" w:lineRule="auto"/>
              <w:ind w:right="477"/>
              <w:jc w:val="center"/>
              <w:rPr>
                <w:b/>
                <w:bCs/>
                <w:spacing w:val="-4"/>
              </w:rPr>
            </w:pPr>
          </w:p>
        </w:tc>
        <w:tc>
          <w:tcPr>
            <w:tcW w:w="5888" w:type="dxa"/>
            <w:tcBorders>
              <w:top w:val="nil"/>
              <w:bottom w:val="nil"/>
            </w:tcBorders>
            <w:vAlign w:val="center"/>
          </w:tcPr>
          <w:p w14:paraId="07A894CE">
            <w:pPr>
              <w:pStyle w:val="6"/>
              <w:autoSpaceDE/>
              <w:autoSpaceDN/>
              <w:spacing w:before="182" w:line="221" w:lineRule="auto"/>
              <w:ind w:left="0" w:firstLine="230" w:firstLineChars="100"/>
              <w:rPr>
                <w:rFonts w:hint="default" w:eastAsia="宋体"/>
                <w:lang w:val="en-US" w:eastAsia="zh-CN"/>
              </w:rPr>
            </w:pPr>
            <w:r>
              <w:rPr>
                <w:spacing w:val="-5"/>
              </w:rPr>
              <w:t>□新闻发布会</w:t>
            </w:r>
            <w:r>
              <w:rPr>
                <w:rFonts w:hint="eastAsia"/>
                <w:spacing w:val="-5"/>
                <w:lang w:val="en-US" w:eastAsia="zh-CN"/>
              </w:rPr>
              <w:t xml:space="preserve">    </w:t>
            </w:r>
            <w:r>
              <w:rPr>
                <w:rFonts w:hint="eastAsia"/>
                <w:spacing w:val="-6"/>
                <w:lang w:eastAsia="zh-CN"/>
              </w:rPr>
              <w:t>□</w:t>
            </w:r>
            <w:r>
              <w:rPr>
                <w:spacing w:val="-6"/>
              </w:rPr>
              <w:t>路演活动</w:t>
            </w:r>
          </w:p>
          <w:p w14:paraId="4909A4B7">
            <w:pPr>
              <w:pStyle w:val="6"/>
              <w:spacing w:before="27" w:line="202" w:lineRule="auto"/>
              <w:ind w:firstLine="960" w:firstLineChars="400"/>
              <w:jc w:val="left"/>
            </w:pPr>
          </w:p>
        </w:tc>
      </w:tr>
      <w:tr w14:paraId="659B5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111C57C6">
            <w:pPr>
              <w:pStyle w:val="6"/>
              <w:spacing w:before="78" w:line="230" w:lineRule="auto"/>
              <w:ind w:right="477"/>
              <w:jc w:val="center"/>
              <w:rPr>
                <w:b/>
                <w:bCs/>
                <w:spacing w:val="-4"/>
              </w:rPr>
            </w:pPr>
          </w:p>
        </w:tc>
        <w:tc>
          <w:tcPr>
            <w:tcW w:w="5888" w:type="dxa"/>
            <w:tcBorders>
              <w:top w:val="nil"/>
            </w:tcBorders>
            <w:vAlign w:val="center"/>
          </w:tcPr>
          <w:p w14:paraId="42A963A0">
            <w:pPr>
              <w:pStyle w:val="6"/>
              <w:autoSpaceDE/>
              <w:autoSpaceDN/>
              <w:spacing w:before="27" w:line="202" w:lineRule="auto"/>
              <w:ind w:firstLine="254" w:firstLineChars="100"/>
              <w:jc w:val="left"/>
              <w:rPr>
                <w:rFonts w:hint="default" w:eastAsia="宋体"/>
                <w:lang w:val="en-US" w:eastAsia="zh-CN"/>
              </w:rPr>
            </w:pPr>
            <w:r>
              <w:rPr>
                <w:rFonts w:ascii="微软雅黑" w:hAnsi="微软雅黑" w:eastAsia="微软雅黑" w:cs="微软雅黑"/>
                <w:spacing w:val="7"/>
              </w:rPr>
              <w:sym w:font="Wingdings 2" w:char="00A3"/>
            </w:r>
            <w:r>
              <w:rPr>
                <w:spacing w:val="7"/>
              </w:rPr>
              <w:t>现场参观</w:t>
            </w:r>
            <w:r>
              <w:rPr>
                <w:rFonts w:hint="eastAsia"/>
                <w:spacing w:val="7"/>
                <w:lang w:val="en-US" w:eastAsia="zh-CN"/>
              </w:rPr>
              <w:t xml:space="preserve">     </w:t>
            </w:r>
            <w:r>
              <w:rPr>
                <w:spacing w:val="-6"/>
              </w:rPr>
              <w:sym w:font="Wingdings 2" w:char="00A3"/>
            </w:r>
            <w:r>
              <w:rPr>
                <w:rFonts w:hint="eastAsia"/>
                <w:spacing w:val="-6"/>
                <w:lang w:val="en-US" w:eastAsia="zh-CN"/>
              </w:rPr>
              <w:t>其他（请文字说明其他活动内容）</w:t>
            </w:r>
          </w:p>
        </w:tc>
      </w:tr>
      <w:tr w14:paraId="075E4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407" w:type="dxa"/>
            <w:vAlign w:val="top"/>
          </w:tcPr>
          <w:p w14:paraId="13F6EDE9">
            <w:pPr>
              <w:pStyle w:val="6"/>
              <w:spacing w:before="78" w:line="230" w:lineRule="auto"/>
              <w:ind w:right="477"/>
              <w:jc w:val="center"/>
              <w:rPr>
                <w:spacing w:val="1"/>
              </w:rPr>
            </w:pPr>
            <w:r>
              <w:rPr>
                <w:b/>
                <w:bCs/>
                <w:spacing w:val="-4"/>
              </w:rPr>
              <w:t>参与单位名称</w:t>
            </w:r>
          </w:p>
          <w:p w14:paraId="3E943D1A">
            <w:pPr>
              <w:pStyle w:val="6"/>
              <w:spacing w:before="78" w:line="230" w:lineRule="auto"/>
              <w:ind w:right="477"/>
              <w:jc w:val="center"/>
            </w:pPr>
            <w:r>
              <w:rPr>
                <w:b/>
                <w:bCs/>
                <w:spacing w:val="-4"/>
              </w:rPr>
              <w:t>及人员姓名</w:t>
            </w:r>
          </w:p>
        </w:tc>
        <w:tc>
          <w:tcPr>
            <w:tcW w:w="5888" w:type="dxa"/>
            <w:vAlign w:val="center"/>
          </w:tcPr>
          <w:p w14:paraId="43D8ACFF">
            <w:pPr>
              <w:pStyle w:val="6"/>
              <w:spacing w:before="26" w:line="230" w:lineRule="auto"/>
              <w:ind w:left="1211" w:right="839" w:hanging="360"/>
              <w:jc w:val="center"/>
              <w:rPr>
                <w:rFonts w:hint="eastAsia"/>
                <w:spacing w:val="-1"/>
              </w:rPr>
            </w:pPr>
            <w:r>
              <w:rPr>
                <w:rFonts w:hint="eastAsia"/>
                <w:spacing w:val="-1"/>
                <w:lang w:val="en-US" w:eastAsia="zh-CN"/>
              </w:rPr>
              <w:t>国泰君安证券股份有限公司欧阳蕤</w:t>
            </w:r>
          </w:p>
          <w:p w14:paraId="2D20C07B">
            <w:pPr>
              <w:pStyle w:val="6"/>
              <w:spacing w:before="26" w:line="230" w:lineRule="auto"/>
              <w:ind w:left="1211" w:right="839" w:hanging="360" w:firstLineChars="0"/>
              <w:jc w:val="left"/>
            </w:pPr>
          </w:p>
        </w:tc>
      </w:tr>
      <w:tr w14:paraId="6D437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407" w:type="dxa"/>
            <w:vAlign w:val="top"/>
          </w:tcPr>
          <w:p w14:paraId="799C67DA">
            <w:pPr>
              <w:pStyle w:val="6"/>
              <w:spacing w:before="139" w:line="222" w:lineRule="auto"/>
              <w:ind w:left="977"/>
            </w:pPr>
            <w:r>
              <w:rPr>
                <w:b/>
                <w:bCs/>
                <w:spacing w:val="-13"/>
              </w:rPr>
              <w:t>时间</w:t>
            </w:r>
          </w:p>
        </w:tc>
        <w:tc>
          <w:tcPr>
            <w:tcW w:w="5888" w:type="dxa"/>
            <w:vAlign w:val="top"/>
          </w:tcPr>
          <w:p w14:paraId="1C9EC1E4">
            <w:pPr>
              <w:pStyle w:val="6"/>
              <w:autoSpaceDE/>
              <w:autoSpaceDN/>
              <w:spacing w:before="139" w:line="221" w:lineRule="auto"/>
              <w:ind w:left="0"/>
              <w:jc w:val="center"/>
            </w:pPr>
            <w:r>
              <w:rPr>
                <w:rFonts w:ascii="Times New Roman" w:hAnsi="Times New Roman" w:eastAsia="Times New Roman" w:cs="Times New Roman"/>
                <w:spacing w:val="-6"/>
              </w:rPr>
              <w:t>2024</w:t>
            </w:r>
            <w:r>
              <w:rPr>
                <w:spacing w:val="-6"/>
              </w:rPr>
              <w:t>年</w:t>
            </w:r>
            <w:r>
              <w:rPr>
                <w:rFonts w:hint="eastAsia" w:ascii="Times New Roman" w:hAnsi="Times New Roman" w:cs="Times New Roman"/>
                <w:spacing w:val="-6"/>
                <w:lang w:val="en-US" w:eastAsia="zh-CN"/>
              </w:rPr>
              <w:t>9</w:t>
            </w:r>
            <w:r>
              <w:rPr>
                <w:spacing w:val="-6"/>
              </w:rPr>
              <w:t>月</w:t>
            </w:r>
            <w:r>
              <w:rPr>
                <w:rFonts w:hint="eastAsia" w:ascii="Times New Roman" w:hAnsi="Times New Roman" w:cs="Times New Roman"/>
                <w:spacing w:val="-6"/>
                <w:lang w:val="en-US" w:eastAsia="zh-CN"/>
              </w:rPr>
              <w:t>2</w:t>
            </w:r>
            <w:r>
              <w:rPr>
                <w:rFonts w:hint="eastAsia" w:ascii="Times New Roman" w:hAnsi="Times New Roman" w:eastAsia="宋体" w:cs="Times New Roman"/>
                <w:spacing w:val="-6"/>
                <w:lang w:val="en-US" w:eastAsia="zh-CN"/>
              </w:rPr>
              <w:t>0</w:t>
            </w:r>
            <w:r>
              <w:rPr>
                <w:spacing w:val="-6"/>
              </w:rPr>
              <w:t>日</w:t>
            </w:r>
          </w:p>
        </w:tc>
      </w:tr>
      <w:tr w14:paraId="4A06A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07" w:type="dxa"/>
            <w:vAlign w:val="center"/>
          </w:tcPr>
          <w:p w14:paraId="5A17A68E">
            <w:pPr>
              <w:pStyle w:val="6"/>
              <w:spacing w:before="78" w:line="224" w:lineRule="auto"/>
              <w:ind w:left="0"/>
              <w:jc w:val="center"/>
            </w:pPr>
            <w:r>
              <w:rPr>
                <w:b/>
                <w:bCs/>
                <w:spacing w:val="-7"/>
              </w:rPr>
              <w:t>地点</w:t>
            </w:r>
          </w:p>
        </w:tc>
        <w:tc>
          <w:tcPr>
            <w:tcW w:w="5888" w:type="dxa"/>
            <w:vAlign w:val="center"/>
          </w:tcPr>
          <w:p w14:paraId="0B1820B3">
            <w:pPr>
              <w:pStyle w:val="6"/>
              <w:spacing w:before="78" w:line="219" w:lineRule="auto"/>
              <w:ind w:left="0"/>
              <w:jc w:val="center"/>
              <w:rPr>
                <w:rFonts w:hint="default" w:eastAsia="宋体"/>
                <w:lang w:val="en-US" w:eastAsia="zh-CN"/>
              </w:rPr>
            </w:pPr>
            <w:r>
              <w:rPr>
                <w:rFonts w:hint="eastAsia"/>
                <w:spacing w:val="-2"/>
                <w:lang w:val="en-US" w:eastAsia="zh-CN"/>
              </w:rPr>
              <w:t>线上</w:t>
            </w:r>
          </w:p>
        </w:tc>
      </w:tr>
      <w:tr w14:paraId="0844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407" w:type="dxa"/>
            <w:vAlign w:val="top"/>
          </w:tcPr>
          <w:p w14:paraId="40878D59">
            <w:pPr>
              <w:spacing w:line="272" w:lineRule="auto"/>
              <w:rPr>
                <w:rFonts w:ascii="Arial"/>
                <w:sz w:val="21"/>
              </w:rPr>
            </w:pPr>
          </w:p>
          <w:p w14:paraId="12A762E0">
            <w:pPr>
              <w:pStyle w:val="6"/>
              <w:spacing w:before="78" w:line="230" w:lineRule="auto"/>
              <w:ind w:left="964" w:right="236" w:hanging="720"/>
            </w:pPr>
            <w:r>
              <w:rPr>
                <w:b/>
                <w:bCs/>
                <w:spacing w:val="-4"/>
              </w:rPr>
              <w:t>上市公司接待人员</w:t>
            </w:r>
            <w:r>
              <w:rPr>
                <w:b/>
                <w:bCs/>
                <w:spacing w:val="-7"/>
              </w:rPr>
              <w:t>姓名</w:t>
            </w:r>
          </w:p>
        </w:tc>
        <w:tc>
          <w:tcPr>
            <w:tcW w:w="5888" w:type="dxa"/>
            <w:vAlign w:val="center"/>
          </w:tcPr>
          <w:p w14:paraId="035194D9">
            <w:pPr>
              <w:pStyle w:val="6"/>
              <w:spacing w:before="26" w:line="230" w:lineRule="auto"/>
              <w:ind w:left="1211" w:right="839" w:hanging="360"/>
              <w:jc w:val="center"/>
              <w:rPr>
                <w:rFonts w:hint="eastAsia"/>
                <w:spacing w:val="-1"/>
                <w:lang w:val="en-US" w:eastAsia="zh-CN"/>
              </w:rPr>
            </w:pPr>
            <w:r>
              <w:rPr>
                <w:rFonts w:hint="eastAsia"/>
                <w:spacing w:val="-1"/>
                <w:lang w:val="en-US" w:eastAsia="zh-CN"/>
              </w:rPr>
              <w:t>副总裁兼董事会秘书张侃、</w:t>
            </w:r>
          </w:p>
          <w:p w14:paraId="20C696C1">
            <w:pPr>
              <w:pStyle w:val="6"/>
              <w:spacing w:before="26" w:line="230" w:lineRule="auto"/>
              <w:ind w:left="1211" w:right="839" w:hanging="360"/>
              <w:jc w:val="center"/>
            </w:pPr>
            <w:r>
              <w:rPr>
                <w:rFonts w:hint="eastAsia"/>
                <w:spacing w:val="-1"/>
                <w:lang w:val="en-US" w:eastAsia="zh-CN"/>
              </w:rPr>
              <w:t>董事会办公室主任兼证券事务代表林静</w:t>
            </w:r>
          </w:p>
        </w:tc>
      </w:tr>
      <w:tr w14:paraId="0DD6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vAlign w:val="top"/>
          </w:tcPr>
          <w:p w14:paraId="3C7A5615">
            <w:pPr>
              <w:spacing w:line="298" w:lineRule="auto"/>
              <w:rPr>
                <w:rFonts w:ascii="Arial"/>
                <w:sz w:val="21"/>
              </w:rPr>
            </w:pPr>
          </w:p>
          <w:p w14:paraId="76A84B3A">
            <w:pPr>
              <w:spacing w:line="298" w:lineRule="auto"/>
              <w:rPr>
                <w:rFonts w:ascii="Arial"/>
                <w:sz w:val="21"/>
              </w:rPr>
            </w:pPr>
          </w:p>
          <w:p w14:paraId="18E573B8">
            <w:pPr>
              <w:spacing w:line="299" w:lineRule="auto"/>
              <w:rPr>
                <w:rFonts w:ascii="Arial"/>
                <w:sz w:val="21"/>
              </w:rPr>
            </w:pPr>
          </w:p>
          <w:p w14:paraId="6E626AF0">
            <w:pPr>
              <w:pStyle w:val="6"/>
              <w:spacing w:before="78" w:line="229" w:lineRule="auto"/>
              <w:ind w:left="753" w:right="116" w:hanging="628"/>
            </w:pPr>
            <w:r>
              <w:rPr>
                <w:b/>
                <w:bCs/>
                <w:spacing w:val="-4"/>
              </w:rPr>
              <w:t>投资者关系活动主要</w:t>
            </w:r>
            <w:r>
              <w:rPr>
                <w:b/>
                <w:bCs/>
                <w:spacing w:val="-12"/>
              </w:rPr>
              <w:t>内容介绍</w:t>
            </w:r>
          </w:p>
        </w:tc>
        <w:tc>
          <w:tcPr>
            <w:tcW w:w="5888" w:type="dxa"/>
            <w:vAlign w:val="top"/>
          </w:tcPr>
          <w:p w14:paraId="68F0F2A6">
            <w:pPr>
              <w:pStyle w:val="6"/>
              <w:spacing w:before="38" w:line="233" w:lineRule="auto"/>
              <w:ind w:left="0" w:right="101" w:firstLine="466" w:firstLineChars="200"/>
              <w:jc w:val="both"/>
              <w:rPr>
                <w:rFonts w:hint="default" w:eastAsia="宋体"/>
                <w:lang w:val="en-US" w:eastAsia="zh-CN"/>
              </w:rPr>
            </w:pPr>
            <w:r>
              <w:rPr>
                <w:b/>
                <w:bCs/>
                <w:spacing w:val="-4"/>
              </w:rPr>
              <w:t>一、公司的简要介绍</w:t>
            </w:r>
            <w:r>
              <w:rPr>
                <w:rFonts w:hint="eastAsia"/>
                <w:b/>
                <w:bCs/>
                <w:spacing w:val="-4"/>
                <w:lang w:val="en-US" w:eastAsia="zh-CN"/>
              </w:rPr>
              <w:t>公司的基本情况</w:t>
            </w:r>
          </w:p>
          <w:p w14:paraId="7EB83F88">
            <w:pPr>
              <w:pStyle w:val="6"/>
              <w:spacing w:before="38" w:line="233" w:lineRule="auto"/>
              <w:ind w:left="0" w:right="101" w:firstLine="400" w:firstLineChars="200"/>
              <w:jc w:val="both"/>
            </w:pPr>
            <w:r>
              <w:rPr>
                <w:spacing w:val="-20"/>
              </w:rPr>
              <w:t>回复：</w:t>
            </w:r>
          </w:p>
          <w:p w14:paraId="3A2FD9B3">
            <w:pPr>
              <w:pStyle w:val="6"/>
              <w:autoSpaceDE/>
              <w:autoSpaceDN/>
              <w:spacing w:before="38" w:line="233" w:lineRule="auto"/>
              <w:ind w:left="0" w:right="101" w:firstLine="444" w:firstLineChars="200"/>
              <w:jc w:val="both"/>
              <w:rPr>
                <w:spacing w:val="-4"/>
              </w:rPr>
            </w:pPr>
            <w:r>
              <w:rPr>
                <w:spacing w:val="-9"/>
              </w:rPr>
              <w:t>九州一轨成立于2010年7月23日，</w:t>
            </w:r>
            <w:r>
              <w:rPr>
                <w:rFonts w:hint="eastAsia"/>
                <w:spacing w:val="-9"/>
              </w:rPr>
              <w:t>为推动“阻尼钢弹簧浮置板道床隔振系统”科技成果转化、打破外资公司在我国城市轨道交通减振降噪领域的技术壁垒和市场垄断而设立</w:t>
            </w:r>
            <w:r>
              <w:rPr>
                <w:spacing w:val="-4"/>
              </w:rPr>
              <w:t>。经过十余年的发展，2023年1月18日登录上交所科创板，成为新噪声法时代下科创板首只轨道交通声学环保新股。</w:t>
            </w:r>
          </w:p>
          <w:p w14:paraId="4B5AD1D2">
            <w:pPr>
              <w:pStyle w:val="6"/>
              <w:spacing w:before="38" w:line="233" w:lineRule="auto"/>
              <w:ind w:left="0" w:right="101" w:firstLine="464" w:firstLineChars="200"/>
              <w:jc w:val="both"/>
              <w:rPr>
                <w:rFonts w:hint="eastAsia"/>
                <w:spacing w:val="-4"/>
              </w:rPr>
            </w:pPr>
            <w:r>
              <w:rPr>
                <w:rFonts w:hint="eastAsia"/>
                <w:spacing w:val="-4"/>
              </w:rPr>
              <w:t>公司从需求端出发，围绕声音的物理属性和信息属性，深化大数据和工业人工智能的研发与应用，</w:t>
            </w:r>
            <w:r>
              <w:rPr>
                <w:rFonts w:hint="eastAsia"/>
                <w:spacing w:val="-4"/>
                <w:lang w:val="en-US" w:eastAsia="zh-CN"/>
              </w:rPr>
              <w:t>将</w:t>
            </w:r>
            <w:r>
              <w:rPr>
                <w:rFonts w:ascii="宋体" w:hAnsi="宋体" w:eastAsia="宋体" w:cs="宋体"/>
                <w:sz w:val="24"/>
                <w:szCs w:val="24"/>
              </w:rPr>
              <w:t>业务格局从新建线路占主导转变为新线建设和既有线提升并重</w:t>
            </w:r>
            <w:r>
              <w:rPr>
                <w:rFonts w:hint="eastAsia" w:ascii="宋体" w:hAnsi="宋体" w:eastAsia="宋体" w:cs="宋体"/>
                <w:sz w:val="24"/>
                <w:szCs w:val="24"/>
                <w:lang w:eastAsia="zh-CN"/>
              </w:rPr>
              <w:t>，</w:t>
            </w:r>
            <w:r>
              <w:rPr>
                <w:rFonts w:hint="eastAsia"/>
                <w:spacing w:val="-4"/>
              </w:rPr>
              <w:t>完成了物理防治和声纹信息两大业务方向的产业链梳理，在技术和产品领域完成了从产品提供商到数据服务商的转型，并最终构建了“一核两翼多板块”的业务格局。</w:t>
            </w:r>
          </w:p>
          <w:p w14:paraId="4E53D374">
            <w:pPr>
              <w:pStyle w:val="6"/>
              <w:spacing w:before="38" w:line="233" w:lineRule="auto"/>
              <w:ind w:left="0" w:right="101" w:firstLine="464" w:firstLineChars="200"/>
              <w:jc w:val="both"/>
              <w:rPr>
                <w:rFonts w:hint="eastAsia"/>
                <w:spacing w:val="-4"/>
              </w:rPr>
            </w:pPr>
            <w:r>
              <w:rPr>
                <w:rFonts w:hint="eastAsia"/>
                <w:spacing w:val="-4"/>
              </w:rPr>
              <w:t>“一核”即声学专业研究，深入解析噪声振动的物理属性和信息属性。</w:t>
            </w:r>
          </w:p>
          <w:p w14:paraId="75FBE88E">
            <w:pPr>
              <w:pStyle w:val="6"/>
              <w:spacing w:before="38" w:line="233" w:lineRule="auto"/>
              <w:ind w:left="0" w:right="101" w:firstLine="464" w:firstLineChars="200"/>
              <w:jc w:val="both"/>
              <w:rPr>
                <w:rFonts w:hint="eastAsia"/>
                <w:spacing w:val="-4"/>
              </w:rPr>
            </w:pPr>
            <w:r>
              <w:rPr>
                <w:rFonts w:hint="eastAsia"/>
                <w:spacing w:val="-4"/>
              </w:rPr>
              <w:t>“两翼”即精准物理防治和声纹诊断开发，具体包括：基于防治主体的物理属性，研发与运用减振降噪技术和系列产品，实现噪声振动污染精准物理防治业务；基于防治主体的声纹信息属性，以声纹解译为手段，运用人工智能、声纹数据和状态监测等新技术，拓展智慧运维、结构安全和病害治理等声纹诊断开发业务。</w:t>
            </w:r>
          </w:p>
          <w:p w14:paraId="38C9767E">
            <w:pPr>
              <w:pStyle w:val="6"/>
              <w:spacing w:before="38" w:line="233" w:lineRule="auto"/>
              <w:ind w:left="0" w:right="101" w:firstLine="464" w:firstLineChars="200"/>
              <w:jc w:val="both"/>
            </w:pPr>
            <w:r>
              <w:rPr>
                <w:rFonts w:hint="eastAsia"/>
                <w:spacing w:val="-4"/>
              </w:rPr>
              <w:t>“多板块”即上述技术和产品在轨道交通、工业与民用建筑、机械装备、船舶工程等多场景的应用。</w:t>
            </w:r>
          </w:p>
        </w:tc>
      </w:tr>
    </w:tbl>
    <w:p w14:paraId="37713A55">
      <w:pPr>
        <w:rPr>
          <w:rFonts w:ascii="Arial"/>
          <w:sz w:val="21"/>
        </w:rPr>
      </w:pPr>
    </w:p>
    <w:p w14:paraId="79377823">
      <w:pPr>
        <w:spacing w:line="91" w:lineRule="auto"/>
        <w:rPr>
          <w:rFonts w:ascii="Arial"/>
          <w:sz w:val="2"/>
        </w:rPr>
      </w:pPr>
    </w:p>
    <w:tbl>
      <w:tblPr>
        <w:tblStyle w:val="5"/>
        <w:tblW w:w="8295"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5888"/>
      </w:tblGrid>
      <w:tr w14:paraId="30A8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6" w:hRule="atLeast"/>
        </w:trPr>
        <w:tc>
          <w:tcPr>
            <w:tcW w:w="2407" w:type="dxa"/>
            <w:vAlign w:val="top"/>
          </w:tcPr>
          <w:p w14:paraId="384B88C5">
            <w:pPr>
              <w:rPr>
                <w:rFonts w:ascii="Arial"/>
                <w:sz w:val="21"/>
              </w:rPr>
            </w:pPr>
          </w:p>
        </w:tc>
        <w:tc>
          <w:tcPr>
            <w:tcW w:w="5888" w:type="dxa"/>
            <w:vAlign w:val="top"/>
          </w:tcPr>
          <w:p w14:paraId="572249A2">
            <w:pPr>
              <w:pStyle w:val="6"/>
              <w:autoSpaceDE/>
              <w:autoSpaceDN/>
              <w:spacing w:before="30" w:line="228" w:lineRule="auto"/>
              <w:ind w:left="0" w:right="255" w:firstLine="470" w:firstLineChars="200"/>
              <w:jc w:val="both"/>
            </w:pPr>
            <w:r>
              <w:rPr>
                <w:b/>
                <w:bCs/>
                <w:spacing w:val="-3"/>
              </w:rPr>
              <w:t>二、</w:t>
            </w:r>
            <w:r>
              <w:rPr>
                <w:rFonts w:hint="eastAsia"/>
                <w:b/>
                <w:bCs/>
                <w:spacing w:val="-3"/>
              </w:rPr>
              <w:t>请介绍公司研发情况</w:t>
            </w:r>
          </w:p>
          <w:p w14:paraId="3135735D">
            <w:pPr>
              <w:pStyle w:val="6"/>
              <w:autoSpaceDE/>
              <w:autoSpaceDN/>
              <w:spacing w:before="30" w:line="228" w:lineRule="auto"/>
              <w:ind w:left="0" w:right="255" w:firstLine="418" w:firstLineChars="209"/>
              <w:jc w:val="both"/>
            </w:pPr>
            <w:r>
              <w:rPr>
                <w:spacing w:val="-20"/>
              </w:rPr>
              <w:t>回复：</w:t>
            </w:r>
          </w:p>
          <w:p w14:paraId="5718BDCF">
            <w:pPr>
              <w:pStyle w:val="6"/>
              <w:autoSpaceDE/>
              <w:autoSpaceDN/>
              <w:spacing w:before="30" w:line="228" w:lineRule="auto"/>
              <w:ind w:left="0" w:right="255" w:firstLine="504" w:firstLineChars="200"/>
              <w:jc w:val="both"/>
              <w:rPr>
                <w:rFonts w:hint="eastAsia"/>
                <w:spacing w:val="6"/>
              </w:rPr>
            </w:pPr>
            <w:r>
              <w:rPr>
                <w:rFonts w:hint="eastAsia"/>
                <w:spacing w:val="6"/>
              </w:rPr>
              <w:t>近期，公司入选国家级第三批专精特新“小巨人”复核通过企业公示名单，本次公司成功通过第三批专精特新“小巨人”复核，标志着工业和信息化部对公司科研创新、市场开拓、产业发展、战略前景等多维度的认可，这一荣誉将有助于提升公司在行业内的影响力和品牌竞争力，助力公司未来发展。</w:t>
            </w:r>
          </w:p>
          <w:p w14:paraId="1B5885A9">
            <w:pPr>
              <w:pStyle w:val="6"/>
              <w:autoSpaceDE/>
              <w:autoSpaceDN/>
              <w:spacing w:before="30" w:line="228" w:lineRule="auto"/>
              <w:ind w:left="0" w:right="255" w:firstLine="504" w:firstLineChars="200"/>
              <w:jc w:val="both"/>
              <w:rPr>
                <w:spacing w:val="6"/>
              </w:rPr>
            </w:pPr>
            <w:r>
              <w:rPr>
                <w:rFonts w:hint="eastAsia"/>
                <w:spacing w:val="6"/>
              </w:rPr>
              <w:t>2024年上半年，公司研发投入10,941,467.08元，占营业收入比例为9.4%。截至2024年6月30日，公司共拥有专利122项，其中发明专利30项，实用新型90项，外观专利2项。</w:t>
            </w:r>
          </w:p>
          <w:p w14:paraId="18D0DF17">
            <w:pPr>
              <w:pStyle w:val="6"/>
              <w:autoSpaceDE/>
              <w:autoSpaceDN/>
              <w:spacing w:before="30" w:line="228" w:lineRule="auto"/>
              <w:ind w:right="255"/>
              <w:jc w:val="both"/>
              <w:rPr>
                <w:rFonts w:hint="eastAsia" w:ascii="宋体" w:hAnsi="宋体" w:eastAsia="宋体" w:cs="宋体"/>
                <w:spacing w:val="-1"/>
                <w:lang w:eastAsia="zh-CN"/>
              </w:rPr>
            </w:pPr>
          </w:p>
          <w:p w14:paraId="70CD0E32">
            <w:pPr>
              <w:pStyle w:val="6"/>
              <w:numPr>
                <w:ilvl w:val="-1"/>
                <w:numId w:val="0"/>
              </w:numPr>
              <w:autoSpaceDE/>
              <w:autoSpaceDN/>
              <w:spacing w:before="30" w:line="228" w:lineRule="auto"/>
              <w:ind w:right="255" w:firstLine="470" w:firstLineChars="200"/>
              <w:jc w:val="both"/>
              <w:rPr>
                <w:rFonts w:hint="eastAsia"/>
                <w:b/>
                <w:bCs/>
                <w:spacing w:val="-3"/>
              </w:rPr>
            </w:pPr>
            <w:r>
              <w:rPr>
                <w:rFonts w:hint="eastAsia"/>
                <w:b/>
                <w:bCs/>
                <w:spacing w:val="-3"/>
                <w:lang w:val="en-US" w:eastAsia="zh-CN"/>
              </w:rPr>
              <w:t>三、公司回购进展</w:t>
            </w:r>
          </w:p>
          <w:p w14:paraId="4EB8B481">
            <w:pPr>
              <w:pStyle w:val="6"/>
              <w:numPr>
                <w:ilvl w:val="-1"/>
                <w:numId w:val="0"/>
              </w:numPr>
              <w:autoSpaceDE/>
              <w:autoSpaceDN/>
              <w:spacing w:before="30" w:line="228" w:lineRule="auto"/>
              <w:ind w:right="255" w:firstLine="468" w:firstLineChars="200"/>
              <w:jc w:val="both"/>
              <w:rPr>
                <w:rFonts w:hint="eastAsia"/>
                <w:b w:val="0"/>
                <w:bCs w:val="0"/>
                <w:spacing w:val="-3"/>
                <w:lang w:val="en-US" w:eastAsia="zh-CN"/>
              </w:rPr>
            </w:pPr>
            <w:r>
              <w:rPr>
                <w:rFonts w:hint="eastAsia"/>
                <w:b w:val="0"/>
                <w:bCs w:val="0"/>
                <w:spacing w:val="-3"/>
                <w:lang w:val="en-US" w:eastAsia="zh-CN"/>
              </w:rPr>
              <w:t>回复：</w:t>
            </w:r>
          </w:p>
          <w:p w14:paraId="69244E58">
            <w:pPr>
              <w:pStyle w:val="6"/>
              <w:numPr>
                <w:ilvl w:val="-1"/>
                <w:numId w:val="0"/>
              </w:numPr>
              <w:autoSpaceDE/>
              <w:autoSpaceDN/>
              <w:spacing w:before="30" w:line="228" w:lineRule="auto"/>
              <w:ind w:right="255" w:firstLine="468" w:firstLineChars="200"/>
              <w:jc w:val="both"/>
              <w:rPr>
                <w:rFonts w:hint="eastAsia"/>
                <w:b w:val="0"/>
                <w:bCs w:val="0"/>
                <w:spacing w:val="-3"/>
                <w:lang w:val="en-US" w:eastAsia="zh-CN"/>
              </w:rPr>
            </w:pPr>
            <w:r>
              <w:rPr>
                <w:rFonts w:hint="eastAsia"/>
                <w:b w:val="0"/>
                <w:bCs w:val="0"/>
                <w:spacing w:val="-3"/>
                <w:lang w:val="en-US" w:eastAsia="zh-CN"/>
              </w:rPr>
              <w:t>公司目前有两期回购在进行中。</w:t>
            </w:r>
          </w:p>
          <w:p w14:paraId="013CECF1">
            <w:pPr>
              <w:pStyle w:val="6"/>
              <w:numPr>
                <w:ilvl w:val="-1"/>
                <w:numId w:val="0"/>
              </w:numPr>
              <w:autoSpaceDE/>
              <w:autoSpaceDN/>
              <w:spacing w:before="30" w:line="228" w:lineRule="auto"/>
              <w:ind w:right="255" w:firstLine="468" w:firstLineChars="200"/>
              <w:jc w:val="both"/>
              <w:rPr>
                <w:rFonts w:hint="eastAsia"/>
                <w:b w:val="0"/>
                <w:bCs w:val="0"/>
                <w:spacing w:val="-3"/>
                <w:lang w:val="en-US" w:eastAsia="zh-CN"/>
              </w:rPr>
            </w:pPr>
            <w:r>
              <w:rPr>
                <w:rFonts w:hint="eastAsia"/>
                <w:b w:val="0"/>
                <w:bCs w:val="0"/>
                <w:spacing w:val="-3"/>
                <w:lang w:val="en-US" w:eastAsia="zh-CN"/>
              </w:rPr>
              <w:t>2024年1月30日，公司召开第二届董事会第十五次会议审议通过了《关于以集中竞价交易方式回购公司股份的方案》，董事会同意公司以自有资金或自筹资金通过上海证券交易所系统以集中竞价交易方式回购公司已发行的部分人民币普通股（A股）股票，本次回购资金总额不低于人民币2,000万元（含），不超过人民币4,000万元（含）。截至2024年8月31日，公司累计回购资金总额为24,969,312.51元（不含印花税、交易佣金等交易费用）。</w:t>
            </w:r>
          </w:p>
          <w:p w14:paraId="0554F616">
            <w:pPr>
              <w:pStyle w:val="6"/>
              <w:autoSpaceDE/>
              <w:autoSpaceDN/>
              <w:spacing w:before="30" w:line="228" w:lineRule="auto"/>
              <w:ind w:left="0" w:right="255" w:firstLine="476" w:firstLineChars="200"/>
              <w:jc w:val="both"/>
              <w:rPr>
                <w:rFonts w:hint="eastAsia" w:ascii="宋体" w:hAnsi="宋体" w:eastAsia="宋体" w:cs="宋体"/>
                <w:spacing w:val="-1"/>
                <w:lang w:eastAsia="zh-CN"/>
              </w:rPr>
            </w:pPr>
            <w:r>
              <w:rPr>
                <w:rFonts w:hint="eastAsia" w:ascii="宋体" w:hAnsi="宋体" w:eastAsia="宋体" w:cs="宋体"/>
                <w:spacing w:val="-1"/>
                <w:lang w:val="en-US" w:eastAsia="zh-CN"/>
              </w:rPr>
              <w:t>2024年7月9日，公司召开第二届董事会第二十次会议审议通过了《关于稳定股价措施暨第二期以集中竞价交易方式回购公司股份方案的议案》，董事会同意公司以自有资金或自筹资金通过上海证券交易所系统以集中竞价交易方式回购公司已发行的部分人民币普通股（A股）股票，本次回购资金总额不低于人民币2,000万元（含），不超过人民币4,000万元（含）</w:t>
            </w:r>
            <w:r>
              <w:rPr>
                <w:rFonts w:hint="eastAsia" w:cs="宋体"/>
                <w:spacing w:val="-1"/>
                <w:lang w:val="en-US" w:eastAsia="zh-CN"/>
              </w:rPr>
              <w:t>。</w:t>
            </w:r>
            <w:r>
              <w:rPr>
                <w:rFonts w:hint="eastAsia" w:ascii="宋体" w:hAnsi="宋体" w:eastAsia="宋体" w:cs="宋体"/>
                <w:spacing w:val="-1"/>
                <w:lang w:eastAsia="zh-CN"/>
              </w:rPr>
              <w:t>截至2024年9月13日，公司累计回购的资金总额为人民币24,215,538.08元（不含印花税、交易佣金等交易费用）。</w:t>
            </w:r>
          </w:p>
          <w:p w14:paraId="4C38338F">
            <w:pPr>
              <w:pStyle w:val="6"/>
              <w:autoSpaceDE/>
              <w:autoSpaceDN/>
              <w:spacing w:before="30" w:line="228" w:lineRule="auto"/>
              <w:ind w:left="0" w:right="255" w:firstLine="476" w:firstLineChars="200"/>
              <w:jc w:val="both"/>
              <w:rPr>
                <w:rFonts w:hint="eastAsia" w:ascii="宋体" w:hAnsi="宋体" w:eastAsia="宋体" w:cs="宋体"/>
                <w:spacing w:val="-1"/>
                <w:lang w:val="en-US" w:eastAsia="zh-CN"/>
              </w:rPr>
            </w:pPr>
          </w:p>
          <w:p w14:paraId="792A3AC2">
            <w:pPr>
              <w:pStyle w:val="6"/>
              <w:numPr>
                <w:ilvl w:val="-1"/>
                <w:numId w:val="0"/>
              </w:numPr>
              <w:autoSpaceDE/>
              <w:autoSpaceDN/>
              <w:spacing w:before="30" w:line="228" w:lineRule="auto"/>
              <w:ind w:right="255" w:firstLine="470" w:firstLineChars="200"/>
              <w:jc w:val="both"/>
              <w:rPr>
                <w:rFonts w:hint="eastAsia"/>
                <w:b/>
                <w:bCs/>
                <w:spacing w:val="-3"/>
                <w:lang w:val="en-US" w:eastAsia="zh-CN"/>
              </w:rPr>
            </w:pPr>
            <w:r>
              <w:rPr>
                <w:rFonts w:hint="eastAsia" w:cs="宋体"/>
                <w:b/>
                <w:bCs/>
                <w:snapToGrid w:val="0"/>
                <w:color w:val="000000"/>
                <w:spacing w:val="-3"/>
                <w:kern w:val="0"/>
                <w:sz w:val="24"/>
                <w:szCs w:val="24"/>
                <w:lang w:val="en-US" w:eastAsia="zh-CN" w:bidi="ar-SA"/>
              </w:rPr>
              <w:t>四</w:t>
            </w:r>
            <w:r>
              <w:rPr>
                <w:rFonts w:hint="eastAsia" w:ascii="宋体" w:hAnsi="宋体" w:eastAsia="宋体" w:cs="宋体"/>
                <w:b/>
                <w:bCs/>
                <w:snapToGrid w:val="0"/>
                <w:color w:val="000000"/>
                <w:spacing w:val="-3"/>
                <w:kern w:val="0"/>
                <w:sz w:val="24"/>
                <w:szCs w:val="24"/>
                <w:lang w:val="en-US" w:eastAsia="zh-CN" w:bidi="ar-SA"/>
              </w:rPr>
              <w:t>、</w:t>
            </w:r>
            <w:r>
              <w:rPr>
                <w:rFonts w:hint="eastAsia" w:cs="宋体"/>
                <w:b/>
                <w:bCs/>
                <w:snapToGrid w:val="0"/>
                <w:color w:val="000000"/>
                <w:spacing w:val="-3"/>
                <w:kern w:val="0"/>
                <w:sz w:val="24"/>
                <w:szCs w:val="24"/>
                <w:lang w:val="en-US" w:eastAsia="zh-CN" w:bidi="ar-SA"/>
              </w:rPr>
              <w:t>公司的</w:t>
            </w:r>
            <w:r>
              <w:rPr>
                <w:rFonts w:hint="eastAsia"/>
                <w:b/>
                <w:bCs/>
                <w:spacing w:val="-3"/>
              </w:rPr>
              <w:t>轨道声纹在线监测与智慧运维系统的</w:t>
            </w:r>
            <w:r>
              <w:rPr>
                <w:rFonts w:hint="eastAsia"/>
                <w:b/>
                <w:bCs/>
                <w:spacing w:val="-3"/>
                <w:lang w:val="en-US" w:eastAsia="zh-CN"/>
              </w:rPr>
              <w:t>应用情况</w:t>
            </w:r>
          </w:p>
          <w:p w14:paraId="17E71750">
            <w:pPr>
              <w:pStyle w:val="6"/>
              <w:numPr>
                <w:ilvl w:val="-1"/>
                <w:numId w:val="0"/>
              </w:numPr>
              <w:autoSpaceDE/>
              <w:autoSpaceDN/>
              <w:spacing w:before="30" w:line="228" w:lineRule="auto"/>
              <w:ind w:right="255" w:firstLine="468" w:firstLineChars="200"/>
              <w:jc w:val="both"/>
              <w:rPr>
                <w:rFonts w:hint="eastAsia"/>
                <w:b w:val="0"/>
                <w:bCs w:val="0"/>
                <w:spacing w:val="-3"/>
                <w:lang w:val="en-US" w:eastAsia="zh-CN"/>
              </w:rPr>
            </w:pPr>
            <w:r>
              <w:rPr>
                <w:rFonts w:hint="eastAsia"/>
                <w:b w:val="0"/>
                <w:bCs w:val="0"/>
                <w:spacing w:val="-3"/>
                <w:lang w:val="en-US" w:eastAsia="zh-CN"/>
              </w:rPr>
              <w:t>回复：</w:t>
            </w:r>
          </w:p>
          <w:p w14:paraId="1BD45131">
            <w:pPr>
              <w:pStyle w:val="6"/>
              <w:numPr>
                <w:ilvl w:val="-1"/>
                <w:numId w:val="0"/>
              </w:numPr>
              <w:autoSpaceDE/>
              <w:autoSpaceDN/>
              <w:spacing w:before="30" w:line="228" w:lineRule="auto"/>
              <w:ind w:right="255" w:firstLine="468" w:firstLineChars="200"/>
              <w:jc w:val="both"/>
              <w:rPr>
                <w:rFonts w:hint="default"/>
                <w:b w:val="0"/>
                <w:bCs w:val="0"/>
                <w:spacing w:val="-3"/>
                <w:lang w:val="en-US" w:eastAsia="zh-CN"/>
              </w:rPr>
            </w:pPr>
            <w:r>
              <w:rPr>
                <w:rFonts w:hint="default"/>
                <w:b w:val="0"/>
                <w:bCs w:val="0"/>
                <w:spacing w:val="-3"/>
                <w:lang w:val="en-US" w:eastAsia="zh-CN"/>
              </w:rPr>
              <w:t>2023年，公司完成</w:t>
            </w:r>
            <w:r>
              <w:rPr>
                <w:rFonts w:hint="eastAsia"/>
                <w:b w:val="0"/>
                <w:bCs w:val="0"/>
                <w:spacing w:val="-3"/>
                <w:lang w:val="en-US" w:eastAsia="zh-CN"/>
              </w:rPr>
              <w:t>了</w:t>
            </w:r>
            <w:r>
              <w:rPr>
                <w:rFonts w:hint="default"/>
                <w:b w:val="0"/>
                <w:bCs w:val="0"/>
                <w:spacing w:val="-3"/>
                <w:lang w:val="en-US" w:eastAsia="zh-CN"/>
              </w:rPr>
              <w:t>“轨道声纹在线监测与智慧运维系统”研发的同时积极拓展其真实线路场景的科研合作和市场推广。截至</w:t>
            </w:r>
            <w:r>
              <w:rPr>
                <w:rFonts w:hint="eastAsia"/>
                <w:b w:val="0"/>
                <w:bCs w:val="0"/>
                <w:spacing w:val="-3"/>
                <w:lang w:val="en-US" w:eastAsia="zh-CN"/>
              </w:rPr>
              <w:t>2023年</w:t>
            </w:r>
            <w:r>
              <w:rPr>
                <w:rFonts w:hint="default"/>
                <w:b w:val="0"/>
                <w:bCs w:val="0"/>
                <w:spacing w:val="-3"/>
                <w:lang w:val="en-US" w:eastAsia="zh-CN"/>
              </w:rPr>
              <w:t>末，“轨道声纹在线监测与智慧运维系统”中包含的轨道声纹（断面）在线监测系统自2022年开始已应用在北京、郑州、兰州、天津等城市的多条线路，部署轨道监测断面近40个</w:t>
            </w:r>
            <w:r>
              <w:rPr>
                <w:rFonts w:hint="eastAsia"/>
                <w:b w:val="0"/>
                <w:bCs w:val="0"/>
                <w:spacing w:val="-3"/>
                <w:lang w:val="en-US" w:eastAsia="zh-CN"/>
              </w:rPr>
              <w:t>。</w:t>
            </w:r>
          </w:p>
          <w:p w14:paraId="51058DE8">
            <w:pPr>
              <w:pStyle w:val="6"/>
              <w:autoSpaceDE/>
              <w:autoSpaceDN/>
              <w:spacing w:before="30" w:line="228" w:lineRule="auto"/>
              <w:ind w:left="0" w:right="255" w:firstLine="476" w:firstLineChars="200"/>
              <w:jc w:val="both"/>
              <w:rPr>
                <w:rFonts w:hint="eastAsia" w:ascii="宋体" w:hAnsi="宋体" w:eastAsia="宋体" w:cs="宋体"/>
                <w:spacing w:val="-1"/>
              </w:rPr>
            </w:pPr>
            <w:r>
              <w:rPr>
                <w:rFonts w:hint="eastAsia" w:cs="宋体"/>
                <w:spacing w:val="-1"/>
                <w:lang w:val="en-US" w:eastAsia="zh-CN"/>
              </w:rPr>
              <w:t>2024年上半年，</w:t>
            </w:r>
            <w:r>
              <w:rPr>
                <w:rFonts w:hint="eastAsia" w:ascii="宋体" w:hAnsi="宋体" w:eastAsia="宋体" w:cs="宋体"/>
                <w:spacing w:val="-1"/>
              </w:rPr>
              <w:t>公司与中铁五局集团某公司签订“车载轨道声纹检测仪（自定位线路检查仪）”采购合同，实现了该套声纹</w:t>
            </w:r>
            <w:r>
              <w:rPr>
                <w:rFonts w:hint="eastAsia" w:cs="宋体"/>
                <w:spacing w:val="-1"/>
                <w:lang w:val="en-US" w:eastAsia="zh-CN"/>
              </w:rPr>
              <w:t>检测仪</w:t>
            </w:r>
            <w:r>
              <w:rPr>
                <w:rFonts w:hint="eastAsia" w:ascii="宋体" w:hAnsi="宋体" w:eastAsia="宋体" w:cs="宋体"/>
                <w:spacing w:val="-1"/>
              </w:rPr>
              <w:t>的首台套落地。</w:t>
            </w:r>
          </w:p>
          <w:p w14:paraId="2FC8FA69">
            <w:pPr>
              <w:pStyle w:val="6"/>
              <w:autoSpaceDE/>
              <w:autoSpaceDN/>
              <w:spacing w:before="30" w:line="228" w:lineRule="auto"/>
              <w:ind w:right="255"/>
              <w:jc w:val="both"/>
              <w:rPr>
                <w:rFonts w:hint="default" w:ascii="宋体" w:hAnsi="宋体" w:eastAsia="宋体" w:cs="宋体"/>
                <w:sz w:val="24"/>
                <w:szCs w:val="24"/>
                <w:lang w:val="en-US" w:eastAsia="zh-CN"/>
              </w:rPr>
            </w:pPr>
          </w:p>
          <w:p w14:paraId="6CAF81A3">
            <w:pPr>
              <w:pStyle w:val="6"/>
              <w:numPr>
                <w:ilvl w:val="0"/>
                <w:numId w:val="0"/>
              </w:numPr>
              <w:autoSpaceDE/>
              <w:autoSpaceDN/>
              <w:spacing w:before="30" w:line="228" w:lineRule="auto"/>
              <w:ind w:right="0" w:rightChars="0" w:firstLine="470" w:firstLineChars="200"/>
              <w:jc w:val="both"/>
              <w:rPr>
                <w:rFonts w:hint="default" w:eastAsia="宋体"/>
                <w:b/>
                <w:bCs/>
                <w:spacing w:val="-3"/>
                <w:lang w:val="en-US" w:eastAsia="zh-CN"/>
              </w:rPr>
            </w:pPr>
            <w:r>
              <w:rPr>
                <w:rFonts w:hint="eastAsia" w:cs="宋体"/>
                <w:b/>
                <w:bCs/>
                <w:snapToGrid w:val="0"/>
                <w:color w:val="000000"/>
                <w:spacing w:val="-3"/>
                <w:kern w:val="0"/>
                <w:sz w:val="24"/>
                <w:szCs w:val="24"/>
                <w:lang w:val="en-US" w:eastAsia="zh-CN" w:bidi="ar-SA"/>
              </w:rPr>
              <w:t>五</w:t>
            </w:r>
            <w:r>
              <w:rPr>
                <w:rFonts w:hint="eastAsia" w:ascii="宋体" w:hAnsi="宋体" w:eastAsia="宋体" w:cs="宋体"/>
                <w:b/>
                <w:bCs/>
                <w:snapToGrid w:val="0"/>
                <w:color w:val="000000"/>
                <w:spacing w:val="-3"/>
                <w:kern w:val="0"/>
                <w:sz w:val="24"/>
                <w:szCs w:val="24"/>
                <w:lang w:val="en-US" w:eastAsia="zh-CN" w:bidi="ar-SA"/>
              </w:rPr>
              <w:t>、</w:t>
            </w:r>
            <w:r>
              <w:rPr>
                <w:rFonts w:hint="eastAsia" w:cs="宋体"/>
                <w:b/>
                <w:bCs/>
                <w:snapToGrid w:val="0"/>
                <w:color w:val="000000"/>
                <w:spacing w:val="-3"/>
                <w:kern w:val="0"/>
                <w:sz w:val="24"/>
                <w:szCs w:val="24"/>
                <w:lang w:val="en-US" w:eastAsia="zh-CN" w:bidi="ar-SA"/>
              </w:rPr>
              <w:t>公司2023年下半年收入比上半年收入高，请问公司产品销售是否受季节波动影响？主要是什么原因导致的？</w:t>
            </w:r>
          </w:p>
          <w:p w14:paraId="45CDB851">
            <w:pPr>
              <w:pStyle w:val="6"/>
              <w:numPr>
                <w:ilvl w:val="-1"/>
                <w:numId w:val="0"/>
              </w:numPr>
              <w:autoSpaceDE/>
              <w:autoSpaceDN/>
              <w:spacing w:before="30" w:line="228" w:lineRule="auto"/>
              <w:ind w:right="255" w:firstLine="468" w:firstLineChars="200"/>
              <w:jc w:val="both"/>
              <w:rPr>
                <w:rFonts w:hint="default"/>
                <w:b w:val="0"/>
                <w:bCs w:val="0"/>
                <w:spacing w:val="-3"/>
                <w:lang w:val="en-US" w:eastAsia="zh-CN"/>
              </w:rPr>
            </w:pPr>
            <w:r>
              <w:rPr>
                <w:rFonts w:hint="eastAsia"/>
                <w:b w:val="0"/>
                <w:bCs w:val="0"/>
                <w:spacing w:val="-3"/>
                <w:lang w:val="en-US" w:eastAsia="zh-CN"/>
              </w:rPr>
              <w:t>回复：</w:t>
            </w:r>
          </w:p>
          <w:p w14:paraId="5921D03B">
            <w:pPr>
              <w:pStyle w:val="6"/>
              <w:autoSpaceDE/>
              <w:autoSpaceDN/>
              <w:spacing w:before="30" w:line="228" w:lineRule="auto"/>
              <w:ind w:left="0" w:right="255" w:firstLine="476" w:firstLineChars="200"/>
              <w:jc w:val="both"/>
              <w:rPr>
                <w:rFonts w:hint="eastAsia" w:cs="宋体"/>
                <w:spacing w:val="-1"/>
                <w:lang w:val="en-US" w:eastAsia="zh-CN"/>
              </w:rPr>
            </w:pPr>
            <w:r>
              <w:rPr>
                <w:rFonts w:hint="eastAsia" w:cs="宋体"/>
                <w:spacing w:val="-1"/>
                <w:lang w:val="en-US" w:eastAsia="zh-CN"/>
              </w:rPr>
              <w:t>公司主营业务收入存在一定的季节性波动。</w:t>
            </w:r>
          </w:p>
          <w:p w14:paraId="26188DF6">
            <w:pPr>
              <w:pStyle w:val="6"/>
              <w:autoSpaceDE/>
              <w:autoSpaceDN/>
              <w:spacing w:before="30" w:line="228" w:lineRule="auto"/>
              <w:ind w:left="0" w:right="255" w:firstLine="476" w:firstLineChars="200"/>
              <w:jc w:val="both"/>
              <w:rPr>
                <w:rFonts w:hint="default" w:ascii="宋体" w:hAnsi="宋体" w:eastAsia="宋体" w:cs="宋体"/>
                <w:sz w:val="24"/>
                <w:szCs w:val="24"/>
                <w:lang w:val="en-US" w:eastAsia="zh-CN"/>
              </w:rPr>
            </w:pPr>
            <w:r>
              <w:rPr>
                <w:rFonts w:hint="eastAsia" w:cs="宋体"/>
                <w:spacing w:val="-1"/>
                <w:lang w:val="en-US" w:eastAsia="zh-CN"/>
              </w:rPr>
              <w:t>主要受地铁业主方等客户的全年投建进度安排，一般年初确定投资量及工程调配，下半年进行计量支付及总包单位请款流程，所以主要收入确认在下半年</w:t>
            </w:r>
            <w:bookmarkStart w:id="0" w:name="_GoBack"/>
            <w:bookmarkEnd w:id="0"/>
            <w:r>
              <w:rPr>
                <w:rFonts w:hint="eastAsia" w:cs="宋体"/>
                <w:spacing w:val="-1"/>
                <w:lang w:val="en-US" w:eastAsia="zh-CN"/>
              </w:rPr>
              <w:t>，导致公司下半年收入一般比上半年收入高。</w:t>
            </w:r>
          </w:p>
        </w:tc>
      </w:tr>
    </w:tbl>
    <w:tbl>
      <w:tblPr>
        <w:tblStyle w:val="5"/>
        <w:tblpPr w:leftFromText="180" w:rightFromText="180" w:vertAnchor="text" w:horzAnchor="page" w:tblpX="1805" w:tblpY="7"/>
        <w:tblOverlap w:val="never"/>
        <w:tblW w:w="82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5888"/>
      </w:tblGrid>
      <w:tr w14:paraId="0E44F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2407" w:type="dxa"/>
            <w:tcBorders>
              <w:top w:val="nil"/>
              <w:bottom w:val="single" w:color="auto" w:sz="4" w:space="0"/>
            </w:tcBorders>
            <w:vAlign w:val="top"/>
          </w:tcPr>
          <w:p w14:paraId="21273E96">
            <w:pPr>
              <w:spacing w:line="275" w:lineRule="auto"/>
              <w:rPr>
                <w:rFonts w:ascii="Arial"/>
                <w:sz w:val="21"/>
              </w:rPr>
            </w:pPr>
          </w:p>
          <w:p w14:paraId="244CB00B">
            <w:pPr>
              <w:pStyle w:val="6"/>
              <w:spacing w:before="78" w:line="219" w:lineRule="auto"/>
              <w:ind w:left="261"/>
            </w:pPr>
            <w:r>
              <w:rPr>
                <w:b/>
                <w:bCs/>
                <w:spacing w:val="-6"/>
              </w:rPr>
              <w:t>附件清单（如有）</w:t>
            </w:r>
          </w:p>
        </w:tc>
        <w:tc>
          <w:tcPr>
            <w:tcW w:w="5888" w:type="dxa"/>
            <w:tcBorders>
              <w:top w:val="nil"/>
              <w:bottom w:val="single" w:color="auto" w:sz="4" w:space="0"/>
            </w:tcBorders>
            <w:vAlign w:val="top"/>
          </w:tcPr>
          <w:p w14:paraId="44C61E14">
            <w:pPr>
              <w:spacing w:line="275" w:lineRule="auto"/>
              <w:rPr>
                <w:rFonts w:ascii="Arial"/>
                <w:sz w:val="21"/>
              </w:rPr>
            </w:pPr>
          </w:p>
          <w:p w14:paraId="3C370379">
            <w:pPr>
              <w:pStyle w:val="6"/>
              <w:spacing w:before="78" w:line="220" w:lineRule="auto"/>
              <w:ind w:left="2829"/>
            </w:pPr>
            <w:r>
              <w:t>无</w:t>
            </w:r>
          </w:p>
        </w:tc>
      </w:tr>
      <w:tr w14:paraId="32D49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2407" w:type="dxa"/>
            <w:tcBorders>
              <w:top w:val="single" w:color="auto" w:sz="4" w:space="0"/>
            </w:tcBorders>
            <w:vAlign w:val="top"/>
          </w:tcPr>
          <w:p w14:paraId="311E30F3">
            <w:pPr>
              <w:spacing w:line="270" w:lineRule="auto"/>
              <w:rPr>
                <w:rFonts w:ascii="Arial"/>
                <w:sz w:val="21"/>
              </w:rPr>
            </w:pPr>
          </w:p>
          <w:p w14:paraId="19995618">
            <w:pPr>
              <w:pStyle w:val="6"/>
              <w:spacing w:before="78" w:line="220" w:lineRule="auto"/>
              <w:ind w:left="1007" w:leftChars="0"/>
              <w:rPr>
                <w:rFonts w:ascii="宋体" w:hAnsi="宋体" w:eastAsia="宋体" w:cs="宋体"/>
                <w:snapToGrid w:val="0"/>
                <w:color w:val="000000"/>
                <w:kern w:val="0"/>
                <w:sz w:val="24"/>
                <w:szCs w:val="24"/>
                <w:lang w:val="en-US" w:eastAsia="en-US" w:bidi="ar-SA"/>
              </w:rPr>
            </w:pPr>
            <w:r>
              <w:rPr>
                <w:b/>
                <w:bCs/>
                <w:spacing w:val="-28"/>
              </w:rPr>
              <w:t>日期</w:t>
            </w:r>
          </w:p>
        </w:tc>
        <w:tc>
          <w:tcPr>
            <w:tcW w:w="5888" w:type="dxa"/>
            <w:tcBorders>
              <w:top w:val="single" w:color="auto" w:sz="4" w:space="0"/>
            </w:tcBorders>
            <w:vAlign w:val="top"/>
          </w:tcPr>
          <w:p w14:paraId="3ADBC666">
            <w:pPr>
              <w:spacing w:line="269" w:lineRule="auto"/>
              <w:rPr>
                <w:rFonts w:ascii="Arial"/>
                <w:sz w:val="21"/>
              </w:rPr>
            </w:pPr>
          </w:p>
          <w:p w14:paraId="271A35F7">
            <w:pPr>
              <w:pStyle w:val="6"/>
              <w:spacing w:before="78" w:line="220" w:lineRule="auto"/>
              <w:ind w:left="2013" w:leftChars="0"/>
              <w:rPr>
                <w:rFonts w:ascii="宋体" w:hAnsi="宋体" w:eastAsia="宋体" w:cs="宋体"/>
                <w:snapToGrid w:val="0"/>
                <w:color w:val="000000"/>
                <w:kern w:val="0"/>
                <w:sz w:val="24"/>
                <w:szCs w:val="24"/>
                <w:lang w:val="en-US" w:eastAsia="en-US" w:bidi="ar-SA"/>
              </w:rPr>
            </w:pPr>
            <w:r>
              <w:rPr>
                <w:rFonts w:ascii="Times New Roman" w:hAnsi="Times New Roman" w:eastAsia="Times New Roman" w:cs="Times New Roman"/>
                <w:spacing w:val="-6"/>
              </w:rPr>
              <w:t>2024</w:t>
            </w:r>
            <w:r>
              <w:rPr>
                <w:spacing w:val="-6"/>
              </w:rPr>
              <w:t>年</w:t>
            </w:r>
            <w:r>
              <w:rPr>
                <w:rFonts w:hint="eastAsia" w:ascii="Times New Roman" w:hAnsi="Times New Roman" w:cs="Times New Roman"/>
                <w:spacing w:val="-6"/>
                <w:lang w:val="en-US" w:eastAsia="zh-CN"/>
              </w:rPr>
              <w:t>9</w:t>
            </w:r>
            <w:r>
              <w:rPr>
                <w:spacing w:val="-6"/>
              </w:rPr>
              <w:t>月</w:t>
            </w:r>
            <w:r>
              <w:rPr>
                <w:rFonts w:hint="eastAsia" w:ascii="Times New Roman" w:hAnsi="Times New Roman" w:cs="Times New Roman"/>
                <w:spacing w:val="-6"/>
                <w:lang w:val="en-US" w:eastAsia="zh-CN"/>
              </w:rPr>
              <w:t>24</w:t>
            </w:r>
            <w:r>
              <w:rPr>
                <w:spacing w:val="-6"/>
              </w:rPr>
              <w:t>日</w:t>
            </w:r>
          </w:p>
        </w:tc>
      </w:tr>
    </w:tbl>
    <w:p w14:paraId="70FCB774">
      <w:pPr>
        <w:rPr>
          <w:rFonts w:ascii="Arial" w:hAnsi="Arial" w:eastAsia="Arial" w:cs="Arial"/>
          <w:sz w:val="21"/>
          <w:szCs w:val="21"/>
        </w:rPr>
      </w:pPr>
    </w:p>
    <w:p w14:paraId="1906A6B8">
      <w:pPr>
        <w:rPr>
          <w:rFonts w:ascii="Arial" w:hAnsi="Arial" w:eastAsia="Arial" w:cs="Arial"/>
          <w:snapToGrid w:val="0"/>
          <w:color w:val="000000"/>
          <w:kern w:val="0"/>
          <w:sz w:val="21"/>
          <w:szCs w:val="21"/>
          <w:lang w:val="en-US" w:eastAsia="en-US" w:bidi="ar-SA"/>
        </w:rPr>
      </w:pPr>
    </w:p>
    <w:p w14:paraId="310D6714">
      <w:pPr>
        <w:rPr>
          <w:lang w:val="en-US" w:eastAsia="en-US"/>
        </w:rPr>
      </w:pPr>
    </w:p>
    <w:p w14:paraId="67B0950D">
      <w:pPr>
        <w:rPr>
          <w:lang w:val="en-US" w:eastAsia="en-US"/>
        </w:rPr>
      </w:pPr>
    </w:p>
    <w:p w14:paraId="69D86C42">
      <w:pPr>
        <w:rPr>
          <w:lang w:val="en-US" w:eastAsia="en-US"/>
        </w:rPr>
      </w:pPr>
    </w:p>
    <w:p w14:paraId="23A58990">
      <w:pPr>
        <w:rPr>
          <w:lang w:val="en-US" w:eastAsia="en-US"/>
        </w:rPr>
      </w:pPr>
    </w:p>
    <w:p w14:paraId="6B63DA9C">
      <w:pPr>
        <w:tabs>
          <w:tab w:val="left" w:pos="2094"/>
        </w:tabs>
        <w:rPr>
          <w:rFonts w:hint="eastAsia"/>
          <w:lang w:val="en-US" w:eastAsia="zh-CN"/>
        </w:rPr>
      </w:pPr>
      <w:r>
        <w:rPr>
          <w:rFonts w:hint="eastAsia" w:eastAsia="宋体"/>
          <w:lang w:val="en-US" w:eastAsia="zh-CN"/>
        </w:rPr>
        <w:tab/>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QzZTNiZDBmMTk2NWU5YTI1YmZlN2M0MjhhMjg3NzYifQ=="/>
  </w:docVars>
  <w:rsids>
    <w:rsidRoot w:val="00000000"/>
    <w:rsid w:val="007C0F2D"/>
    <w:rsid w:val="01852593"/>
    <w:rsid w:val="087936BC"/>
    <w:rsid w:val="0EA53D44"/>
    <w:rsid w:val="0F02798F"/>
    <w:rsid w:val="11E132E5"/>
    <w:rsid w:val="15DF7B3C"/>
    <w:rsid w:val="19FD3FDF"/>
    <w:rsid w:val="1AB126A6"/>
    <w:rsid w:val="1B2D1349"/>
    <w:rsid w:val="1E322697"/>
    <w:rsid w:val="2698258D"/>
    <w:rsid w:val="28527FD1"/>
    <w:rsid w:val="312A215B"/>
    <w:rsid w:val="33B06E98"/>
    <w:rsid w:val="3B7A3CDF"/>
    <w:rsid w:val="470513F8"/>
    <w:rsid w:val="48C04CFB"/>
    <w:rsid w:val="51E74D80"/>
    <w:rsid w:val="537D3C18"/>
    <w:rsid w:val="5C6747DA"/>
    <w:rsid w:val="65E55731"/>
    <w:rsid w:val="6B206150"/>
    <w:rsid w:val="6EC8494C"/>
    <w:rsid w:val="731036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1919</Words>
  <Characters>2028</Characters>
  <TotalTime>12</TotalTime>
  <ScaleCrop>false</ScaleCrop>
  <LinksUpToDate>false</LinksUpToDate>
  <CharactersWithSpaces>2075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2024-03-18T03:40:00Z</dcterms:created>
  <dc:creator>荣大-李雷</dc:creator>
  <cp:lastModifiedBy>Melody</cp:lastModifiedBy>
  <dcterms:modified xsi:type="dcterms:W3CDTF">2024-09-23T07:49:52Z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2024-07-26T10:33:54Z</vt:filetime>
  </property>
  <property fmtid="{D5CDD505-2E9C-101B-9397-08002B2CF9AE}" pid="4" name="KSOProductBuildVer">
    <vt:lpwstr>2052-12.1.0.18276</vt:lpwstr>
  </property>
  <property fmtid="{D5CDD505-2E9C-101B-9397-08002B2CF9AE}" pid="5" name="ICV">
    <vt:lpwstr>9718B6EB5E3A4D86AB13106D5914EEC2_13</vt:lpwstr>
  </property>
</Properties>
</file>