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0115A">
      <w:pPr>
        <w:spacing w:before="182" w:line="316" w:lineRule="auto"/>
        <w:ind w:left="2775" w:right="1919" w:hanging="842"/>
        <w:outlineLvl w:val="0"/>
        <w:rPr>
          <w:rFonts w:ascii="宋体" w:hAnsi="宋体" w:eastAsia="宋体" w:cs="宋体"/>
          <w:sz w:val="28"/>
          <w:szCs w:val="28"/>
        </w:rPr>
      </w:pPr>
      <w:r>
        <w:rPr>
          <w:rFonts w:ascii="宋体" w:hAnsi="宋体" w:eastAsia="宋体" w:cs="宋体"/>
          <w:b/>
          <w:bCs/>
          <w:spacing w:val="-3"/>
          <w:sz w:val="28"/>
          <w:szCs w:val="28"/>
        </w:rPr>
        <w:t>北京九州一轨环境科技股份有限公司</w:t>
      </w:r>
      <w:r>
        <w:rPr>
          <w:rFonts w:ascii="宋体" w:hAnsi="宋体" w:eastAsia="宋体" w:cs="宋体"/>
          <w:b/>
          <w:bCs/>
          <w:spacing w:val="-4"/>
          <w:sz w:val="28"/>
          <w:szCs w:val="28"/>
        </w:rPr>
        <w:t>投资者关系活动记录表</w:t>
      </w:r>
    </w:p>
    <w:p w14:paraId="077BCB6C">
      <w:pPr>
        <w:spacing w:before="153" w:line="211" w:lineRule="auto"/>
        <w:ind w:left="263"/>
        <w:rPr>
          <w:rFonts w:hint="eastAsia" w:ascii="Times New Roman" w:hAnsi="Times New Roman" w:eastAsia="宋体" w:cs="Times New Roman"/>
          <w:sz w:val="24"/>
          <w:szCs w:val="24"/>
          <w:highlight w:val="yellow"/>
          <w:lang w:val="en-US" w:eastAsia="zh-CN"/>
        </w:rPr>
      </w:pPr>
      <w:r>
        <w:rPr>
          <w:rFonts w:ascii="宋体" w:hAnsi="宋体" w:eastAsia="宋体" w:cs="宋体"/>
          <w:b/>
          <w:bCs/>
          <w:sz w:val="24"/>
          <w:szCs w:val="24"/>
        </w:rPr>
        <w:t>证券简称：九州一轨</w:t>
      </w:r>
      <w:r>
        <w:rPr>
          <w:rFonts w:hint="eastAsia" w:ascii="宋体" w:hAnsi="宋体" w:eastAsia="宋体" w:cs="宋体"/>
          <w:b/>
          <w:bCs/>
          <w:sz w:val="24"/>
          <w:szCs w:val="24"/>
          <w:lang w:val="en-US" w:eastAsia="zh-CN"/>
        </w:rPr>
        <w:t xml:space="preserve">         </w:t>
      </w:r>
      <w:r>
        <w:rPr>
          <w:rFonts w:ascii="宋体" w:hAnsi="宋体" w:eastAsia="宋体" w:cs="宋体"/>
          <w:b/>
          <w:bCs/>
          <w:sz w:val="24"/>
          <w:szCs w:val="24"/>
        </w:rPr>
        <w:t>证券代</w:t>
      </w:r>
      <w:r>
        <w:rPr>
          <w:rFonts w:ascii="宋体" w:hAnsi="宋体" w:eastAsia="宋体" w:cs="宋体"/>
          <w:b/>
          <w:bCs/>
          <w:spacing w:val="-1"/>
          <w:sz w:val="24"/>
          <w:szCs w:val="24"/>
        </w:rPr>
        <w:t>码：</w:t>
      </w:r>
      <w:r>
        <w:rPr>
          <w:rFonts w:ascii="Times New Roman" w:hAnsi="Times New Roman" w:eastAsia="Times New Roman" w:cs="Times New Roman"/>
          <w:b/>
          <w:bCs/>
          <w:spacing w:val="-1"/>
          <w:sz w:val="24"/>
          <w:szCs w:val="24"/>
        </w:rPr>
        <w:t>688485</w:t>
      </w:r>
      <w:r>
        <w:rPr>
          <w:rFonts w:hint="eastAsia" w:ascii="Times New Roman" w:hAnsi="Times New Roman" w:eastAsia="宋体" w:cs="Times New Roman"/>
          <w:b/>
          <w:bCs/>
          <w:spacing w:val="-1"/>
          <w:sz w:val="24"/>
          <w:szCs w:val="24"/>
          <w:lang w:val="en-US" w:eastAsia="zh-CN"/>
        </w:rPr>
        <w:t xml:space="preserve">                    </w:t>
      </w:r>
      <w:r>
        <w:rPr>
          <w:rFonts w:ascii="宋体" w:hAnsi="宋体" w:eastAsia="宋体" w:cs="宋体"/>
          <w:b/>
          <w:bCs/>
          <w:spacing w:val="-1"/>
          <w:sz w:val="24"/>
          <w:szCs w:val="24"/>
        </w:rPr>
        <w:t>编号：</w:t>
      </w:r>
      <w:r>
        <w:rPr>
          <w:rFonts w:ascii="Times New Roman" w:hAnsi="Times New Roman" w:eastAsia="Times New Roman" w:cs="Times New Roman"/>
          <w:b/>
          <w:bCs/>
          <w:spacing w:val="-1"/>
          <w:sz w:val="24"/>
          <w:szCs w:val="24"/>
        </w:rPr>
        <w:t>2024-00</w:t>
      </w:r>
      <w:r>
        <w:rPr>
          <w:rFonts w:hint="eastAsia" w:ascii="Times New Roman" w:hAnsi="Times New Roman" w:eastAsia="宋体" w:cs="Times New Roman"/>
          <w:b/>
          <w:bCs/>
          <w:spacing w:val="-1"/>
          <w:sz w:val="24"/>
          <w:szCs w:val="24"/>
          <w:lang w:val="en-US" w:eastAsia="zh-CN"/>
        </w:rPr>
        <w:t>5</w:t>
      </w:r>
    </w:p>
    <w:p w14:paraId="36A97F2A"/>
    <w:tbl>
      <w:tblPr>
        <w:tblStyle w:val="5"/>
        <w:tblW w:w="8295"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7"/>
        <w:gridCol w:w="5888"/>
      </w:tblGrid>
      <w:tr w14:paraId="75148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restart"/>
            <w:vAlign w:val="center"/>
          </w:tcPr>
          <w:p w14:paraId="0C833084">
            <w:pPr>
              <w:pStyle w:val="6"/>
              <w:spacing w:before="78" w:line="230" w:lineRule="auto"/>
              <w:ind w:right="477"/>
              <w:jc w:val="center"/>
              <w:rPr>
                <w:b/>
                <w:bCs/>
                <w:spacing w:val="-4"/>
              </w:rPr>
            </w:pPr>
            <w:r>
              <w:rPr>
                <w:b/>
                <w:bCs/>
                <w:spacing w:val="-4"/>
              </w:rPr>
              <w:t>投资者关系活动</w:t>
            </w:r>
            <w:r>
              <w:rPr>
                <w:b/>
                <w:bCs/>
                <w:spacing w:val="-7"/>
              </w:rPr>
              <w:t>类别</w:t>
            </w:r>
          </w:p>
        </w:tc>
        <w:tc>
          <w:tcPr>
            <w:tcW w:w="5888" w:type="dxa"/>
            <w:tcBorders>
              <w:bottom w:val="nil"/>
            </w:tcBorders>
            <w:vAlign w:val="center"/>
          </w:tcPr>
          <w:p w14:paraId="14B20653">
            <w:pPr>
              <w:pStyle w:val="6"/>
              <w:autoSpaceDE/>
              <w:autoSpaceDN/>
              <w:spacing w:before="115" w:line="200" w:lineRule="auto"/>
              <w:ind w:left="0" w:firstLine="246" w:firstLineChars="100"/>
              <w:rPr>
                <w:rFonts w:hint="default" w:eastAsia="微软雅黑"/>
                <w:lang w:val="en-US" w:eastAsia="zh-CN"/>
              </w:rPr>
            </w:pPr>
            <w:r>
              <w:rPr>
                <w:rFonts w:ascii="微软雅黑" w:hAnsi="微软雅黑" w:eastAsia="微软雅黑" w:cs="微软雅黑"/>
                <w:spacing w:val="3"/>
              </w:rPr>
              <w:sym w:font="Wingdings 2" w:char="0052"/>
            </w:r>
            <w:r>
              <w:rPr>
                <w:spacing w:val="3"/>
              </w:rPr>
              <w:t>特定对象调研</w:t>
            </w:r>
            <w:r>
              <w:rPr>
                <w:rFonts w:hint="eastAsia"/>
                <w:spacing w:val="3"/>
                <w:lang w:val="en-US" w:eastAsia="zh-CN"/>
              </w:rPr>
              <w:t xml:space="preserve">  </w:t>
            </w:r>
            <w:r>
              <w:rPr>
                <w:rFonts w:ascii="微软雅黑" w:hAnsi="微软雅黑" w:eastAsia="微软雅黑" w:cs="微软雅黑"/>
                <w:spacing w:val="3"/>
              </w:rPr>
              <w:sym w:font="Wingdings 2" w:char="00A3"/>
            </w:r>
            <w:r>
              <w:rPr>
                <w:rFonts w:hint="default" w:eastAsia="宋体"/>
                <w:spacing w:val="-5"/>
                <w:lang w:val="en-US" w:eastAsia="zh-CN"/>
              </w:rPr>
              <w:t>分析师会议</w:t>
            </w:r>
          </w:p>
          <w:p w14:paraId="3CB117ED">
            <w:pPr>
              <w:pStyle w:val="6"/>
              <w:spacing w:before="27" w:line="202" w:lineRule="auto"/>
              <w:ind w:firstLine="0" w:firstLineChars="0"/>
              <w:jc w:val="left"/>
            </w:pPr>
          </w:p>
        </w:tc>
      </w:tr>
      <w:tr w14:paraId="7CA8D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continue"/>
            <w:vAlign w:val="top"/>
          </w:tcPr>
          <w:p w14:paraId="6B130788">
            <w:pPr>
              <w:pStyle w:val="6"/>
              <w:spacing w:before="78" w:line="230" w:lineRule="auto"/>
              <w:ind w:right="477"/>
              <w:jc w:val="center"/>
              <w:rPr>
                <w:b/>
                <w:bCs/>
                <w:spacing w:val="-4"/>
              </w:rPr>
            </w:pPr>
          </w:p>
        </w:tc>
        <w:tc>
          <w:tcPr>
            <w:tcW w:w="5888" w:type="dxa"/>
            <w:tcBorders>
              <w:top w:val="nil"/>
              <w:bottom w:val="nil"/>
            </w:tcBorders>
            <w:vAlign w:val="center"/>
          </w:tcPr>
          <w:p w14:paraId="2E818838">
            <w:pPr>
              <w:pStyle w:val="6"/>
              <w:spacing w:before="182" w:line="220" w:lineRule="auto"/>
              <w:ind w:left="0" w:firstLine="228" w:firstLineChars="100"/>
              <w:rPr>
                <w:rFonts w:hint="default" w:eastAsia="宋体"/>
                <w:lang w:val="en-US" w:eastAsia="zh-CN"/>
              </w:rPr>
            </w:pPr>
            <w:r>
              <w:rPr>
                <w:spacing w:val="-6"/>
              </w:rPr>
              <w:t>□媒体采访</w:t>
            </w:r>
            <w:r>
              <w:rPr>
                <w:rFonts w:hint="eastAsia"/>
                <w:spacing w:val="-6"/>
                <w:lang w:val="en-US" w:eastAsia="zh-CN"/>
              </w:rPr>
              <w:t xml:space="preserve">      </w:t>
            </w:r>
            <w:r>
              <w:rPr>
                <w:spacing w:val="-5"/>
              </w:rPr>
              <w:t>□业绩说明会</w:t>
            </w:r>
          </w:p>
          <w:p w14:paraId="1319A405">
            <w:pPr>
              <w:pStyle w:val="6"/>
              <w:spacing w:before="27" w:line="202" w:lineRule="auto"/>
              <w:ind w:firstLine="960" w:firstLineChars="400"/>
              <w:jc w:val="left"/>
            </w:pPr>
          </w:p>
        </w:tc>
      </w:tr>
      <w:tr w14:paraId="20352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continue"/>
            <w:vAlign w:val="top"/>
          </w:tcPr>
          <w:p w14:paraId="6FE942A3">
            <w:pPr>
              <w:pStyle w:val="6"/>
              <w:spacing w:before="78" w:line="230" w:lineRule="auto"/>
              <w:ind w:right="477"/>
              <w:jc w:val="center"/>
              <w:rPr>
                <w:b/>
                <w:bCs/>
                <w:spacing w:val="-4"/>
              </w:rPr>
            </w:pPr>
          </w:p>
        </w:tc>
        <w:tc>
          <w:tcPr>
            <w:tcW w:w="5888" w:type="dxa"/>
            <w:tcBorders>
              <w:top w:val="nil"/>
              <w:bottom w:val="nil"/>
            </w:tcBorders>
            <w:vAlign w:val="center"/>
          </w:tcPr>
          <w:p w14:paraId="07A894CE">
            <w:pPr>
              <w:pStyle w:val="6"/>
              <w:autoSpaceDE/>
              <w:autoSpaceDN/>
              <w:spacing w:before="182" w:line="221" w:lineRule="auto"/>
              <w:ind w:left="0" w:firstLine="230" w:firstLineChars="100"/>
              <w:rPr>
                <w:rFonts w:hint="default" w:eastAsia="宋体"/>
                <w:lang w:val="en-US" w:eastAsia="zh-CN"/>
              </w:rPr>
            </w:pPr>
            <w:r>
              <w:rPr>
                <w:spacing w:val="-5"/>
              </w:rPr>
              <w:t>□新闻发布会</w:t>
            </w:r>
            <w:r>
              <w:rPr>
                <w:rFonts w:hint="eastAsia"/>
                <w:spacing w:val="-5"/>
                <w:lang w:val="en-US" w:eastAsia="zh-CN"/>
              </w:rPr>
              <w:t xml:space="preserve">    </w:t>
            </w:r>
            <w:r>
              <w:rPr>
                <w:rFonts w:hint="eastAsia"/>
                <w:spacing w:val="-6"/>
                <w:lang w:eastAsia="zh-CN"/>
              </w:rPr>
              <w:t>□</w:t>
            </w:r>
            <w:r>
              <w:rPr>
                <w:spacing w:val="-6"/>
              </w:rPr>
              <w:t>路演活动</w:t>
            </w:r>
          </w:p>
          <w:p w14:paraId="4909A4B7">
            <w:pPr>
              <w:pStyle w:val="6"/>
              <w:spacing w:before="27" w:line="202" w:lineRule="auto"/>
              <w:ind w:firstLine="960" w:firstLineChars="400"/>
              <w:jc w:val="left"/>
            </w:pPr>
          </w:p>
        </w:tc>
      </w:tr>
      <w:tr w14:paraId="659B5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407" w:type="dxa"/>
            <w:vMerge w:val="continue"/>
            <w:vAlign w:val="top"/>
          </w:tcPr>
          <w:p w14:paraId="111C57C6">
            <w:pPr>
              <w:pStyle w:val="6"/>
              <w:spacing w:before="78" w:line="230" w:lineRule="auto"/>
              <w:ind w:right="477"/>
              <w:jc w:val="center"/>
              <w:rPr>
                <w:b/>
                <w:bCs/>
                <w:spacing w:val="-4"/>
              </w:rPr>
            </w:pPr>
          </w:p>
        </w:tc>
        <w:tc>
          <w:tcPr>
            <w:tcW w:w="5888" w:type="dxa"/>
            <w:tcBorders>
              <w:top w:val="nil"/>
            </w:tcBorders>
            <w:vAlign w:val="center"/>
          </w:tcPr>
          <w:p w14:paraId="42A963A0">
            <w:pPr>
              <w:pStyle w:val="6"/>
              <w:autoSpaceDE/>
              <w:autoSpaceDN/>
              <w:spacing w:before="27" w:line="202" w:lineRule="auto"/>
              <w:ind w:firstLine="254" w:firstLineChars="100"/>
              <w:jc w:val="left"/>
              <w:rPr>
                <w:rFonts w:hint="default" w:eastAsia="宋体"/>
                <w:lang w:val="en-US" w:eastAsia="zh-CN"/>
              </w:rPr>
            </w:pPr>
            <w:r>
              <w:rPr>
                <w:rFonts w:ascii="微软雅黑" w:hAnsi="微软雅黑" w:eastAsia="微软雅黑" w:cs="微软雅黑"/>
                <w:spacing w:val="7"/>
              </w:rPr>
              <w:sym w:font="Wingdings 2" w:char="00A3"/>
            </w:r>
            <w:r>
              <w:rPr>
                <w:spacing w:val="7"/>
              </w:rPr>
              <w:t>现场参观</w:t>
            </w:r>
            <w:r>
              <w:rPr>
                <w:rFonts w:hint="eastAsia"/>
                <w:spacing w:val="7"/>
                <w:lang w:val="en-US" w:eastAsia="zh-CN"/>
              </w:rPr>
              <w:t xml:space="preserve">     </w:t>
            </w:r>
            <w:r>
              <w:rPr>
                <w:spacing w:val="-6"/>
              </w:rPr>
              <w:sym w:font="Wingdings 2" w:char="00A3"/>
            </w:r>
            <w:r>
              <w:rPr>
                <w:rFonts w:hint="eastAsia"/>
                <w:spacing w:val="-6"/>
                <w:lang w:val="en-US" w:eastAsia="zh-CN"/>
              </w:rPr>
              <w:t>其他（请文字说明其他活动内容）</w:t>
            </w:r>
          </w:p>
        </w:tc>
      </w:tr>
      <w:tr w14:paraId="075E4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2407" w:type="dxa"/>
            <w:vAlign w:val="top"/>
          </w:tcPr>
          <w:p w14:paraId="13F6EDE9">
            <w:pPr>
              <w:pStyle w:val="6"/>
              <w:spacing w:before="78" w:line="230" w:lineRule="auto"/>
              <w:ind w:right="477"/>
              <w:jc w:val="center"/>
              <w:rPr>
                <w:spacing w:val="1"/>
              </w:rPr>
            </w:pPr>
            <w:r>
              <w:rPr>
                <w:b/>
                <w:bCs/>
                <w:spacing w:val="-4"/>
              </w:rPr>
              <w:t>参与单位名称</w:t>
            </w:r>
          </w:p>
          <w:p w14:paraId="3E943D1A">
            <w:pPr>
              <w:pStyle w:val="6"/>
              <w:spacing w:before="78" w:line="230" w:lineRule="auto"/>
              <w:ind w:right="477"/>
              <w:jc w:val="center"/>
            </w:pPr>
            <w:r>
              <w:rPr>
                <w:b/>
                <w:bCs/>
                <w:spacing w:val="-4"/>
              </w:rPr>
              <w:t>及人员姓名</w:t>
            </w:r>
          </w:p>
        </w:tc>
        <w:tc>
          <w:tcPr>
            <w:tcW w:w="5888" w:type="dxa"/>
            <w:vAlign w:val="center"/>
          </w:tcPr>
          <w:p w14:paraId="4CAF6464">
            <w:pPr>
              <w:pStyle w:val="6"/>
              <w:spacing w:before="26" w:line="230" w:lineRule="auto"/>
              <w:ind w:left="1211" w:right="839" w:hanging="360" w:firstLineChars="0"/>
              <w:jc w:val="left"/>
              <w:rPr>
                <w:rFonts w:hint="eastAsia"/>
                <w:spacing w:val="-1"/>
                <w:lang w:val="en-US" w:eastAsia="zh-CN"/>
              </w:rPr>
            </w:pPr>
            <w:r>
              <w:rPr>
                <w:rFonts w:hint="eastAsia"/>
                <w:spacing w:val="-1"/>
                <w:lang w:val="en-US" w:eastAsia="zh-CN"/>
              </w:rPr>
              <w:t>东北证券股份有限公司廖祥浩</w:t>
            </w:r>
          </w:p>
          <w:p w14:paraId="70CE1CEC">
            <w:pPr>
              <w:pStyle w:val="6"/>
              <w:spacing w:before="26" w:line="230" w:lineRule="auto"/>
              <w:ind w:left="1211" w:right="839" w:hanging="360" w:firstLineChars="0"/>
              <w:jc w:val="left"/>
              <w:rPr>
                <w:rFonts w:hint="eastAsia"/>
                <w:spacing w:val="-1"/>
                <w:lang w:val="en-US" w:eastAsia="zh-CN"/>
              </w:rPr>
            </w:pPr>
            <w:r>
              <w:rPr>
                <w:rFonts w:hint="eastAsia"/>
                <w:spacing w:val="-1"/>
                <w:lang w:val="en-US" w:eastAsia="zh-CN"/>
              </w:rPr>
              <w:t>江苏瑞华投资控股集团有限公司孔祥东</w:t>
            </w:r>
          </w:p>
          <w:p w14:paraId="1CC1DA95">
            <w:pPr>
              <w:pStyle w:val="6"/>
              <w:spacing w:before="26" w:line="230" w:lineRule="auto"/>
              <w:ind w:left="1211" w:right="839" w:hanging="360" w:firstLineChars="0"/>
              <w:jc w:val="left"/>
              <w:rPr>
                <w:rFonts w:hint="eastAsia"/>
                <w:spacing w:val="-1"/>
                <w:lang w:val="en-US" w:eastAsia="zh-CN"/>
              </w:rPr>
            </w:pPr>
            <w:r>
              <w:rPr>
                <w:rFonts w:hint="eastAsia"/>
                <w:spacing w:val="-1"/>
                <w:lang w:val="en-US" w:eastAsia="zh-CN"/>
              </w:rPr>
              <w:t>国金证券股份有限公司赵治健</w:t>
            </w:r>
          </w:p>
          <w:p w14:paraId="7EB1E1A8">
            <w:pPr>
              <w:pStyle w:val="6"/>
              <w:spacing w:before="26" w:line="230" w:lineRule="auto"/>
              <w:ind w:left="1211" w:right="839" w:hanging="360" w:firstLineChars="0"/>
              <w:jc w:val="left"/>
              <w:rPr>
                <w:rFonts w:hint="eastAsia"/>
                <w:spacing w:val="-1"/>
                <w:lang w:val="en-US" w:eastAsia="zh-CN"/>
              </w:rPr>
            </w:pPr>
            <w:r>
              <w:rPr>
                <w:rFonts w:hint="eastAsia"/>
                <w:spacing w:val="-1"/>
                <w:lang w:val="en-US" w:eastAsia="zh-CN"/>
              </w:rPr>
              <w:t>财通基金管理有限公司陈云鹏</w:t>
            </w:r>
          </w:p>
          <w:p w14:paraId="567A908F">
            <w:pPr>
              <w:pStyle w:val="6"/>
              <w:spacing w:before="26" w:line="230" w:lineRule="auto"/>
              <w:ind w:right="839"/>
              <w:jc w:val="center"/>
              <w:rPr>
                <w:rFonts w:hint="default"/>
                <w:spacing w:val="-1"/>
                <w:lang w:val="en-US" w:eastAsia="zh-CN"/>
              </w:rPr>
            </w:pPr>
            <w:r>
              <w:rPr>
                <w:rFonts w:hint="eastAsia"/>
                <w:spacing w:val="-1"/>
                <w:lang w:val="en-US" w:eastAsia="zh-CN"/>
              </w:rPr>
              <w:t>上海细水投资管理有限公司刘伟</w:t>
            </w:r>
          </w:p>
        </w:tc>
      </w:tr>
      <w:tr w14:paraId="6D437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2407" w:type="dxa"/>
            <w:vAlign w:val="top"/>
          </w:tcPr>
          <w:p w14:paraId="799C67DA">
            <w:pPr>
              <w:pStyle w:val="6"/>
              <w:spacing w:before="139" w:line="222" w:lineRule="auto"/>
              <w:ind w:left="977"/>
            </w:pPr>
            <w:r>
              <w:rPr>
                <w:b/>
                <w:bCs/>
                <w:spacing w:val="-13"/>
              </w:rPr>
              <w:t>时间</w:t>
            </w:r>
          </w:p>
        </w:tc>
        <w:tc>
          <w:tcPr>
            <w:tcW w:w="5888" w:type="dxa"/>
            <w:vAlign w:val="top"/>
          </w:tcPr>
          <w:p w14:paraId="1C9EC1E4">
            <w:pPr>
              <w:pStyle w:val="6"/>
              <w:autoSpaceDE/>
              <w:autoSpaceDN/>
              <w:spacing w:before="139" w:line="221" w:lineRule="auto"/>
              <w:ind w:left="0"/>
              <w:jc w:val="center"/>
            </w:pPr>
            <w:r>
              <w:rPr>
                <w:rFonts w:ascii="Times New Roman" w:hAnsi="Times New Roman" w:eastAsia="Times New Roman" w:cs="Times New Roman"/>
                <w:spacing w:val="-6"/>
              </w:rPr>
              <w:t>2024</w:t>
            </w:r>
            <w:r>
              <w:rPr>
                <w:spacing w:val="-6"/>
              </w:rPr>
              <w:t>年</w:t>
            </w:r>
            <w:r>
              <w:rPr>
                <w:rFonts w:hint="eastAsia" w:ascii="Times New Roman" w:hAnsi="Times New Roman" w:cs="Times New Roman"/>
                <w:spacing w:val="-6"/>
                <w:lang w:val="en-US" w:eastAsia="zh-CN"/>
              </w:rPr>
              <w:t>9</w:t>
            </w:r>
            <w:r>
              <w:rPr>
                <w:spacing w:val="-6"/>
              </w:rPr>
              <w:t>月</w:t>
            </w:r>
            <w:r>
              <w:rPr>
                <w:rFonts w:hint="eastAsia" w:ascii="Times New Roman" w:hAnsi="Times New Roman" w:cs="Times New Roman"/>
                <w:spacing w:val="-6"/>
                <w:lang w:val="en-US" w:eastAsia="zh-CN"/>
              </w:rPr>
              <w:t>24</w:t>
            </w:r>
            <w:r>
              <w:rPr>
                <w:spacing w:val="-6"/>
              </w:rPr>
              <w:t>日</w:t>
            </w:r>
          </w:p>
        </w:tc>
      </w:tr>
      <w:tr w14:paraId="4A06A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407" w:type="dxa"/>
            <w:vAlign w:val="center"/>
          </w:tcPr>
          <w:p w14:paraId="5A17A68E">
            <w:pPr>
              <w:pStyle w:val="6"/>
              <w:spacing w:before="78" w:line="224" w:lineRule="auto"/>
              <w:ind w:left="0"/>
              <w:jc w:val="center"/>
            </w:pPr>
            <w:r>
              <w:rPr>
                <w:b/>
                <w:bCs/>
                <w:spacing w:val="-7"/>
              </w:rPr>
              <w:t>地点</w:t>
            </w:r>
          </w:p>
        </w:tc>
        <w:tc>
          <w:tcPr>
            <w:tcW w:w="5888" w:type="dxa"/>
            <w:vAlign w:val="center"/>
          </w:tcPr>
          <w:p w14:paraId="0B1820B3">
            <w:pPr>
              <w:pStyle w:val="6"/>
              <w:spacing w:before="78" w:line="219" w:lineRule="auto"/>
              <w:ind w:left="0"/>
              <w:jc w:val="center"/>
              <w:rPr>
                <w:rFonts w:hint="default" w:eastAsia="宋体"/>
                <w:lang w:val="en-US" w:eastAsia="zh-CN"/>
              </w:rPr>
            </w:pPr>
            <w:r>
              <w:rPr>
                <w:rFonts w:hint="eastAsia"/>
                <w:spacing w:val="-2"/>
                <w:lang w:val="en-US" w:eastAsia="zh-CN"/>
              </w:rPr>
              <w:t>上海、线上</w:t>
            </w:r>
          </w:p>
        </w:tc>
      </w:tr>
      <w:tr w14:paraId="0844F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407" w:type="dxa"/>
            <w:vAlign w:val="top"/>
          </w:tcPr>
          <w:p w14:paraId="40878D59">
            <w:pPr>
              <w:spacing w:line="272" w:lineRule="auto"/>
              <w:rPr>
                <w:rFonts w:ascii="Arial"/>
                <w:sz w:val="21"/>
              </w:rPr>
            </w:pPr>
          </w:p>
          <w:p w14:paraId="12A762E0">
            <w:pPr>
              <w:pStyle w:val="6"/>
              <w:spacing w:before="78" w:line="230" w:lineRule="auto"/>
              <w:ind w:left="964" w:right="236" w:hanging="720"/>
            </w:pPr>
            <w:r>
              <w:rPr>
                <w:b/>
                <w:bCs/>
                <w:spacing w:val="-4"/>
              </w:rPr>
              <w:t>上市公司接待人员</w:t>
            </w:r>
            <w:r>
              <w:rPr>
                <w:b/>
                <w:bCs/>
                <w:spacing w:val="-7"/>
              </w:rPr>
              <w:t>姓名</w:t>
            </w:r>
          </w:p>
        </w:tc>
        <w:tc>
          <w:tcPr>
            <w:tcW w:w="5888" w:type="dxa"/>
            <w:vAlign w:val="center"/>
          </w:tcPr>
          <w:p w14:paraId="035194D9">
            <w:pPr>
              <w:pStyle w:val="6"/>
              <w:spacing w:before="26" w:line="230" w:lineRule="auto"/>
              <w:ind w:left="1211" w:right="839" w:hanging="360"/>
              <w:jc w:val="center"/>
              <w:rPr>
                <w:rFonts w:hint="eastAsia"/>
                <w:spacing w:val="-1"/>
                <w:lang w:val="en-US" w:eastAsia="zh-CN"/>
              </w:rPr>
            </w:pPr>
            <w:r>
              <w:rPr>
                <w:rFonts w:hint="eastAsia"/>
                <w:spacing w:val="-1"/>
                <w:lang w:val="en-US" w:eastAsia="zh-CN"/>
              </w:rPr>
              <w:t>副总裁兼董事会秘书张侃、</w:t>
            </w:r>
          </w:p>
          <w:p w14:paraId="20C696C1">
            <w:pPr>
              <w:pStyle w:val="6"/>
              <w:spacing w:before="26" w:line="230" w:lineRule="auto"/>
              <w:ind w:left="1211" w:right="839" w:hanging="360"/>
              <w:jc w:val="center"/>
            </w:pPr>
            <w:r>
              <w:rPr>
                <w:rFonts w:hint="eastAsia"/>
                <w:spacing w:val="-1"/>
                <w:lang w:val="en-US" w:eastAsia="zh-CN"/>
              </w:rPr>
              <w:t>董事会办公室主任兼证券事务代表林静</w:t>
            </w:r>
          </w:p>
        </w:tc>
      </w:tr>
      <w:tr w14:paraId="0DD69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vAlign w:val="top"/>
          </w:tcPr>
          <w:p w14:paraId="3C7A5615">
            <w:pPr>
              <w:spacing w:line="298" w:lineRule="auto"/>
              <w:rPr>
                <w:rFonts w:ascii="Arial"/>
                <w:sz w:val="21"/>
              </w:rPr>
            </w:pPr>
          </w:p>
          <w:p w14:paraId="76A84B3A">
            <w:pPr>
              <w:spacing w:line="298" w:lineRule="auto"/>
              <w:rPr>
                <w:rFonts w:ascii="Arial"/>
                <w:sz w:val="21"/>
              </w:rPr>
            </w:pPr>
          </w:p>
          <w:p w14:paraId="18E573B8">
            <w:pPr>
              <w:spacing w:line="299" w:lineRule="auto"/>
              <w:rPr>
                <w:rFonts w:ascii="Arial"/>
                <w:sz w:val="21"/>
              </w:rPr>
            </w:pPr>
          </w:p>
          <w:p w14:paraId="6E626AF0">
            <w:pPr>
              <w:pStyle w:val="6"/>
              <w:spacing w:before="78" w:line="229" w:lineRule="auto"/>
              <w:ind w:left="753" w:right="116" w:hanging="628"/>
            </w:pPr>
            <w:r>
              <w:rPr>
                <w:b/>
                <w:bCs/>
                <w:spacing w:val="-4"/>
              </w:rPr>
              <w:t>投资者关系活动主要</w:t>
            </w:r>
            <w:r>
              <w:rPr>
                <w:b/>
                <w:bCs/>
                <w:spacing w:val="-12"/>
              </w:rPr>
              <w:t>内容介绍</w:t>
            </w:r>
          </w:p>
        </w:tc>
        <w:tc>
          <w:tcPr>
            <w:tcW w:w="5888" w:type="dxa"/>
            <w:vAlign w:val="top"/>
          </w:tcPr>
          <w:p w14:paraId="68F0F2A6">
            <w:pPr>
              <w:pStyle w:val="6"/>
              <w:spacing w:before="38" w:line="233" w:lineRule="auto"/>
              <w:ind w:left="0" w:right="101" w:firstLine="466" w:firstLineChars="200"/>
              <w:jc w:val="both"/>
              <w:rPr>
                <w:rFonts w:hint="default" w:eastAsia="宋体"/>
                <w:lang w:val="en-US" w:eastAsia="zh-CN"/>
              </w:rPr>
            </w:pPr>
            <w:r>
              <w:rPr>
                <w:b/>
                <w:bCs/>
                <w:spacing w:val="-4"/>
              </w:rPr>
              <w:t>一、公司的</w:t>
            </w:r>
            <w:r>
              <w:rPr>
                <w:rFonts w:hint="eastAsia"/>
                <w:b/>
                <w:bCs/>
                <w:spacing w:val="-4"/>
                <w:lang w:val="en-US" w:eastAsia="zh-CN"/>
              </w:rPr>
              <w:t>发展历程</w:t>
            </w:r>
          </w:p>
          <w:p w14:paraId="7EB83F88">
            <w:pPr>
              <w:pStyle w:val="6"/>
              <w:spacing w:before="38" w:line="233" w:lineRule="auto"/>
              <w:ind w:left="0" w:right="101" w:firstLine="400" w:firstLineChars="200"/>
              <w:jc w:val="both"/>
            </w:pPr>
            <w:r>
              <w:rPr>
                <w:spacing w:val="-20"/>
              </w:rPr>
              <w:t>回复：</w:t>
            </w:r>
          </w:p>
          <w:p w14:paraId="38C9767E">
            <w:pPr>
              <w:pStyle w:val="6"/>
              <w:autoSpaceDE/>
              <w:autoSpaceDN/>
              <w:spacing w:before="38" w:line="233" w:lineRule="auto"/>
              <w:ind w:left="0" w:right="101" w:firstLine="444" w:firstLineChars="200"/>
              <w:jc w:val="both"/>
              <w:rPr>
                <w:spacing w:val="-4"/>
              </w:rPr>
            </w:pPr>
            <w:r>
              <w:rPr>
                <w:spacing w:val="-9"/>
              </w:rPr>
              <w:t>九州一轨成立于2010年7月23日，</w:t>
            </w:r>
            <w:r>
              <w:rPr>
                <w:rFonts w:hint="eastAsia"/>
                <w:spacing w:val="-9"/>
                <w:lang w:val="en-US" w:eastAsia="zh-CN"/>
              </w:rPr>
              <w:t>由北科院统筹建设；2012年，公司“轨道交通阻尼钢弹簧浮置道床隔振系统成套技术研究及产业化”荣获北京市科学技术奖一等奖，公司完成了阻尼钢弹簧浮置板道床隔振系统国产化科研技术成果向系列化产品和产业化服务的转化；2017年，公司“地铁车辆段上盖建筑振动控制成套技术及应用”荣获北京市科学技术奖一等奖，开展车辆段上盖（TOD）振动噪声预测技术研究，用于TOD上盖噪声与振动专项精准防治；</w:t>
            </w:r>
            <w:r>
              <w:rPr>
                <w:spacing w:val="-4"/>
              </w:rPr>
              <w:t>2023年1月18日</w:t>
            </w:r>
            <w:r>
              <w:rPr>
                <w:rFonts w:hint="eastAsia"/>
                <w:spacing w:val="-4"/>
                <w:lang w:val="en-US" w:eastAsia="zh-CN"/>
              </w:rPr>
              <w:t>公司</w:t>
            </w:r>
            <w:r>
              <w:rPr>
                <w:spacing w:val="-4"/>
              </w:rPr>
              <w:t>登录上交所科创板，成为新噪声法时代下科创板首只轨道交通声学环保新股。</w:t>
            </w:r>
          </w:p>
          <w:p w14:paraId="1084BDD5">
            <w:pPr>
              <w:pStyle w:val="6"/>
              <w:autoSpaceDE/>
              <w:autoSpaceDN/>
              <w:spacing w:before="38" w:line="233" w:lineRule="auto"/>
              <w:ind w:left="0" w:right="101" w:firstLine="464" w:firstLineChars="200"/>
              <w:jc w:val="both"/>
              <w:rPr>
                <w:spacing w:val="-4"/>
              </w:rPr>
            </w:pPr>
          </w:p>
          <w:p w14:paraId="62837DE5">
            <w:pPr>
              <w:pStyle w:val="6"/>
              <w:numPr>
                <w:ilvl w:val="0"/>
                <w:numId w:val="1"/>
              </w:numPr>
              <w:autoSpaceDE/>
              <w:autoSpaceDN/>
              <w:spacing w:before="30" w:line="228" w:lineRule="auto"/>
              <w:ind w:left="0" w:right="255" w:firstLine="470" w:firstLineChars="200"/>
              <w:jc w:val="both"/>
              <w:rPr>
                <w:rFonts w:hint="eastAsia"/>
                <w:b/>
                <w:bCs/>
                <w:spacing w:val="-3"/>
                <w:lang w:val="en-US" w:eastAsia="zh-CN"/>
              </w:rPr>
            </w:pPr>
            <w:r>
              <w:rPr>
                <w:rFonts w:hint="eastAsia"/>
                <w:b/>
                <w:bCs/>
                <w:spacing w:val="-3"/>
                <w:lang w:val="en-US" w:eastAsia="zh-CN"/>
              </w:rPr>
              <w:t>公司的股东结构</w:t>
            </w:r>
          </w:p>
          <w:p w14:paraId="64D1552F">
            <w:pPr>
              <w:pStyle w:val="6"/>
              <w:spacing w:before="38" w:line="233" w:lineRule="auto"/>
              <w:ind w:left="0" w:right="101" w:firstLine="400" w:firstLineChars="200"/>
              <w:jc w:val="both"/>
              <w:rPr>
                <w:rFonts w:hint="eastAsia"/>
                <w:b/>
                <w:bCs/>
                <w:spacing w:val="-3"/>
                <w:lang w:val="en-US" w:eastAsia="zh-CN"/>
              </w:rPr>
            </w:pPr>
            <w:r>
              <w:rPr>
                <w:spacing w:val="-20"/>
              </w:rPr>
              <w:t>回复：</w:t>
            </w:r>
          </w:p>
          <w:p w14:paraId="79EE9B20">
            <w:pPr>
              <w:pStyle w:val="6"/>
              <w:autoSpaceDE/>
              <w:autoSpaceDN/>
              <w:spacing w:before="30" w:line="228" w:lineRule="auto"/>
              <w:ind w:left="0" w:right="255" w:firstLine="504" w:firstLineChars="200"/>
              <w:jc w:val="both"/>
              <w:rPr>
                <w:rFonts w:hint="default"/>
                <w:spacing w:val="6"/>
                <w:lang w:val="en-US" w:eastAsia="zh-CN"/>
              </w:rPr>
            </w:pPr>
            <w:r>
              <w:rPr>
                <w:rFonts w:hint="eastAsia"/>
                <w:spacing w:val="6"/>
                <w:lang w:val="en-US" w:eastAsia="zh-CN"/>
              </w:rPr>
              <w:t>公司</w:t>
            </w:r>
            <w:r>
              <w:rPr>
                <w:rFonts w:hint="default"/>
                <w:spacing w:val="6"/>
                <w:lang w:val="en-US" w:eastAsia="zh-CN"/>
              </w:rPr>
              <w:t>拥有多元化的股东结构。公司自北京市属科研院所孵化而来，现阶段公司的第一大股东为北京市基础设施投资有限公司，第二大股东为广州轨道交通产业投资发展基金（有限合伙）。此外，公司的主要股东包括广州越秀智创升级产业投资基金合伙企业（有限合伙）、重庆君岳共享高科股权投资基金合伙企业（有限合伙）等创投基金</w:t>
            </w:r>
            <w:r>
              <w:rPr>
                <w:rFonts w:hint="eastAsia"/>
                <w:spacing w:val="6"/>
                <w:lang w:val="en-US" w:eastAsia="zh-CN"/>
              </w:rPr>
              <w:t>，多元化的股东结构有助于增强公司活力和影响力</w:t>
            </w:r>
            <w:r>
              <w:rPr>
                <w:rFonts w:hint="default"/>
                <w:spacing w:val="6"/>
                <w:lang w:val="en-US" w:eastAsia="zh-CN"/>
              </w:rPr>
              <w:t>。</w:t>
            </w:r>
          </w:p>
          <w:p w14:paraId="7A49BC6D">
            <w:pPr>
              <w:pStyle w:val="6"/>
              <w:autoSpaceDE/>
              <w:autoSpaceDN/>
              <w:spacing w:before="30" w:line="228" w:lineRule="auto"/>
              <w:ind w:left="0" w:right="255" w:firstLine="504" w:firstLineChars="200"/>
              <w:jc w:val="both"/>
              <w:rPr>
                <w:rFonts w:hint="default"/>
                <w:spacing w:val="6"/>
                <w:lang w:val="en-US" w:eastAsia="zh-CN"/>
              </w:rPr>
            </w:pPr>
          </w:p>
          <w:p w14:paraId="1637E195">
            <w:pPr>
              <w:pStyle w:val="6"/>
              <w:numPr>
                <w:ilvl w:val="0"/>
                <w:numId w:val="1"/>
              </w:numPr>
              <w:autoSpaceDE/>
              <w:autoSpaceDN/>
              <w:spacing w:before="30" w:line="228" w:lineRule="auto"/>
              <w:ind w:left="0" w:right="255" w:firstLine="470" w:firstLineChars="200"/>
              <w:jc w:val="both"/>
              <w:rPr>
                <w:rFonts w:hint="default" w:eastAsia="宋体"/>
                <w:lang w:val="en-US" w:eastAsia="zh-CN"/>
              </w:rPr>
            </w:pPr>
            <w:r>
              <w:rPr>
                <w:rFonts w:hint="eastAsia"/>
                <w:b/>
                <w:bCs/>
                <w:spacing w:val="-3"/>
                <w:lang w:val="en-US" w:eastAsia="zh-CN"/>
              </w:rPr>
              <w:t>产品的市场占有率</w:t>
            </w:r>
          </w:p>
          <w:p w14:paraId="03EE533B">
            <w:pPr>
              <w:pStyle w:val="6"/>
              <w:autoSpaceDE/>
              <w:autoSpaceDN/>
              <w:spacing w:before="30" w:line="228" w:lineRule="auto"/>
              <w:ind w:left="0" w:right="255" w:firstLine="418" w:firstLineChars="209"/>
              <w:jc w:val="both"/>
              <w:rPr>
                <w:spacing w:val="-20"/>
              </w:rPr>
            </w:pPr>
            <w:r>
              <w:rPr>
                <w:spacing w:val="-20"/>
              </w:rPr>
              <w:t>回复：</w:t>
            </w:r>
          </w:p>
          <w:p w14:paraId="52753D87">
            <w:pPr>
              <w:pStyle w:val="6"/>
              <w:autoSpaceDE/>
              <w:autoSpaceDN/>
              <w:spacing w:before="30" w:line="228" w:lineRule="auto"/>
              <w:ind w:left="0" w:right="255" w:firstLine="504" w:firstLineChars="200"/>
              <w:jc w:val="both"/>
              <w:rPr>
                <w:spacing w:val="-20"/>
              </w:rPr>
            </w:pPr>
            <w:r>
              <w:rPr>
                <w:rFonts w:hint="eastAsia"/>
                <w:spacing w:val="6"/>
              </w:rPr>
              <w:t>根据中国交通运输部的统计数据显示，截至2023年12月31日，全国共有59个城市开通运营城市轨道交通线路334条，公司的主要产品已经应用于北京、天津、南昌、合肥、深圳、济南等33个城市的140余条线路的轨道交通项目建设，市场覆盖率超过40%，稳居行业前列。</w:t>
            </w:r>
          </w:p>
          <w:p w14:paraId="53B3F029">
            <w:pPr>
              <w:pStyle w:val="6"/>
              <w:autoSpaceDE/>
              <w:autoSpaceDN/>
              <w:spacing w:before="30" w:line="228" w:lineRule="auto"/>
              <w:ind w:left="0" w:right="255" w:firstLine="504" w:firstLineChars="200"/>
              <w:jc w:val="both"/>
              <w:rPr>
                <w:rFonts w:hint="eastAsia" w:eastAsia="宋体"/>
                <w:spacing w:val="6"/>
                <w:lang w:eastAsia="zh-CN"/>
              </w:rPr>
            </w:pPr>
            <w:r>
              <w:rPr>
                <w:rFonts w:hint="eastAsia"/>
                <w:spacing w:val="6"/>
              </w:rPr>
              <w:t>2023年公司核心产品钢弹簧浮置道床减振系统实现</w:t>
            </w:r>
            <w:r>
              <w:rPr>
                <w:rFonts w:hint="eastAsia"/>
                <w:spacing w:val="6"/>
                <w:lang w:eastAsia="zh-CN"/>
              </w:rPr>
              <w:t>了</w:t>
            </w:r>
            <w:r>
              <w:rPr>
                <w:rFonts w:hint="eastAsia"/>
                <w:spacing w:val="6"/>
              </w:rPr>
              <w:t>北京、南昌100%市场中标率，多个城市市场中标率超过50%，如天津市场90.55%、广州市场90.91%、合肥市场67.46%、郑州市场51.34%</w:t>
            </w:r>
            <w:r>
              <w:rPr>
                <w:rFonts w:hint="eastAsia"/>
                <w:spacing w:val="6"/>
                <w:lang w:eastAsia="zh-CN"/>
              </w:rPr>
              <w:t>。</w:t>
            </w:r>
          </w:p>
          <w:p w14:paraId="387CC609">
            <w:pPr>
              <w:pStyle w:val="6"/>
              <w:autoSpaceDE/>
              <w:autoSpaceDN/>
              <w:spacing w:before="30" w:line="228" w:lineRule="auto"/>
              <w:ind w:right="255"/>
              <w:jc w:val="both"/>
              <w:rPr>
                <w:rFonts w:hint="eastAsia" w:ascii="宋体" w:hAnsi="宋体" w:eastAsia="宋体" w:cs="宋体"/>
                <w:spacing w:val="-1"/>
                <w:lang w:eastAsia="zh-CN"/>
              </w:rPr>
            </w:pPr>
          </w:p>
          <w:p w14:paraId="5991EBCF">
            <w:pPr>
              <w:pStyle w:val="6"/>
              <w:numPr>
                <w:ilvl w:val="-1"/>
                <w:numId w:val="0"/>
              </w:numPr>
              <w:autoSpaceDE/>
              <w:autoSpaceDN/>
              <w:spacing w:before="30" w:line="228" w:lineRule="auto"/>
              <w:ind w:right="255" w:firstLine="470" w:firstLineChars="200"/>
              <w:jc w:val="both"/>
              <w:rPr>
                <w:rFonts w:hint="eastAsia"/>
                <w:b/>
                <w:bCs/>
                <w:spacing w:val="-3"/>
                <w:lang w:val="en-US" w:eastAsia="zh-CN"/>
              </w:rPr>
            </w:pPr>
            <w:r>
              <w:rPr>
                <w:rFonts w:hint="eastAsia" w:cs="宋体"/>
                <w:b/>
                <w:bCs/>
                <w:snapToGrid w:val="0"/>
                <w:color w:val="000000"/>
                <w:spacing w:val="-3"/>
                <w:kern w:val="0"/>
                <w:sz w:val="24"/>
                <w:szCs w:val="24"/>
                <w:lang w:val="en-US" w:eastAsia="zh-CN" w:bidi="ar-SA"/>
              </w:rPr>
              <w:t>四</w:t>
            </w:r>
            <w:r>
              <w:rPr>
                <w:rFonts w:hint="eastAsia" w:ascii="宋体" w:hAnsi="宋体" w:eastAsia="宋体" w:cs="宋体"/>
                <w:b/>
                <w:bCs/>
                <w:snapToGrid w:val="0"/>
                <w:color w:val="000000"/>
                <w:spacing w:val="-3"/>
                <w:kern w:val="0"/>
                <w:sz w:val="24"/>
                <w:szCs w:val="24"/>
                <w:lang w:val="en-US" w:eastAsia="zh-CN" w:bidi="ar-SA"/>
              </w:rPr>
              <w:t>、</w:t>
            </w:r>
            <w:r>
              <w:rPr>
                <w:rFonts w:hint="eastAsia" w:cs="宋体"/>
                <w:b/>
                <w:bCs/>
                <w:snapToGrid w:val="0"/>
                <w:color w:val="000000"/>
                <w:spacing w:val="-3"/>
                <w:kern w:val="0"/>
                <w:sz w:val="24"/>
                <w:szCs w:val="24"/>
                <w:lang w:val="en-US" w:eastAsia="zh-CN" w:bidi="ar-SA"/>
              </w:rPr>
              <w:t>公司生产基地的介绍</w:t>
            </w:r>
          </w:p>
          <w:p w14:paraId="74264473">
            <w:pPr>
              <w:pStyle w:val="6"/>
              <w:numPr>
                <w:ilvl w:val="-1"/>
                <w:numId w:val="0"/>
              </w:numPr>
              <w:autoSpaceDE/>
              <w:autoSpaceDN/>
              <w:spacing w:before="30" w:line="228" w:lineRule="auto"/>
              <w:ind w:right="255" w:firstLine="468" w:firstLineChars="200"/>
              <w:jc w:val="both"/>
              <w:rPr>
                <w:rFonts w:hint="eastAsia"/>
                <w:spacing w:val="6"/>
              </w:rPr>
            </w:pPr>
            <w:r>
              <w:rPr>
                <w:rFonts w:hint="eastAsia"/>
                <w:b w:val="0"/>
                <w:bCs w:val="0"/>
                <w:spacing w:val="-3"/>
                <w:lang w:val="en-US" w:eastAsia="zh-CN"/>
              </w:rPr>
              <w:t>回复：</w:t>
            </w:r>
          </w:p>
          <w:p w14:paraId="08CF50F1">
            <w:pPr>
              <w:pStyle w:val="6"/>
              <w:autoSpaceDE/>
              <w:autoSpaceDN/>
              <w:spacing w:before="30" w:line="228" w:lineRule="auto"/>
              <w:ind w:left="0" w:right="255" w:firstLine="504" w:firstLineChars="200"/>
              <w:jc w:val="both"/>
              <w:rPr>
                <w:rFonts w:hint="eastAsia"/>
                <w:spacing w:val="6"/>
              </w:rPr>
            </w:pPr>
            <w:r>
              <w:rPr>
                <w:rFonts w:hint="eastAsia"/>
                <w:spacing w:val="6"/>
              </w:rPr>
              <w:t>公司目前采取了</w:t>
            </w:r>
            <w:r>
              <w:rPr>
                <w:rFonts w:hint="eastAsia"/>
                <w:spacing w:val="6"/>
                <w:lang w:val="en-US" w:eastAsia="zh-CN"/>
              </w:rPr>
              <w:t>北京和广州</w:t>
            </w:r>
            <w:r>
              <w:rPr>
                <w:rFonts w:hint="eastAsia"/>
                <w:spacing w:val="6"/>
              </w:rPr>
              <w:t>“双中心”</w:t>
            </w:r>
            <w:r>
              <w:rPr>
                <w:rFonts w:hint="eastAsia"/>
                <w:spacing w:val="6"/>
                <w:lang w:val="en-US" w:eastAsia="zh-CN"/>
              </w:rPr>
              <w:t>发展</w:t>
            </w:r>
            <w:r>
              <w:rPr>
                <w:rFonts w:hint="eastAsia"/>
                <w:spacing w:val="6"/>
              </w:rPr>
              <w:t>战略，并在“北京-广州-霸州”建立了三个重要的研发生产基地，形成了以“京津冀”和“珠三角”为核心的南北双向发展模式。</w:t>
            </w:r>
          </w:p>
          <w:p w14:paraId="5C3B252E">
            <w:pPr>
              <w:pStyle w:val="6"/>
              <w:autoSpaceDE/>
              <w:autoSpaceDN/>
              <w:spacing w:before="30" w:line="228" w:lineRule="auto"/>
              <w:ind w:left="0" w:right="255" w:firstLine="504" w:firstLineChars="200"/>
              <w:jc w:val="both"/>
              <w:rPr>
                <w:rFonts w:hint="eastAsia"/>
                <w:spacing w:val="6"/>
              </w:rPr>
            </w:pPr>
            <w:r>
              <w:rPr>
                <w:rFonts w:hint="eastAsia"/>
                <w:spacing w:val="6"/>
              </w:rPr>
              <w:t>2024年上半年，北京房山的生产基地通过自动化和智能化的升级，生产效率得到了显著提升，生产流程也更加顺畅。9月14日，房山基地的噪声与振动控制研发基地的二期工程正式</w:t>
            </w:r>
            <w:r>
              <w:rPr>
                <w:rFonts w:hint="eastAsia"/>
                <w:spacing w:val="6"/>
                <w:lang w:val="en-US" w:eastAsia="zh-CN"/>
              </w:rPr>
              <w:t>启动</w:t>
            </w:r>
            <w:r>
              <w:rPr>
                <w:rFonts w:hint="eastAsia"/>
                <w:spacing w:val="6"/>
              </w:rPr>
              <w:t>，这将有助于加快研发成果的产业化，优化成本控制，并推动公司在销售和生产方面的深入改革，实现降本增效的目标。</w:t>
            </w:r>
          </w:p>
          <w:p w14:paraId="183AADAA">
            <w:pPr>
              <w:pStyle w:val="6"/>
              <w:autoSpaceDE/>
              <w:autoSpaceDN/>
              <w:spacing w:before="30" w:line="228" w:lineRule="auto"/>
              <w:ind w:left="0" w:right="255" w:firstLine="504" w:firstLineChars="200"/>
              <w:jc w:val="both"/>
              <w:rPr>
                <w:rFonts w:hint="eastAsia"/>
                <w:spacing w:val="6"/>
              </w:rPr>
            </w:pPr>
            <w:r>
              <w:rPr>
                <w:rFonts w:hint="eastAsia"/>
                <w:spacing w:val="6"/>
              </w:rPr>
              <w:t>同时，九州一轨在广州白云区的聚氨酯新材料智能生产研发基地在上半年完成了内部装修，所有生产设备已经安装并调试完成，目前已经进入试生产阶段。河北霸州的生产基地也在同一时期开始了试生产，该基地将配合北京房山基地完成钢弹簧浮置板项目相关产品的委外加工任务收回工作，以降低综合生产成本并满足全年钢结构类产品的市场需求。</w:t>
            </w:r>
          </w:p>
          <w:p w14:paraId="29E477EA">
            <w:pPr>
              <w:pStyle w:val="6"/>
              <w:autoSpaceDE/>
              <w:autoSpaceDN/>
              <w:spacing w:before="30" w:line="228" w:lineRule="auto"/>
              <w:ind w:left="0" w:right="255" w:firstLine="504" w:firstLineChars="200"/>
              <w:jc w:val="both"/>
              <w:rPr>
                <w:rFonts w:hint="eastAsia"/>
                <w:spacing w:val="6"/>
              </w:rPr>
            </w:pPr>
          </w:p>
          <w:p w14:paraId="5F1E62BE">
            <w:pPr>
              <w:pStyle w:val="6"/>
              <w:numPr>
                <w:ilvl w:val="-1"/>
                <w:numId w:val="0"/>
              </w:numPr>
              <w:autoSpaceDE/>
              <w:autoSpaceDN/>
              <w:spacing w:before="30" w:line="228" w:lineRule="auto"/>
              <w:ind w:right="255" w:firstLine="470" w:firstLineChars="200"/>
              <w:jc w:val="both"/>
              <w:rPr>
                <w:rFonts w:hint="default"/>
                <w:b/>
                <w:bCs/>
                <w:spacing w:val="-3"/>
                <w:lang w:val="en-US"/>
              </w:rPr>
            </w:pPr>
            <w:r>
              <w:rPr>
                <w:rFonts w:hint="eastAsia"/>
                <w:b/>
                <w:bCs/>
                <w:spacing w:val="-3"/>
                <w:lang w:val="en-US" w:eastAsia="zh-CN"/>
              </w:rPr>
              <w:t>五、公司历年分红情况</w:t>
            </w:r>
          </w:p>
          <w:p w14:paraId="295CE76B">
            <w:pPr>
              <w:pStyle w:val="6"/>
              <w:numPr>
                <w:ilvl w:val="-1"/>
                <w:numId w:val="0"/>
              </w:numPr>
              <w:autoSpaceDE/>
              <w:autoSpaceDN/>
              <w:spacing w:before="30" w:line="228" w:lineRule="auto"/>
              <w:ind w:right="255" w:firstLine="468" w:firstLineChars="200"/>
              <w:jc w:val="both"/>
              <w:rPr>
                <w:rFonts w:hint="eastAsia"/>
                <w:b w:val="0"/>
                <w:bCs w:val="0"/>
                <w:spacing w:val="-3"/>
                <w:lang w:val="en-US" w:eastAsia="zh-CN"/>
              </w:rPr>
            </w:pPr>
            <w:r>
              <w:rPr>
                <w:rFonts w:hint="eastAsia"/>
                <w:b w:val="0"/>
                <w:bCs w:val="0"/>
                <w:spacing w:val="-3"/>
                <w:lang w:val="en-US" w:eastAsia="zh-CN"/>
              </w:rPr>
              <w:t>回复：</w:t>
            </w:r>
          </w:p>
          <w:p w14:paraId="5CB9441A">
            <w:pPr>
              <w:pStyle w:val="6"/>
              <w:autoSpaceDE/>
              <w:autoSpaceDN/>
              <w:spacing w:before="30" w:line="228" w:lineRule="auto"/>
              <w:ind w:left="0" w:right="255" w:firstLine="468" w:firstLineChars="200"/>
              <w:jc w:val="both"/>
              <w:rPr>
                <w:rFonts w:hint="eastAsia"/>
                <w:b w:val="0"/>
                <w:bCs w:val="0"/>
                <w:spacing w:val="-3"/>
                <w:lang w:val="en-US" w:eastAsia="zh-CN"/>
              </w:rPr>
            </w:pPr>
            <w:r>
              <w:rPr>
                <w:rFonts w:hint="eastAsia"/>
                <w:b w:val="0"/>
                <w:bCs w:val="0"/>
                <w:spacing w:val="-3"/>
                <w:lang w:val="en-US" w:eastAsia="zh-CN"/>
              </w:rPr>
              <w:t>公司高度重视投资者和股东回报，根据公司实际经营业绩及未来发展规划，结合相关利润分配政策，积极进行现金分红，切实让投资者分享公司的发展成果。公司自2023年上市以来每年度均实施了现金分红，2023年-2024年2年累计现金分红约26,617,122.02万元（含税）。</w:t>
            </w:r>
          </w:p>
          <w:p w14:paraId="21D4CB95">
            <w:pPr>
              <w:pStyle w:val="6"/>
              <w:autoSpaceDE/>
              <w:autoSpaceDN/>
              <w:spacing w:before="30" w:line="228" w:lineRule="auto"/>
              <w:ind w:left="0" w:right="255" w:firstLine="468" w:firstLineChars="200"/>
              <w:jc w:val="both"/>
              <w:rPr>
                <w:rFonts w:hint="eastAsia"/>
                <w:b w:val="0"/>
                <w:bCs w:val="0"/>
                <w:spacing w:val="-3"/>
                <w:lang w:val="en-US" w:eastAsia="zh-CN"/>
              </w:rPr>
            </w:pPr>
            <w:r>
              <w:rPr>
                <w:rFonts w:hint="eastAsia"/>
                <w:b w:val="0"/>
                <w:bCs w:val="0"/>
                <w:spacing w:val="-3"/>
                <w:lang w:val="en-US" w:eastAsia="zh-CN"/>
              </w:rPr>
              <w:t>公司于2023年4月13日召开第二届董事会第四次会议，审议通过了《关于公司2022年年度利润分配预案的议案》，公司拟向全体股东每10股派发现金红利人民币1.278元（含税）。合计拟派发现金红利19,207,325.52元（含税）。本年度公司现金分红占公司2022年度合并报表归属于母公司所有者净利润的比例为30.02%。</w:t>
            </w:r>
          </w:p>
          <w:p w14:paraId="4AF20B79">
            <w:pPr>
              <w:pStyle w:val="6"/>
              <w:autoSpaceDE/>
              <w:autoSpaceDN/>
              <w:spacing w:before="30" w:line="228" w:lineRule="auto"/>
              <w:ind w:left="0" w:right="255" w:firstLine="468" w:firstLineChars="200"/>
              <w:jc w:val="both"/>
              <w:rPr>
                <w:rFonts w:hint="eastAsia"/>
                <w:b w:val="0"/>
                <w:bCs w:val="0"/>
                <w:spacing w:val="-3"/>
                <w:lang w:val="en-US" w:eastAsia="zh-CN"/>
              </w:rPr>
            </w:pPr>
            <w:r>
              <w:rPr>
                <w:rFonts w:hint="eastAsia"/>
                <w:b w:val="0"/>
                <w:bCs w:val="0"/>
                <w:spacing w:val="-3"/>
                <w:lang w:val="en-US" w:eastAsia="zh-CN"/>
              </w:rPr>
              <w:t>公司于2024年4月28日召开第二届董事会第十七次会议，会议审议通过了《关于公司2023年年度利润分配预案的议案》，公司拟向全体股东每10股派发现金红利0.5元（含税），合计拟派发现金红利人民币7,409,796.5元（含税），为当年公司合并报表归属于上市公司股东净利润的580.16%，占公司母公司报表中期末未分配利润5.02%。</w:t>
            </w:r>
          </w:p>
          <w:p w14:paraId="1B74292C">
            <w:pPr>
              <w:pStyle w:val="6"/>
              <w:autoSpaceDE/>
              <w:autoSpaceDN/>
              <w:spacing w:before="30" w:line="228" w:lineRule="auto"/>
              <w:ind w:left="0" w:right="255" w:firstLine="468" w:firstLineChars="200"/>
              <w:jc w:val="both"/>
              <w:rPr>
                <w:rFonts w:hint="eastAsia"/>
                <w:b w:val="0"/>
                <w:bCs w:val="0"/>
                <w:spacing w:val="-3"/>
                <w:lang w:val="en-US" w:eastAsia="zh-CN"/>
              </w:rPr>
            </w:pPr>
          </w:p>
          <w:p w14:paraId="701B99D4">
            <w:pPr>
              <w:pStyle w:val="6"/>
              <w:numPr>
                <w:ilvl w:val="0"/>
                <w:numId w:val="2"/>
              </w:numPr>
              <w:autoSpaceDE/>
              <w:autoSpaceDN/>
              <w:spacing w:before="30" w:line="228" w:lineRule="auto"/>
              <w:ind w:right="0" w:rightChars="0" w:firstLine="470" w:firstLineChars="200"/>
              <w:jc w:val="both"/>
              <w:rPr>
                <w:rFonts w:hint="default" w:cs="宋体"/>
                <w:b/>
                <w:bCs/>
                <w:snapToGrid w:val="0"/>
                <w:color w:val="000000"/>
                <w:spacing w:val="-3"/>
                <w:kern w:val="0"/>
                <w:sz w:val="24"/>
                <w:szCs w:val="24"/>
                <w:lang w:val="en-US" w:eastAsia="zh-CN" w:bidi="ar-SA"/>
              </w:rPr>
            </w:pPr>
            <w:r>
              <w:rPr>
                <w:rFonts w:hint="eastAsia" w:cs="宋体"/>
                <w:b/>
                <w:bCs/>
                <w:snapToGrid w:val="0"/>
                <w:color w:val="000000"/>
                <w:spacing w:val="-3"/>
                <w:kern w:val="0"/>
                <w:sz w:val="24"/>
                <w:szCs w:val="24"/>
                <w:lang w:val="en-US" w:eastAsia="zh-CN" w:bidi="ar-SA"/>
              </w:rPr>
              <w:t>公司的“轨道声纹在线监测与智慧运维系统”相较于现有模式有什么优势？</w:t>
            </w:r>
          </w:p>
          <w:p w14:paraId="6C362558">
            <w:pPr>
              <w:pStyle w:val="6"/>
              <w:spacing w:before="38" w:line="233" w:lineRule="auto"/>
              <w:ind w:left="0" w:right="101" w:firstLine="400" w:firstLineChars="200"/>
              <w:jc w:val="both"/>
              <w:rPr>
                <w:rFonts w:hint="default" w:cs="宋体"/>
                <w:b/>
                <w:bCs/>
                <w:snapToGrid w:val="0"/>
                <w:color w:val="000000"/>
                <w:spacing w:val="-3"/>
                <w:kern w:val="0"/>
                <w:sz w:val="24"/>
                <w:szCs w:val="24"/>
                <w:lang w:val="en-US" w:eastAsia="zh-CN" w:bidi="ar-SA"/>
              </w:rPr>
            </w:pPr>
            <w:r>
              <w:rPr>
                <w:spacing w:val="-20"/>
              </w:rPr>
              <w:t>回复：</w:t>
            </w:r>
          </w:p>
          <w:p w14:paraId="38EE7D4B">
            <w:pPr>
              <w:pStyle w:val="6"/>
              <w:autoSpaceDE/>
              <w:autoSpaceDN/>
              <w:spacing w:before="30" w:line="228" w:lineRule="auto"/>
              <w:ind w:left="0" w:right="255" w:firstLine="476" w:firstLineChars="200"/>
              <w:jc w:val="both"/>
              <w:rPr>
                <w:rFonts w:ascii="宋体" w:hAnsi="宋体" w:eastAsia="宋体" w:cs="宋体"/>
                <w:sz w:val="24"/>
                <w:szCs w:val="24"/>
              </w:rPr>
            </w:pPr>
            <w:r>
              <w:rPr>
                <w:rFonts w:hint="eastAsia" w:cs="宋体"/>
                <w:spacing w:val="-1"/>
                <w:lang w:val="en-US" w:eastAsia="zh-CN"/>
              </w:rPr>
              <w:t>提升线路本质安全。公司轨道声纹在线监测与智慧运维系统可以</w:t>
            </w:r>
            <w:r>
              <w:rPr>
                <w:rFonts w:ascii="宋体" w:hAnsi="宋体" w:eastAsia="宋体" w:cs="宋体"/>
                <w:sz w:val="24"/>
                <w:szCs w:val="24"/>
              </w:rPr>
              <w:t>实现全面线路运行信息化实时监控</w:t>
            </w:r>
            <w:r>
              <w:rPr>
                <w:rFonts w:hint="eastAsia" w:ascii="宋体" w:hAnsi="宋体" w:eastAsia="宋体" w:cs="宋体"/>
                <w:sz w:val="24"/>
                <w:szCs w:val="24"/>
                <w:lang w:eastAsia="zh-CN"/>
              </w:rPr>
              <w:t>、</w:t>
            </w:r>
            <w:r>
              <w:rPr>
                <w:rFonts w:ascii="宋体" w:hAnsi="宋体" w:eastAsia="宋体" w:cs="宋体"/>
                <w:sz w:val="24"/>
                <w:szCs w:val="24"/>
              </w:rPr>
              <w:t>实现轨道结构深层病害的精准把控</w:t>
            </w:r>
            <w:r>
              <w:rPr>
                <w:rFonts w:hint="eastAsia" w:ascii="宋体" w:hAnsi="宋体" w:eastAsia="宋体" w:cs="宋体"/>
                <w:sz w:val="24"/>
                <w:szCs w:val="24"/>
                <w:lang w:eastAsia="zh-CN"/>
              </w:rPr>
              <w:t>、</w:t>
            </w:r>
            <w:r>
              <w:rPr>
                <w:rFonts w:ascii="宋体" w:hAnsi="宋体" w:eastAsia="宋体" w:cs="宋体"/>
                <w:sz w:val="24"/>
                <w:szCs w:val="24"/>
              </w:rPr>
              <w:t>实现线路保护区施工作业的实时盯控</w:t>
            </w:r>
            <w:r>
              <w:rPr>
                <w:rFonts w:hint="eastAsia" w:ascii="宋体" w:hAnsi="宋体" w:eastAsia="宋体" w:cs="宋体"/>
                <w:sz w:val="24"/>
                <w:szCs w:val="24"/>
                <w:lang w:eastAsia="zh-CN"/>
              </w:rPr>
              <w:t>、</w:t>
            </w:r>
            <w:r>
              <w:rPr>
                <w:rFonts w:ascii="宋体" w:hAnsi="宋体" w:eastAsia="宋体" w:cs="宋体"/>
                <w:sz w:val="24"/>
                <w:szCs w:val="24"/>
              </w:rPr>
              <w:t>提高轨道运营和维修质量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同时</w:t>
            </w:r>
            <w:r>
              <w:rPr>
                <w:rFonts w:ascii="宋体" w:hAnsi="宋体" w:eastAsia="宋体" w:cs="宋体"/>
                <w:sz w:val="24"/>
                <w:szCs w:val="24"/>
              </w:rPr>
              <w:t>提升城市轨道交通安全管理能力。</w:t>
            </w:r>
          </w:p>
          <w:p w14:paraId="091E86B0">
            <w:pPr>
              <w:pStyle w:val="6"/>
              <w:autoSpaceDE/>
              <w:autoSpaceDN/>
              <w:spacing w:before="30" w:line="228" w:lineRule="auto"/>
              <w:ind w:left="0" w:right="255" w:firstLine="480" w:firstLineChars="200"/>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解决振动噪声投诉问题</w:t>
            </w:r>
            <w:r>
              <w:rPr>
                <w:rFonts w:hint="eastAsia" w:ascii="宋体" w:hAnsi="宋体" w:eastAsia="宋体" w:cs="宋体"/>
                <w:sz w:val="24"/>
                <w:szCs w:val="24"/>
                <w:lang w:val="en-US" w:eastAsia="zh-CN"/>
              </w:rPr>
              <w:t>。公司轨道声纹在线监测与智慧运维系统满足了新《中华人民共和国噪声污染防治法》要求，协助业务理清责任，</w:t>
            </w:r>
            <w:r>
              <w:rPr>
                <w:rFonts w:ascii="宋体" w:hAnsi="宋体" w:eastAsia="宋体" w:cs="宋体"/>
                <w:sz w:val="24"/>
                <w:szCs w:val="24"/>
              </w:rPr>
              <w:t>真实把控减振产品服役性能。</w:t>
            </w:r>
          </w:p>
          <w:p w14:paraId="46FA2EDF">
            <w:pPr>
              <w:pStyle w:val="6"/>
              <w:autoSpaceDE/>
              <w:autoSpaceDN/>
              <w:spacing w:before="30" w:line="228" w:lineRule="auto"/>
              <w:ind w:left="0" w:right="255" w:firstLine="476" w:firstLineChars="200"/>
              <w:jc w:val="both"/>
              <w:rPr>
                <w:rFonts w:hint="eastAsia" w:cs="宋体"/>
                <w:spacing w:val="-1"/>
                <w:lang w:val="en-US" w:eastAsia="zh-CN"/>
              </w:rPr>
            </w:pPr>
            <w:r>
              <w:rPr>
                <w:rFonts w:hint="eastAsia" w:cs="宋体"/>
                <w:spacing w:val="-1"/>
                <w:lang w:val="en-US" w:eastAsia="zh-CN"/>
              </w:rPr>
              <w:t>降低轨道运维合成本。通过轨道声纹在线监测与智慧运维系统，可实现外部入侵实时监测，大幅度降低地铁保护区巡查强度，合理优化保护区人员的配置，提高设备状态精准把握能力，提升原有轨道运维生产能力。</w:t>
            </w:r>
          </w:p>
          <w:p w14:paraId="29A145FD">
            <w:pPr>
              <w:pStyle w:val="6"/>
              <w:autoSpaceDE/>
              <w:autoSpaceDN/>
              <w:spacing w:before="30" w:line="228" w:lineRule="auto"/>
              <w:ind w:left="0" w:right="255" w:firstLine="476" w:firstLineChars="200"/>
              <w:jc w:val="both"/>
              <w:rPr>
                <w:rFonts w:hint="default" w:cs="宋体"/>
                <w:b/>
                <w:bCs/>
                <w:snapToGrid w:val="0"/>
                <w:color w:val="000000"/>
                <w:spacing w:val="-3"/>
                <w:kern w:val="0"/>
                <w:sz w:val="24"/>
                <w:szCs w:val="24"/>
                <w:lang w:val="en-US" w:eastAsia="zh-CN" w:bidi="ar-SA"/>
              </w:rPr>
            </w:pPr>
            <w:r>
              <w:rPr>
                <w:rFonts w:hint="eastAsia" w:cs="宋体"/>
                <w:spacing w:val="-1"/>
                <w:lang w:val="en-US" w:eastAsia="zh-CN"/>
              </w:rPr>
              <w:t>增强管理效率和社会效益。</w:t>
            </w:r>
            <w:r>
              <w:rPr>
                <w:rFonts w:hint="default" w:cs="宋体"/>
                <w:spacing w:val="-1"/>
                <w:lang w:val="en-US" w:eastAsia="zh-CN"/>
              </w:rPr>
              <w:t>通过轨道声纹在线监测与智慧运维系统，显著提升维保工程师的管理效率</w:t>
            </w:r>
            <w:r>
              <w:rPr>
                <w:rFonts w:hint="eastAsia" w:cs="宋体"/>
                <w:spacing w:val="-1"/>
                <w:lang w:val="en-US" w:eastAsia="zh-CN"/>
              </w:rPr>
              <w:t>。通过大数据平台实现对城市轨道设备信息进行获取，实现利用信息技术展开对城市轨道设备健康状态数据的分析，有针对性的完善城市轨道设备维保机制。</w:t>
            </w:r>
          </w:p>
          <w:p w14:paraId="3F70A7BA">
            <w:pPr>
              <w:pStyle w:val="6"/>
              <w:autoSpaceDE/>
              <w:autoSpaceDN/>
              <w:spacing w:before="38" w:line="233" w:lineRule="auto"/>
              <w:ind w:right="101"/>
              <w:jc w:val="both"/>
              <w:rPr>
                <w:spacing w:val="-4"/>
              </w:rPr>
            </w:pPr>
            <w:bookmarkStart w:id="0" w:name="_GoBack"/>
            <w:bookmarkEnd w:id="0"/>
          </w:p>
        </w:tc>
      </w:tr>
      <w:tr w14:paraId="3714A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shd w:val="clear" w:color="auto" w:fill="auto"/>
            <w:vAlign w:val="top"/>
          </w:tcPr>
          <w:p w14:paraId="416691D0">
            <w:pPr>
              <w:spacing w:line="275" w:lineRule="auto"/>
              <w:rPr>
                <w:rFonts w:ascii="Arial"/>
                <w:sz w:val="21"/>
              </w:rPr>
            </w:pPr>
          </w:p>
          <w:p w14:paraId="60E3C6F8">
            <w:pPr>
              <w:pStyle w:val="6"/>
              <w:spacing w:before="78" w:line="219" w:lineRule="auto"/>
              <w:ind w:left="261" w:leftChars="0"/>
              <w:rPr>
                <w:rFonts w:ascii="宋体" w:hAnsi="宋体" w:eastAsia="宋体" w:cs="宋体"/>
                <w:snapToGrid w:val="0"/>
                <w:color w:val="000000"/>
                <w:kern w:val="0"/>
                <w:sz w:val="24"/>
                <w:szCs w:val="24"/>
                <w:lang w:val="en-US" w:eastAsia="en-US" w:bidi="ar-SA"/>
              </w:rPr>
            </w:pPr>
            <w:r>
              <w:rPr>
                <w:b/>
                <w:bCs/>
                <w:spacing w:val="-6"/>
              </w:rPr>
              <w:t>附件清单（如有）</w:t>
            </w:r>
          </w:p>
        </w:tc>
        <w:tc>
          <w:tcPr>
            <w:tcW w:w="5888" w:type="dxa"/>
            <w:shd w:val="clear" w:color="auto" w:fill="auto"/>
            <w:vAlign w:val="top"/>
          </w:tcPr>
          <w:p w14:paraId="5355E037">
            <w:pPr>
              <w:spacing w:line="275" w:lineRule="auto"/>
              <w:rPr>
                <w:rFonts w:ascii="Arial"/>
                <w:sz w:val="21"/>
              </w:rPr>
            </w:pPr>
          </w:p>
          <w:p w14:paraId="14E2900C">
            <w:pPr>
              <w:pStyle w:val="6"/>
              <w:spacing w:before="78" w:line="220" w:lineRule="auto"/>
              <w:ind w:left="2829" w:leftChars="0"/>
              <w:rPr>
                <w:rFonts w:hint="eastAsia" w:ascii="宋体" w:hAnsi="宋体" w:eastAsia="宋体" w:cs="宋体"/>
                <w:snapToGrid w:val="0"/>
                <w:color w:val="000000"/>
                <w:kern w:val="0"/>
                <w:sz w:val="24"/>
                <w:szCs w:val="24"/>
                <w:lang w:val="en-US" w:eastAsia="zh-CN" w:bidi="ar-SA"/>
              </w:rPr>
            </w:pPr>
            <w:r>
              <w:t>无</w:t>
            </w:r>
          </w:p>
        </w:tc>
      </w:tr>
      <w:tr w14:paraId="6D5EE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407" w:type="dxa"/>
            <w:shd w:val="clear" w:color="auto" w:fill="auto"/>
            <w:vAlign w:val="top"/>
          </w:tcPr>
          <w:p w14:paraId="5EBA8452">
            <w:pPr>
              <w:spacing w:line="270" w:lineRule="auto"/>
              <w:rPr>
                <w:rFonts w:ascii="Arial"/>
                <w:sz w:val="21"/>
              </w:rPr>
            </w:pPr>
          </w:p>
          <w:p w14:paraId="34643E15">
            <w:pPr>
              <w:pStyle w:val="6"/>
              <w:spacing w:before="78" w:line="220" w:lineRule="auto"/>
              <w:ind w:left="1007" w:leftChars="0"/>
              <w:rPr>
                <w:rFonts w:ascii="宋体" w:hAnsi="宋体" w:eastAsia="宋体" w:cs="宋体"/>
                <w:snapToGrid w:val="0"/>
                <w:color w:val="000000"/>
                <w:kern w:val="0"/>
                <w:sz w:val="24"/>
                <w:szCs w:val="24"/>
                <w:lang w:val="en-US" w:eastAsia="en-US" w:bidi="ar-SA"/>
              </w:rPr>
            </w:pPr>
            <w:r>
              <w:rPr>
                <w:b/>
                <w:bCs/>
                <w:spacing w:val="-28"/>
              </w:rPr>
              <w:t>日期</w:t>
            </w:r>
          </w:p>
        </w:tc>
        <w:tc>
          <w:tcPr>
            <w:tcW w:w="5888" w:type="dxa"/>
            <w:shd w:val="clear" w:color="auto" w:fill="auto"/>
            <w:vAlign w:val="top"/>
          </w:tcPr>
          <w:p w14:paraId="218C5AB6">
            <w:pPr>
              <w:spacing w:line="269" w:lineRule="auto"/>
              <w:rPr>
                <w:rFonts w:ascii="Arial"/>
                <w:sz w:val="21"/>
              </w:rPr>
            </w:pPr>
          </w:p>
          <w:p w14:paraId="3C761C97">
            <w:pPr>
              <w:pStyle w:val="6"/>
              <w:spacing w:before="78" w:line="220" w:lineRule="auto"/>
              <w:ind w:left="2013" w:leftChars="0"/>
              <w:rPr>
                <w:rFonts w:hint="eastAsia" w:ascii="宋体" w:hAnsi="宋体" w:eastAsia="宋体" w:cs="宋体"/>
                <w:snapToGrid w:val="0"/>
                <w:color w:val="000000"/>
                <w:kern w:val="0"/>
                <w:sz w:val="24"/>
                <w:szCs w:val="24"/>
                <w:lang w:val="en-US" w:eastAsia="zh-CN" w:bidi="ar-SA"/>
              </w:rPr>
            </w:pPr>
            <w:r>
              <w:rPr>
                <w:rFonts w:ascii="Times New Roman" w:hAnsi="Times New Roman" w:eastAsia="Times New Roman" w:cs="Times New Roman"/>
                <w:spacing w:val="-6"/>
              </w:rPr>
              <w:t>2024</w:t>
            </w:r>
            <w:r>
              <w:rPr>
                <w:spacing w:val="-6"/>
              </w:rPr>
              <w:t>年</w:t>
            </w:r>
            <w:r>
              <w:rPr>
                <w:rFonts w:hint="eastAsia" w:ascii="Times New Roman" w:hAnsi="Times New Roman" w:cs="Times New Roman"/>
                <w:spacing w:val="-6"/>
                <w:lang w:val="en-US" w:eastAsia="zh-CN"/>
              </w:rPr>
              <w:t>9</w:t>
            </w:r>
            <w:r>
              <w:rPr>
                <w:spacing w:val="-6"/>
              </w:rPr>
              <w:t>月</w:t>
            </w:r>
            <w:r>
              <w:rPr>
                <w:rFonts w:hint="eastAsia" w:ascii="Times New Roman" w:hAnsi="Times New Roman" w:cs="Times New Roman"/>
                <w:spacing w:val="-6"/>
                <w:lang w:val="en-US" w:eastAsia="zh-CN"/>
              </w:rPr>
              <w:t>26</w:t>
            </w:r>
            <w:r>
              <w:rPr>
                <w:spacing w:val="-6"/>
              </w:rPr>
              <w:t>日</w:t>
            </w:r>
          </w:p>
        </w:tc>
      </w:tr>
    </w:tbl>
    <w:p w14:paraId="759D4C07">
      <w:pPr>
        <w:rPr>
          <w:rFonts w:ascii="Arial"/>
          <w:sz w:val="21"/>
        </w:rPr>
      </w:pPr>
    </w:p>
    <w:p w14:paraId="79377823">
      <w:pPr>
        <w:spacing w:line="91" w:lineRule="auto"/>
        <w:rPr>
          <w:rFonts w:ascii="Arial"/>
          <w:sz w:val="2"/>
        </w:rPr>
      </w:pPr>
    </w:p>
    <w:p w14:paraId="6B63DA9C">
      <w:pPr>
        <w:rPr>
          <w:rFonts w:hint="eastAsia" w:ascii="Arial" w:hAnsi="Arial" w:eastAsia="Arial" w:cs="Arial"/>
          <w:sz w:val="21"/>
          <w:szCs w:val="21"/>
          <w:lang w:val="en-US" w:eastAsia="zh-CN"/>
        </w:rPr>
      </w:pP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9B50F"/>
    <w:multiLevelType w:val="singleLevel"/>
    <w:tmpl w:val="B229B50F"/>
    <w:lvl w:ilvl="0" w:tentative="0">
      <w:start w:val="2"/>
      <w:numFmt w:val="chineseCounting"/>
      <w:suff w:val="nothing"/>
      <w:lvlText w:val="%1、"/>
      <w:lvlJc w:val="left"/>
      <w:rPr>
        <w:rFonts w:hint="eastAsia"/>
      </w:rPr>
    </w:lvl>
  </w:abstractNum>
  <w:abstractNum w:abstractNumId="1">
    <w:nsid w:val="47099BE7"/>
    <w:multiLevelType w:val="singleLevel"/>
    <w:tmpl w:val="47099BE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QzZTNiZDBmMTk2NWU5YTI1YmZlN2M0MjhhMjg3NzYifQ=="/>
  </w:docVars>
  <w:rsids>
    <w:rsidRoot w:val="00000000"/>
    <w:rsid w:val="007C0F2D"/>
    <w:rsid w:val="015E533E"/>
    <w:rsid w:val="01852593"/>
    <w:rsid w:val="0190108A"/>
    <w:rsid w:val="03385D0B"/>
    <w:rsid w:val="034B0503"/>
    <w:rsid w:val="04AC5B58"/>
    <w:rsid w:val="07487DBA"/>
    <w:rsid w:val="087936BC"/>
    <w:rsid w:val="0EA53D44"/>
    <w:rsid w:val="0F02798F"/>
    <w:rsid w:val="10505F32"/>
    <w:rsid w:val="11E132E5"/>
    <w:rsid w:val="12B544C5"/>
    <w:rsid w:val="15DF7B3C"/>
    <w:rsid w:val="19FD3FDF"/>
    <w:rsid w:val="1AB126A6"/>
    <w:rsid w:val="1B2D1349"/>
    <w:rsid w:val="1E322697"/>
    <w:rsid w:val="25B9690B"/>
    <w:rsid w:val="2698258D"/>
    <w:rsid w:val="27D5362B"/>
    <w:rsid w:val="28527FD1"/>
    <w:rsid w:val="2ABC3C34"/>
    <w:rsid w:val="2D216834"/>
    <w:rsid w:val="2DB33930"/>
    <w:rsid w:val="30F06952"/>
    <w:rsid w:val="312A215B"/>
    <w:rsid w:val="33B06E98"/>
    <w:rsid w:val="3B7A3CDF"/>
    <w:rsid w:val="3B893F22"/>
    <w:rsid w:val="43E443EC"/>
    <w:rsid w:val="45B822D1"/>
    <w:rsid w:val="46C6427C"/>
    <w:rsid w:val="470513F8"/>
    <w:rsid w:val="48BD345D"/>
    <w:rsid w:val="48C04CFB"/>
    <w:rsid w:val="4A031344"/>
    <w:rsid w:val="4BE62CCB"/>
    <w:rsid w:val="51E74D80"/>
    <w:rsid w:val="525E180D"/>
    <w:rsid w:val="537D3C18"/>
    <w:rsid w:val="5C6747DA"/>
    <w:rsid w:val="5D9C768D"/>
    <w:rsid w:val="5E4265FD"/>
    <w:rsid w:val="61D1008C"/>
    <w:rsid w:val="65E55731"/>
    <w:rsid w:val="6B206150"/>
    <w:rsid w:val="6EC8494C"/>
    <w:rsid w:val="731036E9"/>
    <w:rsid w:val="76426BCC"/>
    <w:rsid w:val="7D9E7B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2264</Words>
  <Characters>2453</Characters>
  <TotalTime>2</TotalTime>
  <ScaleCrop>false</ScaleCrop>
  <LinksUpToDate>false</LinksUpToDate>
  <CharactersWithSpaces>2499</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2024-03-18T03:40:00Z</dcterms:created>
  <dc:creator>荣大-李雷</dc:creator>
  <cp:lastModifiedBy>Melody</cp:lastModifiedBy>
  <dcterms:modified xsi:type="dcterms:W3CDTF">2024-09-25T06:05:06Z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2024-07-26T10:33:54Z</vt:filetime>
  </property>
  <property fmtid="{D5CDD505-2E9C-101B-9397-08002B2CF9AE}" pid="4" name="KSOProductBuildVer">
    <vt:lpwstr>2052-12.1.0.18276</vt:lpwstr>
  </property>
  <property fmtid="{D5CDD505-2E9C-101B-9397-08002B2CF9AE}" pid="5" name="ICV">
    <vt:lpwstr>9718B6EB5E3A4D86AB13106D5914EEC2_13</vt:lpwstr>
  </property>
</Properties>
</file>