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F7F93">
      <w:pPr>
        <w:keepNext/>
        <w:keepLines/>
        <w:spacing w:before="260" w:after="260" w:line="360" w:lineRule="auto"/>
        <w:outlineLvl w:val="1"/>
        <w:rPr>
          <w:rFonts w:hint="eastAsia" w:ascii="宋体" w:hAnsi="宋体"/>
          <w:b/>
          <w:bCs/>
          <w:iCs/>
          <w:sz w:val="24"/>
          <w:szCs w:val="24"/>
        </w:rPr>
      </w:pPr>
      <w:r>
        <w:rPr>
          <w:rFonts w:hint="eastAsia" w:ascii="宋体" w:hAnsi="宋体"/>
          <w:b/>
          <w:bCs/>
          <w:iCs/>
          <w:sz w:val="24"/>
          <w:szCs w:val="24"/>
        </w:rPr>
        <w:t>证券代码：688621                                证券简称：阳光诺和</w:t>
      </w:r>
    </w:p>
    <w:p w14:paraId="193C9A26">
      <w:pPr>
        <w:keepNext/>
        <w:keepLines/>
        <w:spacing w:before="20" w:after="20"/>
        <w:jc w:val="center"/>
        <w:outlineLvl w:val="1"/>
        <w:rPr>
          <w:rFonts w:hint="eastAsia" w:ascii="宋体" w:hAnsi="宋体"/>
          <w:b/>
          <w:bCs/>
          <w:sz w:val="36"/>
          <w:szCs w:val="36"/>
        </w:rPr>
      </w:pPr>
      <w:r>
        <w:rPr>
          <w:rFonts w:hint="eastAsia" w:ascii="宋体" w:hAnsi="宋体"/>
          <w:b/>
          <w:sz w:val="36"/>
          <w:szCs w:val="36"/>
        </w:rPr>
        <w:t>北京阳光诺和药物研究</w:t>
      </w:r>
      <w:r>
        <w:rPr>
          <w:rFonts w:hint="eastAsia" w:ascii="宋体" w:hAnsi="宋体"/>
          <w:b/>
          <w:bCs/>
          <w:sz w:val="36"/>
          <w:szCs w:val="36"/>
        </w:rPr>
        <w:t>股份有限公司</w:t>
      </w:r>
    </w:p>
    <w:p w14:paraId="1DE76FD4">
      <w:pPr>
        <w:keepNext/>
        <w:keepLines/>
        <w:spacing w:before="20" w:after="20"/>
        <w:jc w:val="center"/>
        <w:outlineLvl w:val="1"/>
        <w:rPr>
          <w:rFonts w:hint="eastAsia" w:ascii="宋体" w:hAnsi="宋体"/>
          <w:b/>
          <w:bCs/>
          <w:sz w:val="36"/>
          <w:szCs w:val="36"/>
        </w:rPr>
      </w:pPr>
      <w:r>
        <w:rPr>
          <w:rFonts w:hint="eastAsia" w:ascii="宋体" w:hAnsi="宋体"/>
          <w:b/>
          <w:bCs/>
          <w:sz w:val="36"/>
          <w:szCs w:val="36"/>
        </w:rPr>
        <w:t>投资者关系活动记录表</w:t>
      </w:r>
    </w:p>
    <w:p w14:paraId="1D3EAABF">
      <w:pPr>
        <w:spacing w:line="360" w:lineRule="auto"/>
        <w:jc w:val="center"/>
        <w:rPr>
          <w:rFonts w:hint="eastAsia" w:ascii="宋体" w:hAnsi="宋体"/>
          <w:b/>
          <w:iCs/>
          <w:sz w:val="24"/>
          <w:szCs w:val="24"/>
        </w:rPr>
      </w:pPr>
      <w:r>
        <w:rPr>
          <w:rFonts w:hint="eastAsia" w:ascii="宋体" w:hAnsi="宋体"/>
          <w:b/>
          <w:iCs/>
          <w:sz w:val="24"/>
          <w:szCs w:val="24"/>
        </w:rPr>
        <w:t>（20</w:t>
      </w:r>
      <w:r>
        <w:rPr>
          <w:rFonts w:ascii="宋体" w:hAnsi="宋体"/>
          <w:b/>
          <w:iCs/>
          <w:sz w:val="24"/>
          <w:szCs w:val="24"/>
        </w:rPr>
        <w:t>2</w:t>
      </w:r>
      <w:r>
        <w:rPr>
          <w:rFonts w:hint="eastAsia" w:ascii="宋体" w:hAnsi="宋体"/>
          <w:b/>
          <w:iCs/>
          <w:sz w:val="24"/>
          <w:szCs w:val="24"/>
        </w:rPr>
        <w:t>4年9月）</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6203"/>
      </w:tblGrid>
      <w:tr w14:paraId="2F973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93" w:type="dxa"/>
            <w:vAlign w:val="center"/>
          </w:tcPr>
          <w:p w14:paraId="199D38DD">
            <w:pPr>
              <w:spacing w:line="360" w:lineRule="auto"/>
              <w:jc w:val="center"/>
              <w:rPr>
                <w:rFonts w:hint="eastAsia" w:ascii="宋体" w:hAnsi="宋体"/>
                <w:b/>
                <w:bCs/>
                <w:iCs/>
                <w:sz w:val="24"/>
                <w:szCs w:val="24"/>
              </w:rPr>
            </w:pPr>
            <w:r>
              <w:rPr>
                <w:rFonts w:hint="eastAsia" w:ascii="宋体" w:hAnsi="宋体"/>
                <w:b/>
                <w:bCs/>
                <w:iCs/>
                <w:sz w:val="24"/>
                <w:szCs w:val="24"/>
              </w:rPr>
              <w:t>投资者关系活动类别</w:t>
            </w:r>
          </w:p>
        </w:tc>
        <w:tc>
          <w:tcPr>
            <w:tcW w:w="6203" w:type="dxa"/>
            <w:vAlign w:val="center"/>
          </w:tcPr>
          <w:p w14:paraId="4936C92A">
            <w:pPr>
              <w:spacing w:line="360" w:lineRule="auto"/>
              <w:rPr>
                <w:rFonts w:hint="eastAsia" w:ascii="宋体" w:hAnsi="宋体"/>
                <w:bCs/>
                <w:iCs/>
                <w:sz w:val="24"/>
                <w:szCs w:val="24"/>
              </w:rPr>
            </w:pPr>
            <w:r>
              <w:rPr>
                <w:rFonts w:hint="eastAsia" w:ascii="宋体" w:hAnsi="宋体"/>
                <w:bCs/>
                <w:iCs/>
                <w:sz w:val="24"/>
                <w:szCs w:val="24"/>
              </w:rPr>
              <w:sym w:font="Wingdings 2" w:char="0052"/>
            </w:r>
            <w:r>
              <w:rPr>
                <w:rFonts w:hint="eastAsia" w:ascii="宋体" w:hAnsi="宋体"/>
                <w:sz w:val="24"/>
                <w:szCs w:val="24"/>
              </w:rPr>
              <w:t xml:space="preserve">特定对象调研        </w:t>
            </w:r>
            <w:r>
              <w:rPr>
                <w:rFonts w:hint="eastAsia" w:ascii="宋体" w:hAnsi="宋体"/>
                <w:bCs/>
                <w:iCs/>
                <w:sz w:val="24"/>
                <w:szCs w:val="24"/>
              </w:rPr>
              <w:sym w:font="Wingdings 2" w:char="00A3"/>
            </w:r>
            <w:r>
              <w:rPr>
                <w:rFonts w:hint="eastAsia" w:ascii="宋体" w:hAnsi="宋体"/>
                <w:sz w:val="24"/>
                <w:szCs w:val="24"/>
              </w:rPr>
              <w:t>分析师会议</w:t>
            </w:r>
          </w:p>
          <w:p w14:paraId="39B80EF3">
            <w:pPr>
              <w:spacing w:line="360" w:lineRule="auto"/>
              <w:rPr>
                <w:rFonts w:hint="eastAsia" w:ascii="宋体" w:hAnsi="宋体"/>
                <w:bCs/>
                <w:iCs/>
                <w:sz w:val="24"/>
                <w:szCs w:val="24"/>
              </w:rPr>
            </w:pPr>
            <w:r>
              <w:rPr>
                <w:rFonts w:hint="eastAsia" w:ascii="宋体" w:hAnsi="宋体"/>
                <w:bCs/>
                <w:iCs/>
                <w:sz w:val="24"/>
                <w:szCs w:val="24"/>
              </w:rPr>
              <w:t>□</w:t>
            </w:r>
            <w:r>
              <w:rPr>
                <w:rFonts w:hint="eastAsia" w:ascii="宋体" w:hAnsi="宋体"/>
                <w:sz w:val="24"/>
                <w:szCs w:val="24"/>
              </w:rPr>
              <w:t xml:space="preserve">媒体采访            </w:t>
            </w:r>
            <w:r>
              <w:rPr>
                <w:rFonts w:hint="eastAsia" w:ascii="宋体" w:hAnsi="宋体"/>
                <w:bCs/>
                <w:iCs/>
                <w:sz w:val="24"/>
                <w:szCs w:val="24"/>
              </w:rPr>
              <w:sym w:font="Wingdings 2" w:char="00A3"/>
            </w:r>
            <w:r>
              <w:rPr>
                <w:rFonts w:hint="eastAsia" w:ascii="宋体" w:hAnsi="宋体"/>
                <w:sz w:val="24"/>
                <w:szCs w:val="24"/>
              </w:rPr>
              <w:t>业绩说明会</w:t>
            </w:r>
          </w:p>
          <w:p w14:paraId="7EBD013F">
            <w:pPr>
              <w:spacing w:line="360" w:lineRule="auto"/>
              <w:rPr>
                <w:rFonts w:hint="eastAsia" w:ascii="宋体" w:hAnsi="宋体"/>
                <w:bCs/>
                <w:iCs/>
                <w:sz w:val="24"/>
                <w:szCs w:val="24"/>
              </w:rPr>
            </w:pPr>
            <w:r>
              <w:rPr>
                <w:rFonts w:hint="eastAsia" w:ascii="宋体" w:hAnsi="宋体"/>
                <w:bCs/>
                <w:iCs/>
                <w:sz w:val="24"/>
                <w:szCs w:val="24"/>
              </w:rPr>
              <w:t>□</w:t>
            </w:r>
            <w:r>
              <w:rPr>
                <w:rFonts w:hint="eastAsia" w:ascii="宋体" w:hAnsi="宋体"/>
                <w:sz w:val="24"/>
                <w:szCs w:val="24"/>
              </w:rPr>
              <w:t xml:space="preserve">新闻发布会          </w:t>
            </w:r>
            <w:r>
              <w:rPr>
                <w:rFonts w:hint="eastAsia" w:ascii="宋体" w:hAnsi="宋体"/>
                <w:bCs/>
                <w:iCs/>
                <w:sz w:val="24"/>
                <w:szCs w:val="24"/>
              </w:rPr>
              <w:t>□</w:t>
            </w:r>
            <w:r>
              <w:rPr>
                <w:rFonts w:hint="eastAsia" w:ascii="宋体" w:hAnsi="宋体"/>
                <w:sz w:val="24"/>
                <w:szCs w:val="24"/>
              </w:rPr>
              <w:t>路演活动</w:t>
            </w:r>
          </w:p>
          <w:p w14:paraId="51719483">
            <w:pPr>
              <w:tabs>
                <w:tab w:val="left" w:pos="3045"/>
                <w:tab w:val="center" w:pos="3199"/>
              </w:tabs>
              <w:spacing w:line="360" w:lineRule="auto"/>
              <w:rPr>
                <w:rFonts w:hint="eastAsia" w:ascii="宋体" w:hAnsi="宋体"/>
                <w:bCs/>
                <w:iCs/>
                <w:sz w:val="24"/>
                <w:szCs w:val="24"/>
              </w:rPr>
            </w:pPr>
            <w:r>
              <w:rPr>
                <w:rFonts w:hint="eastAsia" w:ascii="宋体" w:hAnsi="宋体"/>
                <w:bCs/>
                <w:iCs/>
                <w:sz w:val="24"/>
                <w:szCs w:val="24"/>
              </w:rPr>
              <w:sym w:font="Wingdings 2" w:char="F0A3"/>
            </w:r>
            <w:r>
              <w:rPr>
                <w:rFonts w:hint="eastAsia" w:ascii="宋体" w:hAnsi="宋体"/>
                <w:sz w:val="24"/>
                <w:szCs w:val="24"/>
              </w:rPr>
              <w:t>现场参观</w:t>
            </w:r>
            <w:r>
              <w:rPr>
                <w:rFonts w:ascii="宋体" w:hAnsi="宋体"/>
                <w:bCs/>
                <w:iCs/>
                <w:sz w:val="24"/>
                <w:szCs w:val="24"/>
              </w:rPr>
              <w:tab/>
            </w:r>
          </w:p>
          <w:p w14:paraId="232496E4">
            <w:pPr>
              <w:tabs>
                <w:tab w:val="center" w:pos="3199"/>
              </w:tabs>
              <w:spacing w:line="360" w:lineRule="auto"/>
              <w:rPr>
                <w:rFonts w:hint="eastAsia" w:ascii="宋体" w:hAnsi="宋体"/>
                <w:bCs/>
                <w:iCs/>
                <w:sz w:val="24"/>
                <w:szCs w:val="24"/>
              </w:rPr>
            </w:pPr>
            <w:r>
              <w:rPr>
                <w:rFonts w:hint="eastAsia" w:ascii="宋体" w:hAnsi="宋体"/>
                <w:bCs/>
                <w:iCs/>
                <w:sz w:val="24"/>
                <w:szCs w:val="24"/>
              </w:rPr>
              <w:sym w:font="Wingdings 2" w:char="00A3"/>
            </w:r>
            <w:r>
              <w:rPr>
                <w:rFonts w:hint="eastAsia" w:ascii="宋体" w:hAnsi="宋体"/>
                <w:sz w:val="24"/>
                <w:szCs w:val="24"/>
              </w:rPr>
              <w:t>其他（电话会议）</w:t>
            </w:r>
          </w:p>
        </w:tc>
      </w:tr>
      <w:tr w14:paraId="622A3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72B2D1EE">
            <w:pPr>
              <w:spacing w:line="360" w:lineRule="auto"/>
              <w:jc w:val="center"/>
              <w:rPr>
                <w:rFonts w:hint="eastAsia" w:ascii="宋体" w:hAnsi="宋体"/>
                <w:b/>
                <w:bCs/>
                <w:iCs/>
                <w:sz w:val="24"/>
                <w:szCs w:val="24"/>
              </w:rPr>
            </w:pPr>
            <w:r>
              <w:rPr>
                <w:rFonts w:hint="eastAsia" w:ascii="宋体" w:hAnsi="宋体"/>
                <w:b/>
                <w:bCs/>
                <w:iCs/>
                <w:sz w:val="24"/>
                <w:szCs w:val="24"/>
              </w:rPr>
              <w:t>参与单位名称</w:t>
            </w:r>
          </w:p>
        </w:tc>
        <w:tc>
          <w:tcPr>
            <w:tcW w:w="6203" w:type="dxa"/>
          </w:tcPr>
          <w:p w14:paraId="7CE61A69">
            <w:pPr>
              <w:spacing w:line="360" w:lineRule="auto"/>
              <w:rPr>
                <w:rFonts w:hint="eastAsia" w:ascii="宋体" w:hAnsi="宋体" w:cs="宋体"/>
                <w:sz w:val="24"/>
                <w:szCs w:val="24"/>
              </w:rPr>
            </w:pPr>
            <w:r>
              <w:rPr>
                <w:rFonts w:hint="eastAsia" w:ascii="宋体" w:hAnsi="宋体" w:cs="宋体"/>
                <w:sz w:val="24"/>
                <w:szCs w:val="24"/>
              </w:rPr>
              <w:t>太平洋证券、广发资管、国泰基金、玖鹏资产、国联基金</w:t>
            </w:r>
          </w:p>
        </w:tc>
      </w:tr>
      <w:tr w14:paraId="63BC6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1A8094E6">
            <w:pPr>
              <w:spacing w:line="360" w:lineRule="auto"/>
              <w:jc w:val="center"/>
              <w:rPr>
                <w:rFonts w:hint="eastAsia" w:ascii="宋体" w:hAnsi="宋体"/>
                <w:b/>
                <w:bCs/>
                <w:iCs/>
                <w:sz w:val="24"/>
                <w:szCs w:val="24"/>
              </w:rPr>
            </w:pPr>
            <w:r>
              <w:rPr>
                <w:rFonts w:hint="eastAsia" w:ascii="宋体" w:hAnsi="宋体"/>
                <w:b/>
                <w:bCs/>
                <w:iCs/>
                <w:sz w:val="24"/>
                <w:szCs w:val="24"/>
              </w:rPr>
              <w:t>时间</w:t>
            </w:r>
          </w:p>
        </w:tc>
        <w:tc>
          <w:tcPr>
            <w:tcW w:w="6203" w:type="dxa"/>
          </w:tcPr>
          <w:p w14:paraId="326BC5A2">
            <w:pPr>
              <w:spacing w:line="360" w:lineRule="auto"/>
              <w:rPr>
                <w:rFonts w:hint="eastAsia" w:ascii="宋体" w:hAnsi="宋体"/>
                <w:bCs/>
                <w:iCs/>
                <w:sz w:val="24"/>
                <w:szCs w:val="24"/>
              </w:rPr>
            </w:pPr>
            <w:r>
              <w:rPr>
                <w:rFonts w:hint="eastAsia" w:ascii="宋体" w:hAnsi="宋体"/>
                <w:bCs/>
                <w:iCs/>
                <w:sz w:val="24"/>
                <w:szCs w:val="24"/>
              </w:rPr>
              <w:t>20</w:t>
            </w:r>
            <w:r>
              <w:rPr>
                <w:rFonts w:ascii="宋体" w:hAnsi="宋体"/>
                <w:bCs/>
                <w:iCs/>
                <w:sz w:val="24"/>
                <w:szCs w:val="24"/>
              </w:rPr>
              <w:t>2</w:t>
            </w:r>
            <w:r>
              <w:rPr>
                <w:rFonts w:hint="eastAsia" w:ascii="宋体" w:hAnsi="宋体"/>
                <w:bCs/>
                <w:iCs/>
                <w:sz w:val="24"/>
                <w:szCs w:val="24"/>
              </w:rPr>
              <w:t>4年9月24日</w:t>
            </w:r>
          </w:p>
        </w:tc>
      </w:tr>
      <w:tr w14:paraId="2448A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3FEB7A8D">
            <w:pPr>
              <w:spacing w:line="360" w:lineRule="auto"/>
              <w:jc w:val="center"/>
              <w:rPr>
                <w:rFonts w:hint="eastAsia" w:ascii="宋体" w:hAnsi="宋体"/>
                <w:b/>
                <w:bCs/>
                <w:iCs/>
                <w:sz w:val="24"/>
                <w:szCs w:val="24"/>
              </w:rPr>
            </w:pPr>
            <w:r>
              <w:rPr>
                <w:rFonts w:hint="eastAsia" w:ascii="宋体" w:hAnsi="宋体"/>
                <w:b/>
                <w:bCs/>
                <w:iCs/>
                <w:sz w:val="24"/>
                <w:szCs w:val="24"/>
              </w:rPr>
              <w:t>参会方式</w:t>
            </w:r>
          </w:p>
        </w:tc>
        <w:tc>
          <w:tcPr>
            <w:tcW w:w="6203" w:type="dxa"/>
          </w:tcPr>
          <w:p w14:paraId="4C5F5090">
            <w:pPr>
              <w:spacing w:line="360" w:lineRule="auto"/>
              <w:rPr>
                <w:rFonts w:hint="eastAsia" w:ascii="宋体" w:hAnsi="宋体"/>
                <w:bCs/>
                <w:iCs/>
                <w:sz w:val="24"/>
                <w:szCs w:val="24"/>
              </w:rPr>
            </w:pPr>
            <w:r>
              <w:rPr>
                <w:rFonts w:hint="eastAsia" w:ascii="宋体" w:hAnsi="宋体"/>
                <w:bCs/>
                <w:iCs/>
                <w:sz w:val="24"/>
                <w:szCs w:val="24"/>
              </w:rPr>
              <w:t>线上会议</w:t>
            </w:r>
          </w:p>
        </w:tc>
      </w:tr>
      <w:tr w14:paraId="22003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25249036">
            <w:pPr>
              <w:spacing w:line="360" w:lineRule="auto"/>
              <w:jc w:val="center"/>
              <w:rPr>
                <w:rFonts w:hint="eastAsia" w:ascii="宋体" w:hAnsi="宋体"/>
                <w:b/>
                <w:bCs/>
                <w:iCs/>
                <w:sz w:val="24"/>
                <w:szCs w:val="24"/>
              </w:rPr>
            </w:pPr>
            <w:r>
              <w:rPr>
                <w:rFonts w:hint="eastAsia" w:ascii="宋体" w:hAnsi="宋体"/>
                <w:b/>
                <w:bCs/>
                <w:iCs/>
                <w:sz w:val="24"/>
                <w:szCs w:val="24"/>
              </w:rPr>
              <w:t>上市公司接待人员姓名</w:t>
            </w:r>
          </w:p>
        </w:tc>
        <w:tc>
          <w:tcPr>
            <w:tcW w:w="6203" w:type="dxa"/>
            <w:vAlign w:val="center"/>
          </w:tcPr>
          <w:p w14:paraId="3EF8D027">
            <w:pPr>
              <w:spacing w:line="360" w:lineRule="auto"/>
              <w:rPr>
                <w:rFonts w:hint="eastAsia" w:ascii="宋体" w:hAnsi="宋体"/>
                <w:bCs/>
                <w:iCs/>
                <w:sz w:val="24"/>
                <w:szCs w:val="24"/>
              </w:rPr>
            </w:pPr>
            <w:r>
              <w:rPr>
                <w:rFonts w:hint="eastAsia" w:ascii="宋体" w:hAnsi="宋体"/>
                <w:bCs/>
                <w:iCs/>
                <w:sz w:val="24"/>
                <w:szCs w:val="24"/>
              </w:rPr>
              <w:t>财务总监：张执交先生</w:t>
            </w:r>
          </w:p>
          <w:p w14:paraId="4AA6AA19">
            <w:pPr>
              <w:spacing w:line="360" w:lineRule="auto"/>
              <w:rPr>
                <w:rFonts w:hint="eastAsia" w:ascii="宋体" w:hAnsi="宋体"/>
                <w:bCs/>
                <w:iCs/>
                <w:sz w:val="24"/>
                <w:szCs w:val="24"/>
              </w:rPr>
            </w:pPr>
            <w:r>
              <w:rPr>
                <w:rFonts w:hint="eastAsia" w:ascii="宋体" w:hAnsi="宋体"/>
                <w:bCs/>
                <w:iCs/>
                <w:sz w:val="24"/>
                <w:szCs w:val="24"/>
              </w:rPr>
              <w:t>董事会秘书：魏丽萍女士</w:t>
            </w:r>
          </w:p>
        </w:tc>
      </w:tr>
      <w:tr w14:paraId="276D9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0394FAC4">
            <w:pPr>
              <w:spacing w:line="360" w:lineRule="auto"/>
              <w:jc w:val="center"/>
              <w:rPr>
                <w:rFonts w:hint="eastAsia" w:ascii="宋体" w:hAnsi="宋体"/>
                <w:b/>
                <w:bCs/>
                <w:iCs/>
                <w:sz w:val="24"/>
                <w:szCs w:val="24"/>
              </w:rPr>
            </w:pPr>
            <w:r>
              <w:rPr>
                <w:rFonts w:hint="eastAsia" w:ascii="宋体" w:hAnsi="宋体"/>
                <w:b/>
                <w:bCs/>
                <w:iCs/>
                <w:sz w:val="24"/>
                <w:szCs w:val="24"/>
              </w:rPr>
              <w:t>投资者关系活动主要内容介绍</w:t>
            </w:r>
          </w:p>
        </w:tc>
        <w:tc>
          <w:tcPr>
            <w:tcW w:w="6203" w:type="dxa"/>
          </w:tcPr>
          <w:p w14:paraId="4D36C545">
            <w:pPr>
              <w:numPr>
                <w:ilvl w:val="255"/>
                <w:numId w:val="0"/>
              </w:numPr>
              <w:spacing w:before="156" w:beforeLines="50" w:line="360" w:lineRule="auto"/>
              <w:ind w:firstLine="480" w:firstLineChars="200"/>
              <w:rPr>
                <w:sz w:val="24"/>
              </w:rPr>
            </w:pPr>
            <w:r>
              <w:rPr>
                <w:rFonts w:hint="eastAsia"/>
                <w:sz w:val="24"/>
              </w:rPr>
              <w:t>一、公司介绍环节</w:t>
            </w:r>
          </w:p>
          <w:p w14:paraId="0BC77868">
            <w:pPr>
              <w:numPr>
                <w:ilvl w:val="255"/>
                <w:numId w:val="0"/>
              </w:numPr>
              <w:spacing w:before="156" w:beforeLines="50" w:line="360" w:lineRule="auto"/>
              <w:ind w:firstLine="480" w:firstLineChars="200"/>
              <w:rPr>
                <w:sz w:val="24"/>
              </w:rPr>
            </w:pPr>
            <w:r>
              <w:rPr>
                <w:rFonts w:hint="eastAsia"/>
                <w:sz w:val="24"/>
              </w:rPr>
              <w:t>公司是一家专业的药物临床前及临床综合研发服务 CRO，为国内医药企业和科研机构提供全方位的一站式药物研发服务，致力于协助国内医药制造企业加速实现进口替代和自主创新。服务内容主要包括药物发现、药理药效、药学研究、临床研究和生物分析。</w:t>
            </w:r>
          </w:p>
          <w:p w14:paraId="589DDFD0">
            <w:pPr>
              <w:numPr>
                <w:ilvl w:val="255"/>
                <w:numId w:val="0"/>
              </w:numPr>
              <w:spacing w:before="156" w:beforeLines="50" w:line="360" w:lineRule="auto"/>
              <w:ind w:firstLine="480" w:firstLineChars="200"/>
              <w:rPr>
                <w:sz w:val="24"/>
              </w:rPr>
            </w:pPr>
            <w:r>
              <w:rPr>
                <w:rFonts w:hint="eastAsia"/>
                <w:sz w:val="24"/>
              </w:rPr>
              <w:t>公司2024年1-6月实现营业收入5.63亿元，同比增长22.08%，实现归属于上市公司股东的净利润和归属于上市公司股东的扣除非经常性损益的净利润分别为1.49亿元和1.43亿元，同比增长分别为25.91%和24.49%，基本每股收益为1.33元/股，同比增长26.67%。业务结构方面，药学研究服务，实现营业收入34,285.14万元，同比增长8.29%；临床试验、生物分析及药理药效服务实现营业收入21,655.10万元，同比增长50.28%。权益分成服务实现营业收入333.91万元，同比增长100.00%。</w:t>
            </w:r>
          </w:p>
          <w:p w14:paraId="76B9998B">
            <w:pPr>
              <w:numPr>
                <w:ilvl w:val="255"/>
                <w:numId w:val="0"/>
              </w:numPr>
              <w:spacing w:before="156" w:beforeLines="50" w:line="360" w:lineRule="auto"/>
              <w:ind w:firstLine="480" w:firstLineChars="200"/>
              <w:rPr>
                <w:sz w:val="24"/>
              </w:rPr>
            </w:pPr>
            <w:r>
              <w:rPr>
                <w:rFonts w:hint="eastAsia"/>
                <w:sz w:val="24"/>
              </w:rPr>
              <w:t>目前公司在创新药方面聚焦于多肽类和小核酸类药物的研发，研发标的的来源多为自主立项。截止2024上半年，控股子公司诺和晟泰在研创新药项目“STC007注射液”已经进入临床二期，其主要适应症为治疗接受血液透析（HD）的成人慢性肾脏疾病相关的中至重度瘙痒（CKD-aP）及治疗术后疼痛，“STC008注射液”已获得临床试验许可，其主要适应症为治疗晚期实体瘤的肿瘤恶液质。</w:t>
            </w:r>
          </w:p>
          <w:p w14:paraId="50104351">
            <w:pPr>
              <w:numPr>
                <w:ilvl w:val="255"/>
                <w:numId w:val="0"/>
              </w:numPr>
              <w:spacing w:before="156" w:beforeLines="50" w:line="360" w:lineRule="auto"/>
              <w:ind w:firstLine="480" w:firstLineChars="200"/>
              <w:rPr>
                <w:sz w:val="24"/>
              </w:rPr>
            </w:pPr>
            <w:r>
              <w:rPr>
                <w:rFonts w:hint="eastAsia"/>
                <w:sz w:val="24"/>
              </w:rPr>
              <w:t>截止2024上半年，公司参与研发和自主立项研发的项目中，共8项新药项目已通过NMPA批准进入临床试验，70项药品申报上市注册受理，8项一致性评价注册受理；取得39项药品生产注册批件；7项通过一致性评价；6项原料药通过审评获批。</w:t>
            </w:r>
          </w:p>
          <w:p w14:paraId="7B947842">
            <w:pPr>
              <w:numPr>
                <w:ilvl w:val="255"/>
                <w:numId w:val="0"/>
              </w:numPr>
              <w:spacing w:before="156" w:beforeLines="50" w:line="360" w:lineRule="auto"/>
              <w:ind w:firstLine="480" w:firstLineChars="200"/>
              <w:rPr>
                <w:kern w:val="0"/>
                <w:sz w:val="24"/>
              </w:rPr>
            </w:pPr>
            <w:r>
              <w:rPr>
                <w:rFonts w:hint="eastAsia"/>
                <w:sz w:val="24"/>
              </w:rPr>
              <w:t>公司规模逐渐扩大，研发人员团队持续增长。公司目前在北京、上海、南京、无锡、成都、武汉均有子公司覆盖，共计拥有3.79万平方米的研发实验室。公司员工1,394人，其中研发人员1,163人，占员工总数的比例为83.43%。</w:t>
            </w:r>
          </w:p>
          <w:p w14:paraId="5242BECC">
            <w:pPr>
              <w:numPr>
                <w:ilvl w:val="255"/>
                <w:numId w:val="0"/>
              </w:numPr>
              <w:spacing w:before="156" w:beforeLines="50" w:line="360" w:lineRule="auto"/>
              <w:ind w:firstLine="482" w:firstLineChars="200"/>
              <w:rPr>
                <w:rFonts w:hint="eastAsia" w:ascii="宋体" w:hAnsi="宋体"/>
                <w:b/>
                <w:iCs/>
                <w:sz w:val="24"/>
                <w:szCs w:val="24"/>
              </w:rPr>
            </w:pPr>
            <w:r>
              <w:rPr>
                <w:rFonts w:hint="eastAsia" w:ascii="宋体" w:hAnsi="宋体"/>
                <w:b/>
                <w:iCs/>
                <w:sz w:val="24"/>
                <w:szCs w:val="24"/>
              </w:rPr>
              <w:t>二、问答环节</w:t>
            </w:r>
          </w:p>
          <w:p w14:paraId="1A3ECF88">
            <w:pPr>
              <w:numPr>
                <w:ilvl w:val="255"/>
                <w:numId w:val="0"/>
              </w:numPr>
              <w:spacing w:before="156" w:beforeLines="50" w:line="360" w:lineRule="auto"/>
              <w:ind w:firstLine="482" w:firstLineChars="200"/>
              <w:rPr>
                <w:rFonts w:hint="eastAsia" w:ascii="宋体" w:hAnsi="宋体"/>
                <w:b/>
                <w:iCs/>
                <w:sz w:val="24"/>
                <w:szCs w:val="24"/>
              </w:rPr>
            </w:pPr>
            <w:r>
              <w:rPr>
                <w:rFonts w:hint="eastAsia" w:ascii="宋体" w:hAnsi="宋体"/>
                <w:b/>
                <w:iCs/>
                <w:sz w:val="24"/>
                <w:szCs w:val="24"/>
              </w:rPr>
              <w:t>1.公司在人员招聘上有何计划</w:t>
            </w:r>
            <w:r>
              <w:rPr>
                <w:rFonts w:hint="eastAsia" w:ascii="宋体" w:hAnsi="宋体"/>
                <w:b/>
                <w:iCs/>
                <w:sz w:val="24"/>
                <w:szCs w:val="24"/>
                <w:lang w:eastAsia="zh-CN"/>
              </w:rPr>
              <w:t>？</w:t>
            </w:r>
            <w:bookmarkStart w:id="0" w:name="_GoBack"/>
            <w:bookmarkEnd w:id="0"/>
          </w:p>
          <w:p w14:paraId="623F283B">
            <w:pPr>
              <w:numPr>
                <w:ilvl w:val="255"/>
                <w:numId w:val="0"/>
              </w:numPr>
              <w:spacing w:before="156" w:beforeLines="50" w:line="360" w:lineRule="auto"/>
              <w:ind w:firstLine="480" w:firstLineChars="200"/>
              <w:rPr>
                <w:rFonts w:hint="eastAsia" w:ascii="宋体" w:hAnsi="宋体"/>
                <w:bCs/>
                <w:iCs/>
                <w:sz w:val="24"/>
                <w:szCs w:val="24"/>
              </w:rPr>
            </w:pPr>
            <w:r>
              <w:rPr>
                <w:rFonts w:hint="eastAsia" w:ascii="宋体" w:hAnsi="宋体"/>
                <w:bCs/>
                <w:iCs/>
                <w:sz w:val="24"/>
                <w:szCs w:val="24"/>
              </w:rPr>
              <w:t>CRO是人才密集型行业,公司始终将技术与管理人才的储备视为重要任务，致力于构建稳健的内部人才梯队。为满足公司业务需求,公司具备一批丰富国内外制药研发经验的科研骨干和人才团队。</w:t>
            </w:r>
          </w:p>
          <w:p w14:paraId="77DF18C1">
            <w:pPr>
              <w:numPr>
                <w:ilvl w:val="255"/>
                <w:numId w:val="0"/>
              </w:numPr>
              <w:spacing w:before="156" w:beforeLines="50" w:line="360" w:lineRule="auto"/>
              <w:ind w:firstLine="480" w:firstLineChars="200"/>
              <w:rPr>
                <w:rFonts w:hint="eastAsia" w:ascii="宋体" w:hAnsi="宋体"/>
                <w:bCs/>
                <w:iCs/>
                <w:sz w:val="24"/>
                <w:szCs w:val="24"/>
              </w:rPr>
            </w:pPr>
            <w:r>
              <w:rPr>
                <w:rFonts w:hint="eastAsia" w:ascii="宋体" w:hAnsi="宋体"/>
                <w:bCs/>
                <w:iCs/>
                <w:sz w:val="24"/>
                <w:szCs w:val="24"/>
              </w:rPr>
              <w:t>2024年上半年,公司持续优化内部组织及人才结构,落实各项人效提升措施,协同各部门进行专业化资源的整合、共享,旨在合理控制人员规模,提升人均效能。公司会依据市场情况以及成本控制情况,适时调整人员招聘计划,使之与公司业务的发展情况相匹配,以保障未来业务的发展以及项目的顺利实施。</w:t>
            </w:r>
          </w:p>
          <w:p w14:paraId="1E187CB5">
            <w:pPr>
              <w:numPr>
                <w:ilvl w:val="255"/>
                <w:numId w:val="0"/>
              </w:numPr>
              <w:spacing w:before="156" w:beforeLines="50" w:line="360" w:lineRule="auto"/>
              <w:ind w:firstLine="482" w:firstLineChars="200"/>
              <w:rPr>
                <w:b/>
                <w:sz w:val="24"/>
              </w:rPr>
            </w:pPr>
            <w:r>
              <w:rPr>
                <w:rFonts w:hint="eastAsia"/>
                <w:b/>
                <w:iCs/>
                <w:sz w:val="24"/>
                <w:szCs w:val="24"/>
              </w:rPr>
              <w:t>2</w:t>
            </w:r>
            <w:r>
              <w:rPr>
                <w:b/>
                <w:iCs/>
                <w:sz w:val="24"/>
                <w:szCs w:val="24"/>
              </w:rPr>
              <w:t>.</w:t>
            </w:r>
            <w:r>
              <w:rPr>
                <w:rFonts w:hint="eastAsia"/>
                <w:b/>
                <w:iCs/>
                <w:sz w:val="24"/>
                <w:szCs w:val="24"/>
              </w:rPr>
              <w:t>公司如何看待仿制药受托业务的需求和价格</w:t>
            </w:r>
            <w:r>
              <w:rPr>
                <w:rFonts w:hint="eastAsia"/>
                <w:b/>
                <w:sz w:val="24"/>
              </w:rPr>
              <w:t>？</w:t>
            </w:r>
          </w:p>
          <w:p w14:paraId="207A353C">
            <w:pPr>
              <w:numPr>
                <w:ilvl w:val="255"/>
                <w:numId w:val="0"/>
              </w:numPr>
              <w:spacing w:before="156" w:beforeLines="50" w:line="360" w:lineRule="auto"/>
              <w:ind w:firstLine="480" w:firstLineChars="200"/>
              <w:rPr>
                <w:bCs/>
                <w:sz w:val="24"/>
              </w:rPr>
            </w:pPr>
            <w:r>
              <w:rPr>
                <w:rFonts w:hint="eastAsia"/>
                <w:bCs/>
                <w:sz w:val="24"/>
              </w:rPr>
              <w:t>近年来CDE受理数量和批准数量开始进入快速增长的新窗口，随着我国老龄化程度加深以及重磅创新药专利到期，仿制药需求仍有较大的增长空间。从品种角度看，首仿、新3类/新4类，OTC和院内外双跨品种申报数量持续增加，需求呈现出多样化态势，预计仿制药研发活跃度仍然有望维持一定的水平；展望未来，复杂剂型的新品种、原有品种的改良迭代以及存量品种所有剂型的一致性评价工作开展等需求会持续支持仿制药的研发。公司坚持“临床前+临床”一体化研发服务，具备特色核心技术集群，抢占首仿及难仿药的研发，仿制药开发的需求会持续支撑公司订单的稳定增长和盈利能力。</w:t>
            </w:r>
          </w:p>
          <w:p w14:paraId="56F66271">
            <w:pPr>
              <w:numPr>
                <w:ilvl w:val="255"/>
                <w:numId w:val="0"/>
              </w:numPr>
              <w:spacing w:before="156" w:beforeLines="50" w:line="360" w:lineRule="auto"/>
              <w:ind w:firstLine="480" w:firstLineChars="200"/>
              <w:rPr>
                <w:bCs/>
                <w:sz w:val="24"/>
              </w:rPr>
            </w:pPr>
            <w:r>
              <w:rPr>
                <w:rFonts w:hint="eastAsia"/>
                <w:bCs/>
                <w:sz w:val="24"/>
              </w:rPr>
              <w:t>制药企业对于仿制药研发的交付速度、研究质量要求逐步提升，并不局限于价格的对比，公司能够较好满足客户相应需求，使公司可以获得更高的溢价能力。</w:t>
            </w:r>
          </w:p>
          <w:p w14:paraId="3FDB2DB7">
            <w:pPr>
              <w:numPr>
                <w:ilvl w:val="255"/>
                <w:numId w:val="0"/>
              </w:numPr>
              <w:spacing w:before="156" w:beforeLines="50" w:line="360" w:lineRule="auto"/>
              <w:ind w:firstLine="482" w:firstLineChars="200"/>
              <w:rPr>
                <w:b/>
                <w:sz w:val="24"/>
              </w:rPr>
            </w:pPr>
            <w:r>
              <w:rPr>
                <w:rFonts w:hint="eastAsia" w:ascii="宋体" w:hAnsi="宋体"/>
                <w:b/>
                <w:iCs/>
                <w:sz w:val="24"/>
                <w:szCs w:val="24"/>
              </w:rPr>
              <w:t>3.</w:t>
            </w:r>
            <w:r>
              <w:rPr>
                <w:rFonts w:hint="eastAsia"/>
                <w:b/>
                <w:sz w:val="24"/>
              </w:rPr>
              <w:t>公司长期增长动力来源？</w:t>
            </w:r>
          </w:p>
          <w:p w14:paraId="2E243E5F">
            <w:pPr>
              <w:numPr>
                <w:ilvl w:val="255"/>
                <w:numId w:val="0"/>
              </w:numPr>
              <w:spacing w:before="156" w:beforeLines="50" w:line="360" w:lineRule="auto"/>
              <w:ind w:firstLine="480" w:firstLineChars="200"/>
              <w:rPr>
                <w:sz w:val="24"/>
              </w:rPr>
            </w:pPr>
            <w:r>
              <w:rPr>
                <w:rFonts w:hint="eastAsia"/>
                <w:sz w:val="24"/>
              </w:rPr>
              <w:t>公司坚持“仿创结合”、“全流程一体化” 药物研发服务平台的发展战略，围绕着仿制药、创新药研发全流程，紧密跟踪药物研发新趋势和新需求，前瞻性进行研发体系布局，先后布局多肽、儿童药/罕见病、长效微球制剂、缓控释制剂、局部递送与透皮吸收药物、医美、中药、宠物药、核药等药物研发领域。公司持续加强技术专家和人才的储备，提升研发团队的专业能力、效率和质量，研发成功概率提升，成功经验的积累，有望赋能公司长期发展。目前公司有多个自主研发创新药、改良型新药项目，多个仿制药品种已经实现对外授权，长期来看公司自主立项研发项目转让和分成收益具有较好的持续性。</w:t>
            </w:r>
          </w:p>
          <w:p w14:paraId="19A803EE">
            <w:pPr>
              <w:numPr>
                <w:ilvl w:val="0"/>
                <w:numId w:val="1"/>
              </w:numPr>
              <w:spacing w:before="156" w:beforeLines="50" w:line="360" w:lineRule="auto"/>
              <w:ind w:firstLine="482" w:firstLineChars="200"/>
              <w:rPr>
                <w:b/>
                <w:sz w:val="24"/>
              </w:rPr>
            </w:pPr>
            <w:r>
              <w:rPr>
                <w:rFonts w:hint="eastAsia"/>
                <w:b/>
                <w:sz w:val="24"/>
              </w:rPr>
              <w:t>公司未来是否会对哪一块业务更加侧重发展？</w:t>
            </w:r>
          </w:p>
          <w:p w14:paraId="69D5D730">
            <w:pPr>
              <w:numPr>
                <w:ilvl w:val="255"/>
                <w:numId w:val="0"/>
              </w:numPr>
              <w:spacing w:before="156" w:beforeLines="50" w:line="360" w:lineRule="auto"/>
              <w:ind w:firstLine="480" w:firstLineChars="200"/>
              <w:rPr>
                <w:bCs/>
                <w:sz w:val="24"/>
              </w:rPr>
            </w:pPr>
            <w:r>
              <w:rPr>
                <w:rFonts w:hint="eastAsia"/>
                <w:bCs/>
                <w:sz w:val="24"/>
              </w:rPr>
              <w:t>公司是一家专业的药物临床前及临床综合研发服务CRO，致力于为国内医药企业和科研机构提供全方位的一站式药物研发服务。为了更好地满足国内仿制和创新药物临床前及临床阶段的研究服务需求，我们围绕临床前+临床研究一体化战略，持续深化融合发展。我们将这一战略从化学药领域延伸到生物药、中药、医疗器械领域，实现横向扩张。同时，我们也在积极推进品种自研储备战略，完善技术成果转化事业部的建设，加大自主立项的多肽创新药、改良型新药和特色仿制药的研发投入。我们也在积极拓展新的业务领域，如核药、宠物药、中药、自体免疫细胞治疗和透皮与局部递药系统（TDDS）。</w:t>
            </w:r>
          </w:p>
          <w:p w14:paraId="081E077C">
            <w:pPr>
              <w:numPr>
                <w:ilvl w:val="0"/>
                <w:numId w:val="1"/>
              </w:numPr>
              <w:spacing w:before="156" w:beforeLines="50" w:line="360" w:lineRule="auto"/>
              <w:ind w:firstLine="482" w:firstLineChars="200"/>
              <w:rPr>
                <w:b/>
                <w:sz w:val="24"/>
              </w:rPr>
            </w:pPr>
            <w:r>
              <w:rPr>
                <w:rFonts w:hint="eastAsia"/>
                <w:b/>
                <w:sz w:val="24"/>
              </w:rPr>
              <w:t>激烈竞争下，企业具备哪些方面的核心竞争能力？</w:t>
            </w:r>
          </w:p>
          <w:p w14:paraId="25C4AEE3">
            <w:pPr>
              <w:numPr>
                <w:ilvl w:val="255"/>
                <w:numId w:val="0"/>
              </w:numPr>
              <w:spacing w:before="156" w:beforeLines="50" w:line="360" w:lineRule="auto"/>
              <w:ind w:firstLine="480" w:firstLineChars="200"/>
              <w:rPr>
                <w:bCs/>
                <w:sz w:val="24"/>
              </w:rPr>
            </w:pPr>
            <w:r>
              <w:rPr>
                <w:rFonts w:hint="eastAsia"/>
                <w:bCs/>
                <w:sz w:val="24"/>
              </w:rPr>
              <w:t>公司作为“临床前+临床”的综合研发服务CRO，公司核心竞争力主要体现在：公司业务起步于药学研究业务，建立了扎实的客户基础，拥有的“临床前+临床”综合研发服务模式竞争优势比较明显，能够满足客户多样化需求；形成了具有特色化的核心技术集群，具有技术及质量控制优势；在创新药领域的服务能力正在快速提升；丰富的自研项目产品储备和专业的人才团队优势；独特的业务发展模式增加了公司客户粘性，具备客户资源优势。</w:t>
            </w:r>
          </w:p>
          <w:p w14:paraId="7F867EA3">
            <w:pPr>
              <w:numPr>
                <w:ilvl w:val="255"/>
                <w:numId w:val="0"/>
              </w:numPr>
              <w:spacing w:before="156" w:beforeLines="50" w:line="360" w:lineRule="auto"/>
              <w:ind w:firstLine="480" w:firstLineChars="200"/>
              <w:rPr>
                <w:bCs/>
                <w:sz w:val="24"/>
              </w:rPr>
            </w:pPr>
            <w:r>
              <w:rPr>
                <w:rFonts w:hint="eastAsia"/>
                <w:bCs/>
                <w:sz w:val="24"/>
              </w:rPr>
              <w:t>公司将不断加强市场拓展及药物研发技术服务能力，努力提高公司盈利水平，提升核心竞争力。</w:t>
            </w:r>
          </w:p>
        </w:tc>
      </w:tr>
      <w:tr w14:paraId="4A63D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2093" w:type="dxa"/>
            <w:vAlign w:val="center"/>
          </w:tcPr>
          <w:p w14:paraId="49E359F1">
            <w:pPr>
              <w:spacing w:line="360" w:lineRule="auto"/>
              <w:jc w:val="left"/>
              <w:rPr>
                <w:rFonts w:hint="eastAsia" w:ascii="宋体" w:hAnsi="宋体"/>
                <w:b/>
                <w:bCs/>
                <w:iCs/>
                <w:sz w:val="24"/>
                <w:szCs w:val="24"/>
              </w:rPr>
            </w:pPr>
            <w:r>
              <w:rPr>
                <w:rFonts w:hint="eastAsia" w:ascii="宋体" w:hAnsi="宋体"/>
                <w:b/>
                <w:bCs/>
                <w:iCs/>
                <w:sz w:val="24"/>
                <w:szCs w:val="24"/>
              </w:rPr>
              <w:t>附件清单（如有）</w:t>
            </w:r>
          </w:p>
        </w:tc>
        <w:tc>
          <w:tcPr>
            <w:tcW w:w="6203" w:type="dxa"/>
          </w:tcPr>
          <w:p w14:paraId="41A52917">
            <w:pPr>
              <w:spacing w:line="360" w:lineRule="auto"/>
              <w:rPr>
                <w:rFonts w:hint="eastAsia" w:ascii="宋体" w:hAnsi="宋体" w:cs="宋体"/>
                <w:sz w:val="24"/>
                <w:szCs w:val="24"/>
              </w:rPr>
            </w:pPr>
            <w:r>
              <w:rPr>
                <w:rFonts w:hint="eastAsia" w:ascii="宋体" w:hAnsi="宋体"/>
                <w:bCs/>
                <w:iCs/>
                <w:sz w:val="24"/>
                <w:szCs w:val="24"/>
              </w:rPr>
              <w:t>无</w:t>
            </w:r>
          </w:p>
        </w:tc>
      </w:tr>
      <w:tr w14:paraId="5D6C7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717A6FD2">
            <w:pPr>
              <w:spacing w:line="360" w:lineRule="auto"/>
              <w:jc w:val="left"/>
              <w:rPr>
                <w:rFonts w:hint="eastAsia" w:ascii="宋体" w:hAnsi="宋体"/>
                <w:b/>
                <w:bCs/>
                <w:iCs/>
                <w:sz w:val="24"/>
                <w:szCs w:val="24"/>
              </w:rPr>
            </w:pPr>
            <w:r>
              <w:rPr>
                <w:rFonts w:hint="eastAsia" w:ascii="宋体" w:hAnsi="宋体"/>
                <w:b/>
                <w:bCs/>
                <w:iCs/>
                <w:sz w:val="24"/>
                <w:szCs w:val="24"/>
              </w:rPr>
              <w:t>日期</w:t>
            </w:r>
          </w:p>
        </w:tc>
        <w:tc>
          <w:tcPr>
            <w:tcW w:w="6203" w:type="dxa"/>
          </w:tcPr>
          <w:p w14:paraId="1087953D">
            <w:pPr>
              <w:spacing w:line="360" w:lineRule="auto"/>
              <w:rPr>
                <w:rFonts w:hint="eastAsia" w:ascii="宋体" w:hAnsi="宋体"/>
                <w:bCs/>
                <w:iCs/>
                <w:sz w:val="24"/>
                <w:szCs w:val="24"/>
              </w:rPr>
            </w:pPr>
            <w:r>
              <w:rPr>
                <w:rFonts w:hint="eastAsia" w:ascii="宋体" w:hAnsi="宋体"/>
                <w:bCs/>
                <w:iCs/>
                <w:sz w:val="24"/>
                <w:szCs w:val="24"/>
              </w:rPr>
              <w:t>20</w:t>
            </w:r>
            <w:r>
              <w:rPr>
                <w:rFonts w:ascii="宋体" w:hAnsi="宋体"/>
                <w:bCs/>
                <w:iCs/>
                <w:sz w:val="24"/>
                <w:szCs w:val="24"/>
              </w:rPr>
              <w:t>2</w:t>
            </w:r>
            <w:r>
              <w:rPr>
                <w:rFonts w:hint="eastAsia" w:ascii="宋体" w:hAnsi="宋体"/>
                <w:bCs/>
                <w:iCs/>
                <w:sz w:val="24"/>
                <w:szCs w:val="24"/>
              </w:rPr>
              <w:t>4年9月24日</w:t>
            </w:r>
          </w:p>
        </w:tc>
      </w:tr>
    </w:tbl>
    <w:p w14:paraId="3B62B90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56A866"/>
    <w:multiLevelType w:val="singleLevel"/>
    <w:tmpl w:val="B956A866"/>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M2MTRlOTE5NzU3Y2FhZmJjMTA4ODAwNjMyZWVhZDcifQ=="/>
  </w:docVars>
  <w:rsids>
    <w:rsidRoot w:val="52FF551A"/>
    <w:rsid w:val="007C7638"/>
    <w:rsid w:val="00A06CDD"/>
    <w:rsid w:val="00BB2E0E"/>
    <w:rsid w:val="00BF064F"/>
    <w:rsid w:val="00E31C19"/>
    <w:rsid w:val="01AC06BF"/>
    <w:rsid w:val="01CC4519"/>
    <w:rsid w:val="02290130"/>
    <w:rsid w:val="025F5A5E"/>
    <w:rsid w:val="026811C2"/>
    <w:rsid w:val="02BD318C"/>
    <w:rsid w:val="02DB7D7F"/>
    <w:rsid w:val="039A53E7"/>
    <w:rsid w:val="03D87218"/>
    <w:rsid w:val="042E4E66"/>
    <w:rsid w:val="051E3483"/>
    <w:rsid w:val="05537D54"/>
    <w:rsid w:val="05A32FB5"/>
    <w:rsid w:val="05BF4B6E"/>
    <w:rsid w:val="05F444DC"/>
    <w:rsid w:val="077953F5"/>
    <w:rsid w:val="07A52A97"/>
    <w:rsid w:val="08446DEB"/>
    <w:rsid w:val="09FE6266"/>
    <w:rsid w:val="0A414CDC"/>
    <w:rsid w:val="0A6D3DFC"/>
    <w:rsid w:val="0B5E16A9"/>
    <w:rsid w:val="0C612D69"/>
    <w:rsid w:val="0D174ABA"/>
    <w:rsid w:val="0DBE3551"/>
    <w:rsid w:val="0DCC4700"/>
    <w:rsid w:val="0E086001"/>
    <w:rsid w:val="0EB77202"/>
    <w:rsid w:val="0F824FAF"/>
    <w:rsid w:val="0FE77118"/>
    <w:rsid w:val="11866453"/>
    <w:rsid w:val="122E5DAC"/>
    <w:rsid w:val="12527029"/>
    <w:rsid w:val="12B62932"/>
    <w:rsid w:val="12DB5893"/>
    <w:rsid w:val="134A000D"/>
    <w:rsid w:val="13CF5910"/>
    <w:rsid w:val="144F54F1"/>
    <w:rsid w:val="14EC5248"/>
    <w:rsid w:val="14ED4281"/>
    <w:rsid w:val="15930D03"/>
    <w:rsid w:val="15AA2CEE"/>
    <w:rsid w:val="15B14D16"/>
    <w:rsid w:val="16DA51E9"/>
    <w:rsid w:val="17345A11"/>
    <w:rsid w:val="17FB3086"/>
    <w:rsid w:val="1839393F"/>
    <w:rsid w:val="190E77ED"/>
    <w:rsid w:val="1A0F1E47"/>
    <w:rsid w:val="1A2C70A7"/>
    <w:rsid w:val="1A547590"/>
    <w:rsid w:val="1B2D550F"/>
    <w:rsid w:val="1C524E00"/>
    <w:rsid w:val="1D0C17E5"/>
    <w:rsid w:val="1D74016F"/>
    <w:rsid w:val="1E121C15"/>
    <w:rsid w:val="1EBC241A"/>
    <w:rsid w:val="1F792F8D"/>
    <w:rsid w:val="1F983F69"/>
    <w:rsid w:val="1FAE3E0B"/>
    <w:rsid w:val="20BE1BE1"/>
    <w:rsid w:val="210274BB"/>
    <w:rsid w:val="216347EC"/>
    <w:rsid w:val="22F83CD2"/>
    <w:rsid w:val="2362320E"/>
    <w:rsid w:val="23910C76"/>
    <w:rsid w:val="23D01B44"/>
    <w:rsid w:val="23D06D2E"/>
    <w:rsid w:val="23EB5621"/>
    <w:rsid w:val="241427AF"/>
    <w:rsid w:val="249D14E3"/>
    <w:rsid w:val="24BB0950"/>
    <w:rsid w:val="256D51A0"/>
    <w:rsid w:val="26D51ECB"/>
    <w:rsid w:val="271625E5"/>
    <w:rsid w:val="273725B6"/>
    <w:rsid w:val="27452AA5"/>
    <w:rsid w:val="29093405"/>
    <w:rsid w:val="29706363"/>
    <w:rsid w:val="29DE4401"/>
    <w:rsid w:val="2AC65169"/>
    <w:rsid w:val="2AD401BA"/>
    <w:rsid w:val="2B061EFA"/>
    <w:rsid w:val="2B9F7FE4"/>
    <w:rsid w:val="2C535356"/>
    <w:rsid w:val="2CA85D23"/>
    <w:rsid w:val="2CB67043"/>
    <w:rsid w:val="2CE05AC2"/>
    <w:rsid w:val="2DCD4D3B"/>
    <w:rsid w:val="2E6F33D5"/>
    <w:rsid w:val="2EA00B62"/>
    <w:rsid w:val="2EA9018A"/>
    <w:rsid w:val="2F4F0EF9"/>
    <w:rsid w:val="2FA368BA"/>
    <w:rsid w:val="308E0410"/>
    <w:rsid w:val="30A2064A"/>
    <w:rsid w:val="31060FA7"/>
    <w:rsid w:val="31093612"/>
    <w:rsid w:val="31BF300D"/>
    <w:rsid w:val="32A42B73"/>
    <w:rsid w:val="32D27F68"/>
    <w:rsid w:val="33231F8D"/>
    <w:rsid w:val="33260499"/>
    <w:rsid w:val="332F655B"/>
    <w:rsid w:val="33687BF4"/>
    <w:rsid w:val="337942D4"/>
    <w:rsid w:val="34E872B4"/>
    <w:rsid w:val="350D634B"/>
    <w:rsid w:val="36952F4E"/>
    <w:rsid w:val="36B70E22"/>
    <w:rsid w:val="36D92FB2"/>
    <w:rsid w:val="37467413"/>
    <w:rsid w:val="37787510"/>
    <w:rsid w:val="381776BB"/>
    <w:rsid w:val="387520F0"/>
    <w:rsid w:val="39D2147A"/>
    <w:rsid w:val="3A8D04C3"/>
    <w:rsid w:val="3A9F5F2A"/>
    <w:rsid w:val="3B237CC2"/>
    <w:rsid w:val="3B3C7B22"/>
    <w:rsid w:val="3B7403CD"/>
    <w:rsid w:val="3B91445B"/>
    <w:rsid w:val="3C1E2FE5"/>
    <w:rsid w:val="3D3C6638"/>
    <w:rsid w:val="3D437946"/>
    <w:rsid w:val="3D81311B"/>
    <w:rsid w:val="3DFE4CB6"/>
    <w:rsid w:val="3E0B24F7"/>
    <w:rsid w:val="3E5C41A0"/>
    <w:rsid w:val="3EA2315F"/>
    <w:rsid w:val="3F135AFA"/>
    <w:rsid w:val="4224131E"/>
    <w:rsid w:val="422D34A0"/>
    <w:rsid w:val="441B0C05"/>
    <w:rsid w:val="459C63BF"/>
    <w:rsid w:val="45A55001"/>
    <w:rsid w:val="45E072A7"/>
    <w:rsid w:val="462A01A0"/>
    <w:rsid w:val="46333934"/>
    <w:rsid w:val="46A169FF"/>
    <w:rsid w:val="46F34D6A"/>
    <w:rsid w:val="480B4BB5"/>
    <w:rsid w:val="487D4171"/>
    <w:rsid w:val="488851C9"/>
    <w:rsid w:val="489D1235"/>
    <w:rsid w:val="48E21AEF"/>
    <w:rsid w:val="4A830B91"/>
    <w:rsid w:val="4AAF5236"/>
    <w:rsid w:val="4AB212D8"/>
    <w:rsid w:val="4B1A52D2"/>
    <w:rsid w:val="4B265D22"/>
    <w:rsid w:val="4BB85758"/>
    <w:rsid w:val="4C014C57"/>
    <w:rsid w:val="4C020555"/>
    <w:rsid w:val="4C1E0FC8"/>
    <w:rsid w:val="4C556F25"/>
    <w:rsid w:val="4C84793E"/>
    <w:rsid w:val="4D0E2637"/>
    <w:rsid w:val="4D6024B5"/>
    <w:rsid w:val="4D9C101F"/>
    <w:rsid w:val="4DF658A7"/>
    <w:rsid w:val="4EF8205F"/>
    <w:rsid w:val="4F444544"/>
    <w:rsid w:val="4FE37D9E"/>
    <w:rsid w:val="50410483"/>
    <w:rsid w:val="509818E5"/>
    <w:rsid w:val="51547108"/>
    <w:rsid w:val="51EF5E19"/>
    <w:rsid w:val="527A22D9"/>
    <w:rsid w:val="5289164F"/>
    <w:rsid w:val="52FF551A"/>
    <w:rsid w:val="53672784"/>
    <w:rsid w:val="539E26C0"/>
    <w:rsid w:val="53A91257"/>
    <w:rsid w:val="53F3326E"/>
    <w:rsid w:val="549878D9"/>
    <w:rsid w:val="54A06C67"/>
    <w:rsid w:val="54CC1D57"/>
    <w:rsid w:val="54EB364E"/>
    <w:rsid w:val="55CA28F1"/>
    <w:rsid w:val="55D26B9E"/>
    <w:rsid w:val="561D32CE"/>
    <w:rsid w:val="56AC67D2"/>
    <w:rsid w:val="573622C3"/>
    <w:rsid w:val="576D5BCE"/>
    <w:rsid w:val="58836DC8"/>
    <w:rsid w:val="58BA5B76"/>
    <w:rsid w:val="599C16F8"/>
    <w:rsid w:val="5A2A67F5"/>
    <w:rsid w:val="5A4F27F0"/>
    <w:rsid w:val="5A880128"/>
    <w:rsid w:val="5AAE4583"/>
    <w:rsid w:val="5B1D47FA"/>
    <w:rsid w:val="5D012421"/>
    <w:rsid w:val="5DD427BF"/>
    <w:rsid w:val="5DDC2CA3"/>
    <w:rsid w:val="5DEC4365"/>
    <w:rsid w:val="5E7435BA"/>
    <w:rsid w:val="5E932ED8"/>
    <w:rsid w:val="60760873"/>
    <w:rsid w:val="60C214BD"/>
    <w:rsid w:val="60C265CF"/>
    <w:rsid w:val="617862AC"/>
    <w:rsid w:val="62A30EA1"/>
    <w:rsid w:val="62F60387"/>
    <w:rsid w:val="63181F99"/>
    <w:rsid w:val="6320789A"/>
    <w:rsid w:val="63D1618C"/>
    <w:rsid w:val="64661261"/>
    <w:rsid w:val="64932BAD"/>
    <w:rsid w:val="649B4982"/>
    <w:rsid w:val="64BC0286"/>
    <w:rsid w:val="650C2A2C"/>
    <w:rsid w:val="65CA54AC"/>
    <w:rsid w:val="669A3582"/>
    <w:rsid w:val="66F23252"/>
    <w:rsid w:val="67920D68"/>
    <w:rsid w:val="67E47875"/>
    <w:rsid w:val="681F4C63"/>
    <w:rsid w:val="68E055B0"/>
    <w:rsid w:val="69961E22"/>
    <w:rsid w:val="6A23123C"/>
    <w:rsid w:val="6A2842F5"/>
    <w:rsid w:val="6A6547A8"/>
    <w:rsid w:val="6A6B5660"/>
    <w:rsid w:val="6B685571"/>
    <w:rsid w:val="6C3309C1"/>
    <w:rsid w:val="6D1E32A1"/>
    <w:rsid w:val="6D322B1C"/>
    <w:rsid w:val="6D9B2F52"/>
    <w:rsid w:val="6E2576AE"/>
    <w:rsid w:val="6E290AB7"/>
    <w:rsid w:val="6EA45979"/>
    <w:rsid w:val="6EEB2130"/>
    <w:rsid w:val="700B2EC6"/>
    <w:rsid w:val="70754AA5"/>
    <w:rsid w:val="70B8083E"/>
    <w:rsid w:val="714D6AE5"/>
    <w:rsid w:val="7171086E"/>
    <w:rsid w:val="719510A4"/>
    <w:rsid w:val="71A66548"/>
    <w:rsid w:val="71FA4772"/>
    <w:rsid w:val="71FC4DEA"/>
    <w:rsid w:val="728671BF"/>
    <w:rsid w:val="72C94CD5"/>
    <w:rsid w:val="73300DA4"/>
    <w:rsid w:val="744616E9"/>
    <w:rsid w:val="745A380B"/>
    <w:rsid w:val="74A02866"/>
    <w:rsid w:val="75580D0F"/>
    <w:rsid w:val="76440F92"/>
    <w:rsid w:val="772F3652"/>
    <w:rsid w:val="779F15A2"/>
    <w:rsid w:val="77AE1328"/>
    <w:rsid w:val="77B6383C"/>
    <w:rsid w:val="77B751AF"/>
    <w:rsid w:val="78423920"/>
    <w:rsid w:val="78A45D63"/>
    <w:rsid w:val="794D08AD"/>
    <w:rsid w:val="79661C63"/>
    <w:rsid w:val="79D25FC2"/>
    <w:rsid w:val="79EA2C4D"/>
    <w:rsid w:val="79F90BEF"/>
    <w:rsid w:val="7A4A14CB"/>
    <w:rsid w:val="7A774554"/>
    <w:rsid w:val="7A7F1400"/>
    <w:rsid w:val="7AD051DC"/>
    <w:rsid w:val="7ADB0A5E"/>
    <w:rsid w:val="7AE62B2D"/>
    <w:rsid w:val="7B28387D"/>
    <w:rsid w:val="7BA223D0"/>
    <w:rsid w:val="7C064AE8"/>
    <w:rsid w:val="7C29373A"/>
    <w:rsid w:val="7C6A3054"/>
    <w:rsid w:val="7CE44ECC"/>
    <w:rsid w:val="7CE571C4"/>
    <w:rsid w:val="7D0375F5"/>
    <w:rsid w:val="7D546905"/>
    <w:rsid w:val="7D6D7ABB"/>
    <w:rsid w:val="7D7234FB"/>
    <w:rsid w:val="7F173DB2"/>
    <w:rsid w:val="7F2266A0"/>
    <w:rsid w:val="7F2E17A9"/>
    <w:rsid w:val="7FAD2049"/>
    <w:rsid w:val="7FEE7A90"/>
    <w:rsid w:val="7FF235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8"/>
    <w:qFormat/>
    <w:uiPriority w:val="0"/>
    <w:pPr>
      <w:jc w:val="left"/>
    </w:pPr>
  </w:style>
  <w:style w:type="paragraph" w:styleId="3">
    <w:name w:val="annotation subject"/>
    <w:basedOn w:val="2"/>
    <w:next w:val="2"/>
    <w:link w:val="9"/>
    <w:qFormat/>
    <w:uiPriority w:val="0"/>
    <w:rPr>
      <w:b/>
      <w:bCs/>
    </w:rPr>
  </w:style>
  <w:style w:type="character" w:styleId="6">
    <w:name w:val="annotation reference"/>
    <w:basedOn w:val="5"/>
    <w:uiPriority w:val="0"/>
    <w:rPr>
      <w:sz w:val="21"/>
      <w:szCs w:val="21"/>
    </w:rPr>
  </w:style>
  <w:style w:type="paragraph" w:customStyle="1" w:styleId="7">
    <w:name w:val="Revision"/>
    <w:hidden/>
    <w:unhideWhenUsed/>
    <w:uiPriority w:val="99"/>
    <w:rPr>
      <w:rFonts w:ascii="Times New Roman" w:hAnsi="Times New Roman" w:eastAsia="宋体" w:cs="Times New Roman"/>
      <w:kern w:val="2"/>
      <w:sz w:val="21"/>
      <w:lang w:val="en-US" w:eastAsia="zh-CN" w:bidi="ar-SA"/>
    </w:rPr>
  </w:style>
  <w:style w:type="character" w:customStyle="1" w:styleId="8">
    <w:name w:val="批注文字 字符"/>
    <w:basedOn w:val="5"/>
    <w:link w:val="2"/>
    <w:qFormat/>
    <w:uiPriority w:val="0"/>
    <w:rPr>
      <w:kern w:val="2"/>
      <w:sz w:val="21"/>
    </w:rPr>
  </w:style>
  <w:style w:type="character" w:customStyle="1" w:styleId="9">
    <w:name w:val="批注主题 字符"/>
    <w:basedOn w:val="8"/>
    <w:link w:val="3"/>
    <w:uiPriority w:val="0"/>
    <w:rPr>
      <w:b/>
      <w:bCs/>
      <w:kern w:val="2"/>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2295</Words>
  <Characters>2448</Characters>
  <Lines>18</Lines>
  <Paragraphs>5</Paragraphs>
  <TotalTime>12</TotalTime>
  <ScaleCrop>false</ScaleCrop>
  <LinksUpToDate>false</LinksUpToDate>
  <CharactersWithSpaces>2513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2024-09-26T06:32:00Z</dcterms:created>
  <dc:creator>杨贵娇</dc:creator>
  <cp:lastModifiedBy>杨贵娇</cp:lastModifiedBy>
  <dcterms:modified xsi:type="dcterms:W3CDTF">2024-09-26T07:24:08Z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E90D7495AD4F4CA4BC7637BB4F60A47E_13</vt:lpwstr>
  </property>
</Properties>
</file>