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019B8" w14:textId="77777777" w:rsidR="005E3DF5" w:rsidRDefault="00000000">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w:t>
      </w:r>
      <w:r w:rsidRPr="001D3D54">
        <w:rPr>
          <w:bCs/>
          <w:iCs/>
          <w:color w:val="000000"/>
          <w:sz w:val="24"/>
        </w:rPr>
        <w:t>688343</w:t>
      </w:r>
      <w:r>
        <w:rPr>
          <w:rFonts w:ascii="宋体" w:hAnsi="宋体" w:hint="eastAsia"/>
          <w:bCs/>
          <w:iCs/>
          <w:color w:val="000000"/>
          <w:sz w:val="24"/>
        </w:rPr>
        <w:t xml:space="preserve">                                   证券简称：云天励飞</w:t>
      </w:r>
    </w:p>
    <w:p w14:paraId="76C7AF9C" w14:textId="77777777" w:rsidR="005E3DF5"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深圳云天励飞技术股份有限公司</w:t>
      </w:r>
    </w:p>
    <w:p w14:paraId="65A8F8F8" w14:textId="77777777" w:rsidR="005E3DF5"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1E642154" w14:textId="47E17132" w:rsidR="005E3DF5"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w:t>
      </w:r>
      <w:r w:rsidRPr="001D3D54">
        <w:rPr>
          <w:b/>
          <w:bCs/>
          <w:iCs/>
          <w:color w:val="000000"/>
          <w:sz w:val="32"/>
          <w:szCs w:val="32"/>
        </w:rPr>
        <w:t>2024</w:t>
      </w:r>
      <w:r w:rsidRPr="001D3D54">
        <w:rPr>
          <w:b/>
          <w:bCs/>
          <w:iCs/>
          <w:color w:val="000000"/>
          <w:sz w:val="32"/>
          <w:szCs w:val="32"/>
        </w:rPr>
        <w:t>年</w:t>
      </w:r>
      <w:r w:rsidRPr="001D3D54">
        <w:rPr>
          <w:b/>
          <w:bCs/>
          <w:iCs/>
          <w:color w:val="000000"/>
          <w:sz w:val="32"/>
          <w:szCs w:val="32"/>
        </w:rPr>
        <w:t>09</w:t>
      </w:r>
      <w:r w:rsidRPr="001D3D54">
        <w:rPr>
          <w:b/>
          <w:bCs/>
          <w:iCs/>
          <w:color w:val="000000"/>
          <w:sz w:val="32"/>
          <w:szCs w:val="32"/>
        </w:rPr>
        <w:t>月</w:t>
      </w:r>
      <w:r w:rsidRPr="001D3D54">
        <w:rPr>
          <w:b/>
          <w:bCs/>
          <w:iCs/>
          <w:color w:val="000000"/>
          <w:sz w:val="32"/>
          <w:szCs w:val="32"/>
        </w:rPr>
        <w:t>24</w:t>
      </w:r>
      <w:r w:rsidRPr="001D3D54">
        <w:rPr>
          <w:b/>
          <w:bCs/>
          <w:iCs/>
          <w:color w:val="000000"/>
          <w:sz w:val="32"/>
          <w:szCs w:val="32"/>
        </w:rPr>
        <w:t>日</w:t>
      </w:r>
      <w:r w:rsidR="001D3D54" w:rsidRPr="001D3D54">
        <w:rPr>
          <w:b/>
          <w:bCs/>
          <w:iCs/>
          <w:color w:val="000000"/>
          <w:sz w:val="32"/>
          <w:szCs w:val="32"/>
        </w:rPr>
        <w:t>-</w:t>
      </w:r>
      <w:r w:rsidRPr="001D3D54">
        <w:rPr>
          <w:b/>
          <w:bCs/>
          <w:iCs/>
          <w:color w:val="000000"/>
          <w:sz w:val="32"/>
          <w:szCs w:val="32"/>
        </w:rPr>
        <w:t>2024</w:t>
      </w:r>
      <w:r w:rsidRPr="001D3D54">
        <w:rPr>
          <w:b/>
          <w:bCs/>
          <w:iCs/>
          <w:color w:val="000000"/>
          <w:sz w:val="32"/>
          <w:szCs w:val="32"/>
        </w:rPr>
        <w:t>年</w:t>
      </w:r>
      <w:r w:rsidRPr="001D3D54">
        <w:rPr>
          <w:b/>
          <w:bCs/>
          <w:iCs/>
          <w:color w:val="000000"/>
          <w:sz w:val="32"/>
          <w:szCs w:val="32"/>
        </w:rPr>
        <w:t>09</w:t>
      </w:r>
      <w:r w:rsidRPr="001D3D54">
        <w:rPr>
          <w:b/>
          <w:bCs/>
          <w:iCs/>
          <w:color w:val="000000"/>
          <w:sz w:val="32"/>
          <w:szCs w:val="32"/>
        </w:rPr>
        <w:t>月</w:t>
      </w:r>
      <w:r w:rsidRPr="001D3D54">
        <w:rPr>
          <w:b/>
          <w:bCs/>
          <w:iCs/>
          <w:color w:val="000000"/>
          <w:sz w:val="32"/>
          <w:szCs w:val="32"/>
        </w:rPr>
        <w:t>25</w:t>
      </w:r>
      <w:r w:rsidRPr="001D3D54">
        <w:rPr>
          <w:b/>
          <w:bCs/>
          <w:iCs/>
          <w:color w:val="000000"/>
          <w:sz w:val="32"/>
          <w:szCs w:val="32"/>
        </w:rPr>
        <w:t>日</w:t>
      </w:r>
      <w:r>
        <w:rPr>
          <w:rFonts w:ascii="宋体" w:hAnsi="宋体" w:hint="eastAsia"/>
          <w:b/>
          <w:bCs/>
          <w:iCs/>
          <w:color w:val="000000"/>
          <w:sz w:val="32"/>
          <w:szCs w:val="32"/>
        </w:rPr>
        <w:t>)</w:t>
      </w:r>
    </w:p>
    <w:p w14:paraId="025F6830" w14:textId="5D125433" w:rsidR="005E3DF5" w:rsidRDefault="00000000">
      <w:pPr>
        <w:spacing w:line="400" w:lineRule="exact"/>
        <w:rPr>
          <w:rFonts w:ascii="宋体" w:hAnsi="宋体" w:hint="eastAsia"/>
          <w:bCs/>
          <w:iCs/>
          <w:color w:val="000000"/>
          <w:sz w:val="24"/>
        </w:rPr>
      </w:pPr>
      <w:r>
        <w:rPr>
          <w:rFonts w:ascii="宋体" w:hAnsi="宋体" w:hint="eastAsia"/>
          <w:bCs/>
          <w:iCs/>
          <w:color w:val="000000"/>
          <w:sz w:val="24"/>
        </w:rPr>
        <w:t xml:space="preserve">                                                      编号：</w:t>
      </w:r>
      <w:r w:rsidRPr="001D3D54">
        <w:rPr>
          <w:bCs/>
          <w:iCs/>
          <w:color w:val="000000"/>
          <w:sz w:val="24"/>
        </w:rPr>
        <w:t>2024-0</w:t>
      </w:r>
      <w:r w:rsidR="001D3D54" w:rsidRPr="001D3D54">
        <w:rPr>
          <w:bCs/>
          <w:iCs/>
          <w:color w:val="000000"/>
          <w:sz w:val="24"/>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34"/>
      </w:tblGrid>
      <w:tr w:rsidR="005E3DF5" w14:paraId="3EDAEF16"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212CB6A8"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投资者关系活动类别</w:t>
            </w:r>
          </w:p>
          <w:p w14:paraId="4B680DDF" w14:textId="77777777" w:rsidR="005E3DF5" w:rsidRDefault="005E3DF5">
            <w:pPr>
              <w:spacing w:line="480" w:lineRule="atLeast"/>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1E8EF63"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10349ED5"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t>□</w:t>
            </w:r>
            <w:r>
              <w:rPr>
                <w:rFonts w:ascii="宋体" w:hAnsi="宋体" w:hint="eastAsia"/>
                <w:sz w:val="24"/>
              </w:rPr>
              <w:t>业绩说明会</w:t>
            </w:r>
          </w:p>
          <w:p w14:paraId="4DBDFA37"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64F24F59" w14:textId="4F82CACD" w:rsidR="005E3DF5" w:rsidRDefault="006B243E" w:rsidP="006B243E">
            <w:pPr>
              <w:tabs>
                <w:tab w:val="left" w:pos="2808"/>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现场参观            </w:t>
            </w:r>
            <w:r>
              <w:rPr>
                <w:rFonts w:ascii="宋体" w:hAnsi="宋体" w:hint="eastAsia"/>
                <w:bCs/>
                <w:iCs/>
                <w:color w:val="000000"/>
                <w:sz w:val="24"/>
              </w:rPr>
              <w:t>□</w:t>
            </w:r>
            <w:r>
              <w:rPr>
                <w:rFonts w:ascii="宋体" w:hAnsi="宋体" w:hint="eastAsia"/>
                <w:sz w:val="24"/>
              </w:rPr>
              <w:t>其他（线上）</w:t>
            </w:r>
          </w:p>
        </w:tc>
      </w:tr>
      <w:tr w:rsidR="005E3DF5" w14:paraId="6B97DBB2" w14:textId="77777777" w:rsidTr="006B243E">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012EC17"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0F82B0A" w14:textId="465FBED7" w:rsidR="005E3DF5" w:rsidRPr="006B243E" w:rsidRDefault="00386187">
            <w:pPr>
              <w:spacing w:line="480" w:lineRule="atLeast"/>
              <w:rPr>
                <w:bCs/>
                <w:iCs/>
                <w:color w:val="000000"/>
                <w:sz w:val="24"/>
              </w:rPr>
            </w:pPr>
            <w:r w:rsidRPr="006B243E">
              <w:rPr>
                <w:bCs/>
                <w:iCs/>
                <w:color w:val="000000"/>
                <w:sz w:val="24"/>
              </w:rPr>
              <w:t>易方达基金</w:t>
            </w:r>
            <w:r>
              <w:rPr>
                <w:rFonts w:hint="eastAsia"/>
                <w:bCs/>
                <w:iCs/>
                <w:color w:val="000000"/>
                <w:sz w:val="24"/>
              </w:rPr>
              <w:t>、</w:t>
            </w:r>
            <w:r w:rsidRPr="006B243E">
              <w:rPr>
                <w:bCs/>
                <w:iCs/>
                <w:color w:val="000000"/>
                <w:sz w:val="24"/>
              </w:rPr>
              <w:t>国泰元鑫资产、趣时资产、兴业证券</w:t>
            </w:r>
            <w:r>
              <w:rPr>
                <w:rFonts w:hint="eastAsia"/>
                <w:bCs/>
                <w:iCs/>
                <w:color w:val="000000"/>
                <w:sz w:val="24"/>
              </w:rPr>
              <w:t>、</w:t>
            </w:r>
            <w:r w:rsidRPr="006B243E">
              <w:rPr>
                <w:bCs/>
                <w:iCs/>
                <w:color w:val="000000"/>
                <w:sz w:val="24"/>
              </w:rPr>
              <w:t>国泰君安证券，</w:t>
            </w:r>
            <w:r w:rsidRPr="006B243E">
              <w:rPr>
                <w:bCs/>
                <w:iCs/>
                <w:color w:val="000000"/>
                <w:sz w:val="24"/>
              </w:rPr>
              <w:t>5</w:t>
            </w:r>
            <w:r w:rsidRPr="006B243E">
              <w:rPr>
                <w:bCs/>
                <w:iCs/>
                <w:color w:val="000000"/>
                <w:sz w:val="24"/>
              </w:rPr>
              <w:t>家机构的代表，共计</w:t>
            </w:r>
            <w:r w:rsidRPr="006B243E">
              <w:rPr>
                <w:bCs/>
                <w:iCs/>
                <w:color w:val="000000"/>
                <w:sz w:val="24"/>
              </w:rPr>
              <w:t>5</w:t>
            </w:r>
            <w:r w:rsidRPr="006B243E">
              <w:rPr>
                <w:bCs/>
                <w:iCs/>
                <w:color w:val="000000"/>
                <w:sz w:val="24"/>
              </w:rPr>
              <w:t>人。</w:t>
            </w:r>
          </w:p>
        </w:tc>
      </w:tr>
      <w:tr w:rsidR="005E3DF5" w14:paraId="2F8C0FD8" w14:textId="77777777" w:rsidTr="006B243E">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BD43D4A"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8402303" w14:textId="497BD62F" w:rsidR="005E3DF5" w:rsidRPr="006B243E" w:rsidRDefault="00000000">
            <w:pPr>
              <w:spacing w:line="560" w:lineRule="exact"/>
              <w:jc w:val="left"/>
              <w:rPr>
                <w:color w:val="000000"/>
                <w:sz w:val="24"/>
              </w:rPr>
            </w:pPr>
            <w:r w:rsidRPr="006B243E">
              <w:rPr>
                <w:color w:val="000000"/>
                <w:sz w:val="24"/>
              </w:rPr>
              <w:t>2024</w:t>
            </w:r>
            <w:r w:rsidRPr="006B243E">
              <w:rPr>
                <w:color w:val="000000"/>
                <w:sz w:val="24"/>
              </w:rPr>
              <w:t>年</w:t>
            </w:r>
            <w:r w:rsidRPr="006B243E">
              <w:rPr>
                <w:color w:val="000000"/>
                <w:sz w:val="24"/>
              </w:rPr>
              <w:t>09</w:t>
            </w:r>
            <w:r w:rsidRPr="006B243E">
              <w:rPr>
                <w:color w:val="000000"/>
                <w:sz w:val="24"/>
              </w:rPr>
              <w:t>月</w:t>
            </w:r>
            <w:r w:rsidRPr="006B243E">
              <w:rPr>
                <w:color w:val="000000"/>
                <w:sz w:val="24"/>
              </w:rPr>
              <w:t>24</w:t>
            </w:r>
            <w:r w:rsidRPr="006B243E">
              <w:rPr>
                <w:color w:val="000000"/>
                <w:sz w:val="24"/>
              </w:rPr>
              <w:t>日</w:t>
            </w:r>
            <w:r w:rsidR="006B243E">
              <w:rPr>
                <w:rFonts w:hint="eastAsia"/>
                <w:color w:val="000000"/>
                <w:sz w:val="24"/>
              </w:rPr>
              <w:t>-</w:t>
            </w:r>
            <w:r w:rsidRPr="006B243E">
              <w:rPr>
                <w:color w:val="000000"/>
                <w:sz w:val="24"/>
              </w:rPr>
              <w:t>09</w:t>
            </w:r>
            <w:r w:rsidRPr="006B243E">
              <w:rPr>
                <w:color w:val="000000"/>
                <w:sz w:val="24"/>
              </w:rPr>
              <w:t>月</w:t>
            </w:r>
            <w:r w:rsidRPr="006B243E">
              <w:rPr>
                <w:color w:val="000000"/>
                <w:sz w:val="24"/>
              </w:rPr>
              <w:t>25</w:t>
            </w:r>
            <w:r w:rsidRPr="006B243E">
              <w:rPr>
                <w:color w:val="000000"/>
                <w:sz w:val="24"/>
              </w:rPr>
              <w:t>日</w:t>
            </w:r>
          </w:p>
        </w:tc>
      </w:tr>
      <w:tr w:rsidR="005E3DF5" w14:paraId="29DE09AD" w14:textId="77777777" w:rsidTr="006B243E">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B489E92"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88B0F7E" w14:textId="67AB029F" w:rsidR="005E3DF5" w:rsidRDefault="00000000">
            <w:pPr>
              <w:spacing w:line="480" w:lineRule="atLeast"/>
              <w:rPr>
                <w:rFonts w:ascii="宋体" w:hAnsi="宋体" w:hint="eastAsia"/>
                <w:bCs/>
                <w:iCs/>
                <w:color w:val="000000"/>
                <w:sz w:val="24"/>
              </w:rPr>
            </w:pPr>
            <w:r>
              <w:rPr>
                <w:rFonts w:hint="eastAsia"/>
                <w:color w:val="000000"/>
                <w:sz w:val="24"/>
              </w:rPr>
              <w:t>线下：外部其他场所</w:t>
            </w:r>
          </w:p>
        </w:tc>
      </w:tr>
      <w:tr w:rsidR="005E3DF5" w14:paraId="295F58B4" w14:textId="77777777" w:rsidTr="006B243E">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625EE77"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83A230C" w14:textId="25951F8C" w:rsidR="005E3DF5" w:rsidRDefault="006B243E" w:rsidP="00AC2B69">
            <w:pPr>
              <w:spacing w:line="360" w:lineRule="auto"/>
              <w:jc w:val="left"/>
            </w:pPr>
            <w:r>
              <w:rPr>
                <w:rFonts w:ascii="宋体" w:hAnsi="宋体" w:cs="宋体" w:hint="eastAsia"/>
                <w:sz w:val="24"/>
              </w:rPr>
              <w:t>董事会办公室</w:t>
            </w:r>
            <w:r>
              <w:rPr>
                <w:rFonts w:ascii="宋体" w:hAnsi="宋体" w:cs="宋体"/>
                <w:sz w:val="24"/>
              </w:rPr>
              <w:t>：黄玉珊女士</w:t>
            </w:r>
            <w:r w:rsidR="00750A87">
              <w:rPr>
                <w:rFonts w:ascii="宋体" w:hAnsi="宋体" w:cs="宋体" w:hint="eastAsia"/>
                <w:sz w:val="24"/>
              </w:rPr>
              <w:t>、</w:t>
            </w:r>
            <w:r w:rsidR="00750A87">
              <w:rPr>
                <w:rFonts w:ascii="宋体" w:hAnsi="宋体" w:cs="宋体"/>
                <w:sz w:val="24"/>
              </w:rPr>
              <w:t>韩暘先生</w:t>
            </w:r>
          </w:p>
        </w:tc>
      </w:tr>
      <w:tr w:rsidR="005E3DF5" w14:paraId="4CB7F2B7"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9DAC6F5"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投资者关系活动主要内容介绍</w:t>
            </w:r>
          </w:p>
          <w:p w14:paraId="690F8F7A" w14:textId="77777777" w:rsidR="005E3DF5" w:rsidRDefault="005E3DF5">
            <w:pPr>
              <w:spacing w:line="480" w:lineRule="atLeast"/>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29961AEB" w14:textId="77777777" w:rsidR="00285744" w:rsidRPr="00285744" w:rsidRDefault="00285744" w:rsidP="00A66E8C">
            <w:pPr>
              <w:spacing w:line="360" w:lineRule="auto"/>
              <w:rPr>
                <w:b/>
                <w:bCs/>
                <w:sz w:val="24"/>
              </w:rPr>
            </w:pPr>
            <w:r w:rsidRPr="00285744">
              <w:rPr>
                <w:rFonts w:hint="eastAsia"/>
                <w:b/>
                <w:bCs/>
                <w:sz w:val="24"/>
              </w:rPr>
              <w:t>一、公司情况介绍</w:t>
            </w:r>
          </w:p>
          <w:p w14:paraId="038FA86B" w14:textId="1CD61A9A" w:rsidR="00285744" w:rsidRPr="00285744" w:rsidRDefault="00285744" w:rsidP="00A66E8C">
            <w:pPr>
              <w:spacing w:line="360" w:lineRule="auto"/>
              <w:rPr>
                <w:b/>
                <w:bCs/>
                <w:sz w:val="24"/>
              </w:rPr>
            </w:pPr>
            <w:r w:rsidRPr="00285744">
              <w:rPr>
                <w:rFonts w:hint="eastAsia"/>
                <w:b/>
                <w:bCs/>
                <w:sz w:val="24"/>
              </w:rPr>
              <w:t>二、问答环节</w:t>
            </w:r>
          </w:p>
          <w:p w14:paraId="38E8C7A4" w14:textId="0C1BFA3C" w:rsidR="00A66E8C" w:rsidRDefault="00A66E8C" w:rsidP="00A66E8C">
            <w:pPr>
              <w:spacing w:line="360" w:lineRule="auto"/>
              <w:ind w:firstLineChars="200" w:firstLine="482"/>
              <w:rPr>
                <w:b/>
                <w:sz w:val="24"/>
              </w:rPr>
            </w:pPr>
            <w:r>
              <w:rPr>
                <w:rFonts w:hint="eastAsia"/>
                <w:b/>
                <w:sz w:val="24"/>
              </w:rPr>
              <w:t>1</w:t>
            </w:r>
            <w:r w:rsidRPr="00A66E8C">
              <w:rPr>
                <w:b/>
                <w:sz w:val="24"/>
              </w:rPr>
              <w:t>、</w:t>
            </w:r>
            <w:r>
              <w:rPr>
                <w:rFonts w:hint="eastAsia"/>
                <w:b/>
                <w:sz w:val="24"/>
              </w:rPr>
              <w:t>近期公司全资子公司</w:t>
            </w:r>
            <w:r w:rsidRPr="00A66E8C">
              <w:rPr>
                <w:b/>
                <w:bCs/>
                <w:sz w:val="24"/>
              </w:rPr>
              <w:t>成都云天励飞技术有限公司</w:t>
            </w:r>
            <w:r w:rsidRPr="00A66E8C">
              <w:rPr>
                <w:b/>
                <w:sz w:val="24"/>
              </w:rPr>
              <w:t>中标</w:t>
            </w:r>
            <w:r w:rsidRPr="00A66E8C">
              <w:rPr>
                <w:b/>
                <w:sz w:val="24"/>
              </w:rPr>
              <w:t>1.3</w:t>
            </w:r>
            <w:r w:rsidRPr="00A66E8C">
              <w:rPr>
                <w:b/>
                <w:sz w:val="24"/>
              </w:rPr>
              <w:t>亿</w:t>
            </w:r>
            <w:r>
              <w:rPr>
                <w:rFonts w:hint="eastAsia"/>
                <w:b/>
                <w:sz w:val="24"/>
              </w:rPr>
              <w:t>项目，后续进展如何？</w:t>
            </w:r>
          </w:p>
          <w:p w14:paraId="4DD25D9D" w14:textId="4BD28972" w:rsidR="00A66E8C" w:rsidRDefault="00A66E8C" w:rsidP="00A66E8C">
            <w:pPr>
              <w:wordWrap w:val="0"/>
              <w:spacing w:line="360" w:lineRule="auto"/>
              <w:ind w:firstLineChars="200" w:firstLine="480"/>
              <w:rPr>
                <w:bCs/>
                <w:sz w:val="24"/>
              </w:rPr>
            </w:pPr>
            <w:r>
              <w:rPr>
                <w:rFonts w:hint="eastAsia"/>
                <w:bCs/>
                <w:sz w:val="24"/>
              </w:rPr>
              <w:t>答：</w:t>
            </w:r>
            <w:r w:rsidRPr="00A66E8C">
              <w:rPr>
                <w:bCs/>
                <w:sz w:val="24"/>
              </w:rPr>
              <w:t>公司全资子公司成都云天励飞技术有限公司收到四川天府智算科技有限公司的中标通知书，在</w:t>
            </w:r>
            <w:r w:rsidRPr="00A66E8C">
              <w:rPr>
                <w:bCs/>
                <w:sz w:val="24"/>
              </w:rPr>
              <w:t>“</w:t>
            </w:r>
            <w:r w:rsidRPr="00A66E8C">
              <w:rPr>
                <w:bCs/>
                <w:sz w:val="24"/>
              </w:rPr>
              <w:t>天府智算中心</w:t>
            </w:r>
            <w:r w:rsidRPr="00A66E8C">
              <w:rPr>
                <w:bCs/>
                <w:sz w:val="24"/>
              </w:rPr>
              <w:t>(</w:t>
            </w:r>
            <w:r w:rsidRPr="00A66E8C">
              <w:rPr>
                <w:bCs/>
                <w:sz w:val="24"/>
              </w:rPr>
              <w:t>一期</w:t>
            </w:r>
            <w:r w:rsidRPr="00A66E8C">
              <w:rPr>
                <w:bCs/>
                <w:sz w:val="24"/>
              </w:rPr>
              <w:t>)</w:t>
            </w:r>
            <w:r w:rsidRPr="00A66E8C">
              <w:rPr>
                <w:bCs/>
                <w:sz w:val="24"/>
              </w:rPr>
              <w:t>项目设备采购及监理服务采购项目</w:t>
            </w:r>
            <w:r w:rsidRPr="00A66E8C">
              <w:rPr>
                <w:bCs/>
                <w:sz w:val="24"/>
              </w:rPr>
              <w:t>”</w:t>
            </w:r>
            <w:r w:rsidRPr="00A66E8C">
              <w:rPr>
                <w:bCs/>
                <w:sz w:val="24"/>
              </w:rPr>
              <w:t>中（招标编号：</w:t>
            </w:r>
            <w:r w:rsidRPr="00A66E8C">
              <w:rPr>
                <w:bCs/>
                <w:sz w:val="24"/>
              </w:rPr>
              <w:t>0701-244008050145</w:t>
            </w:r>
            <w:r w:rsidRPr="00A66E8C">
              <w:rPr>
                <w:bCs/>
                <w:sz w:val="24"/>
              </w:rPr>
              <w:t>），公司为</w:t>
            </w:r>
            <w:r w:rsidRPr="00A66E8C">
              <w:rPr>
                <w:bCs/>
                <w:sz w:val="24"/>
              </w:rPr>
              <w:t>“</w:t>
            </w:r>
            <w:r w:rsidRPr="00A66E8C">
              <w:rPr>
                <w:bCs/>
                <w:sz w:val="24"/>
              </w:rPr>
              <w:t>包</w:t>
            </w:r>
            <w:r w:rsidRPr="00A66E8C">
              <w:rPr>
                <w:bCs/>
                <w:sz w:val="24"/>
              </w:rPr>
              <w:t>1</w:t>
            </w:r>
            <w:r w:rsidRPr="00A66E8C">
              <w:rPr>
                <w:bCs/>
                <w:sz w:val="24"/>
              </w:rPr>
              <w:t>设备采购项目</w:t>
            </w:r>
            <w:r w:rsidRPr="00A66E8C">
              <w:rPr>
                <w:bCs/>
                <w:sz w:val="24"/>
              </w:rPr>
              <w:t>”</w:t>
            </w:r>
            <w:r w:rsidRPr="00A66E8C">
              <w:rPr>
                <w:bCs/>
                <w:sz w:val="24"/>
              </w:rPr>
              <w:t>中标人，中标总金额</w:t>
            </w:r>
            <w:r w:rsidRPr="00A66E8C">
              <w:rPr>
                <w:bCs/>
                <w:sz w:val="24"/>
              </w:rPr>
              <w:t>12,995</w:t>
            </w:r>
            <w:r w:rsidRPr="00A66E8C">
              <w:rPr>
                <w:bCs/>
                <w:sz w:val="24"/>
              </w:rPr>
              <w:t>万元（含税），截至</w:t>
            </w:r>
            <w:r w:rsidR="00D8710F">
              <w:rPr>
                <w:rFonts w:hint="eastAsia"/>
                <w:bCs/>
                <w:sz w:val="24"/>
              </w:rPr>
              <w:t>目前</w:t>
            </w:r>
            <w:r w:rsidRPr="00A66E8C">
              <w:rPr>
                <w:bCs/>
                <w:sz w:val="24"/>
              </w:rPr>
              <w:t>，该中标通知书项下所有项目合同均已签署。具体</w:t>
            </w:r>
            <w:r>
              <w:rPr>
                <w:rFonts w:hint="eastAsia"/>
                <w:bCs/>
                <w:sz w:val="24"/>
              </w:rPr>
              <w:t>中标情况</w:t>
            </w:r>
            <w:r w:rsidRPr="00A66E8C">
              <w:rPr>
                <w:bCs/>
                <w:sz w:val="24"/>
              </w:rPr>
              <w:t>详见中国招标投标公共服务平台。</w:t>
            </w:r>
          </w:p>
          <w:p w14:paraId="1E9328D5" w14:textId="5919CCCB" w:rsidR="00A66E8C" w:rsidRDefault="00A66E8C" w:rsidP="00A66E8C">
            <w:pPr>
              <w:wordWrap w:val="0"/>
              <w:spacing w:line="360" w:lineRule="auto"/>
              <w:ind w:firstLineChars="200" w:firstLine="480"/>
              <w:rPr>
                <w:b/>
                <w:sz w:val="24"/>
              </w:rPr>
            </w:pPr>
            <w:r w:rsidRPr="00A66E8C">
              <w:rPr>
                <w:bCs/>
                <w:sz w:val="24"/>
              </w:rPr>
              <w:t>因该项目金额未达到披露标准，公司未以公告形式进行披露，且项目款项支付受验收进度影响，对</w:t>
            </w:r>
            <w:r w:rsidRPr="00A66E8C">
              <w:rPr>
                <w:bCs/>
                <w:sz w:val="24"/>
              </w:rPr>
              <w:t>2024</w:t>
            </w:r>
            <w:r w:rsidRPr="00A66E8C">
              <w:rPr>
                <w:bCs/>
                <w:sz w:val="24"/>
              </w:rPr>
              <w:t>年当期业</w:t>
            </w:r>
            <w:r w:rsidRPr="00A66E8C">
              <w:rPr>
                <w:bCs/>
                <w:sz w:val="24"/>
              </w:rPr>
              <w:lastRenderedPageBreak/>
              <w:t>绩影响存在不确定性。公司在智算运营业务领域具有充足的技术储备，已逐渐开拓了相关业务客户资源，形成了已落地项目，积累了一定规模算力商业化运营经验。目前智算运营业务订单正在有序推进中，公司后续将逐步拓展现有客户及潜在客户的算力需求，如</w:t>
            </w:r>
            <w:r w:rsidRPr="00A66E8C">
              <w:rPr>
                <w:bCs/>
                <w:sz w:val="24"/>
              </w:rPr>
              <w:t>AI</w:t>
            </w:r>
            <w:r w:rsidRPr="00A66E8C">
              <w:rPr>
                <w:bCs/>
                <w:sz w:val="24"/>
              </w:rPr>
              <w:t>行业公司及</w:t>
            </w:r>
            <w:r w:rsidRPr="00A66E8C">
              <w:rPr>
                <w:bCs/>
                <w:sz w:val="24"/>
              </w:rPr>
              <w:t>AI</w:t>
            </w:r>
            <w:r w:rsidRPr="00A66E8C">
              <w:rPr>
                <w:bCs/>
                <w:sz w:val="24"/>
              </w:rPr>
              <w:t>生态圈合作伙伴、电信运营商及网络集成商、高校及科研院所等客户，持续提升公司核心竞争力和盈利能力。</w:t>
            </w:r>
          </w:p>
          <w:p w14:paraId="1500196F" w14:textId="0FD02080" w:rsidR="005E3DF5" w:rsidRPr="006B243E" w:rsidRDefault="00304EDC" w:rsidP="00A66E8C">
            <w:pPr>
              <w:spacing w:line="360" w:lineRule="auto"/>
              <w:ind w:firstLineChars="200" w:firstLine="482"/>
            </w:pPr>
            <w:r>
              <w:rPr>
                <w:rFonts w:hint="eastAsia"/>
                <w:b/>
                <w:sz w:val="24"/>
              </w:rPr>
              <w:t>2</w:t>
            </w:r>
            <w:r w:rsidRPr="006B243E">
              <w:rPr>
                <w:b/>
                <w:sz w:val="24"/>
              </w:rPr>
              <w:t>、</w:t>
            </w:r>
            <w:r w:rsidR="00BE29FF">
              <w:rPr>
                <w:rFonts w:hint="eastAsia"/>
                <w:b/>
                <w:sz w:val="24"/>
              </w:rPr>
              <w:t>能否简单介绍下公司</w:t>
            </w:r>
            <w:r w:rsidRPr="006B243E">
              <w:rPr>
                <w:b/>
                <w:sz w:val="24"/>
              </w:rPr>
              <w:t>未来边缘</w:t>
            </w:r>
            <w:r w:rsidRPr="006B243E">
              <w:rPr>
                <w:b/>
                <w:sz w:val="24"/>
              </w:rPr>
              <w:t>AI</w:t>
            </w:r>
            <w:r w:rsidR="00BE29FF" w:rsidRPr="006B243E">
              <w:rPr>
                <w:b/>
                <w:sz w:val="24"/>
              </w:rPr>
              <w:t>部署</w:t>
            </w:r>
            <w:r w:rsidR="00BE29FF">
              <w:rPr>
                <w:rFonts w:hint="eastAsia"/>
                <w:b/>
                <w:sz w:val="24"/>
              </w:rPr>
              <w:t>计划？</w:t>
            </w:r>
          </w:p>
          <w:p w14:paraId="3FDC7032" w14:textId="44CFC824" w:rsidR="005E3DF5" w:rsidRPr="00BE29FF" w:rsidRDefault="00000000" w:rsidP="00A66E8C">
            <w:pPr>
              <w:spacing w:line="360" w:lineRule="auto"/>
              <w:ind w:firstLineChars="200" w:firstLine="480"/>
            </w:pPr>
            <w:r w:rsidRPr="00BE29FF">
              <w:rPr>
                <w:sz w:val="24"/>
              </w:rPr>
              <w:t>答：</w:t>
            </w:r>
            <w:r w:rsidR="00BE29FF" w:rsidRPr="00BE29FF">
              <w:rPr>
                <w:sz w:val="24"/>
              </w:rPr>
              <w:t>边缘</w:t>
            </w:r>
            <w:r w:rsidR="00BE29FF" w:rsidRPr="00BE29FF">
              <w:rPr>
                <w:sz w:val="24"/>
              </w:rPr>
              <w:t>AI</w:t>
            </w:r>
            <w:r w:rsidR="00BE29FF" w:rsidRPr="00BE29FF">
              <w:rPr>
                <w:sz w:val="24"/>
              </w:rPr>
              <w:t>是指数据的获取、处理、反馈执行都在本地完成的</w:t>
            </w:r>
            <w:r w:rsidR="00BE29FF" w:rsidRPr="00BE29FF">
              <w:rPr>
                <w:sz w:val="24"/>
              </w:rPr>
              <w:t>AI</w:t>
            </w:r>
            <w:r w:rsidR="00BE29FF" w:rsidRPr="00BE29FF">
              <w:rPr>
                <w:sz w:val="24"/>
              </w:rPr>
              <w:t>应用。边缘</w:t>
            </w:r>
            <w:r w:rsidR="00BE29FF" w:rsidRPr="00BE29FF">
              <w:rPr>
                <w:sz w:val="24"/>
              </w:rPr>
              <w:t>AI</w:t>
            </w:r>
            <w:r w:rsidR="00BE29FF" w:rsidRPr="00BE29FF">
              <w:rPr>
                <w:sz w:val="24"/>
              </w:rPr>
              <w:t>对能耗、成本、隐私和低延时提出了更高的要求。云天励飞一直在神经网络处理器和算法模型两个核心技术平台上持续投入和积累，在算法和芯片的高度协同上具有很强的优势，这些优势是边缘</w:t>
            </w:r>
            <w:r w:rsidR="00BE29FF" w:rsidRPr="00BE29FF">
              <w:rPr>
                <w:sz w:val="24"/>
              </w:rPr>
              <w:t>AI</w:t>
            </w:r>
            <w:r w:rsidR="00BE29FF" w:rsidRPr="00BE29FF">
              <w:rPr>
                <w:sz w:val="24"/>
              </w:rPr>
              <w:t>落地的关键。公司看好边缘</w:t>
            </w:r>
            <w:r w:rsidR="00BE29FF" w:rsidRPr="00BE29FF">
              <w:rPr>
                <w:sz w:val="24"/>
              </w:rPr>
              <w:t>AI</w:t>
            </w:r>
            <w:r w:rsidR="00BE29FF" w:rsidRPr="00BE29FF">
              <w:rPr>
                <w:sz w:val="24"/>
              </w:rPr>
              <w:t>是云端</w:t>
            </w:r>
            <w:r w:rsidR="00BE29FF" w:rsidRPr="00BE29FF">
              <w:rPr>
                <w:sz w:val="24"/>
              </w:rPr>
              <w:t>AI</w:t>
            </w:r>
            <w:r w:rsidR="00BE29FF" w:rsidRPr="00BE29FF">
              <w:rPr>
                <w:sz w:val="24"/>
              </w:rPr>
              <w:t>后更大的市场，是大模型能力真正落地行业、赋能行业的重要途径。公司在多个边缘</w:t>
            </w:r>
            <w:r w:rsidR="00BE29FF" w:rsidRPr="00BE29FF">
              <w:rPr>
                <w:sz w:val="24"/>
              </w:rPr>
              <w:t>AI</w:t>
            </w:r>
            <w:r w:rsidR="00BE29FF" w:rsidRPr="00BE29FF">
              <w:rPr>
                <w:sz w:val="24"/>
              </w:rPr>
              <w:t>的行业上，正积极布局，利用视觉语义和神经网络处理器两个核心能力的结合，推动中国边缘</w:t>
            </w:r>
            <w:r w:rsidR="00BE29FF" w:rsidRPr="00BE29FF">
              <w:rPr>
                <w:sz w:val="24"/>
              </w:rPr>
              <w:t>AI</w:t>
            </w:r>
            <w:r w:rsidR="00BE29FF" w:rsidRPr="00BE29FF">
              <w:rPr>
                <w:sz w:val="24"/>
              </w:rPr>
              <w:t>生态的发展。</w:t>
            </w:r>
          </w:p>
          <w:p w14:paraId="59590834" w14:textId="2494D5B7" w:rsidR="005E3DF5" w:rsidRPr="006B243E" w:rsidRDefault="00304EDC" w:rsidP="00A66E8C">
            <w:pPr>
              <w:spacing w:line="360" w:lineRule="auto"/>
              <w:ind w:firstLineChars="200" w:firstLine="482"/>
              <w:rPr>
                <w:b/>
                <w:sz w:val="24"/>
              </w:rPr>
            </w:pPr>
            <w:r>
              <w:rPr>
                <w:rFonts w:hint="eastAsia"/>
                <w:b/>
                <w:sz w:val="24"/>
              </w:rPr>
              <w:t>3</w:t>
            </w:r>
            <w:r w:rsidR="00BE29FF" w:rsidRPr="006B243E">
              <w:rPr>
                <w:b/>
                <w:sz w:val="24"/>
              </w:rPr>
              <w:t>、请问公司</w:t>
            </w:r>
            <w:r w:rsidR="00BE29FF" w:rsidRPr="006B243E">
              <w:rPr>
                <w:b/>
                <w:sz w:val="24"/>
              </w:rPr>
              <w:t>AI</w:t>
            </w:r>
            <w:r w:rsidR="00BE29FF" w:rsidRPr="006B243E">
              <w:rPr>
                <w:b/>
                <w:sz w:val="24"/>
              </w:rPr>
              <w:t>芯片目前研发和商用情况如何？</w:t>
            </w:r>
          </w:p>
          <w:p w14:paraId="46A8E50B" w14:textId="77777777" w:rsidR="00BE29FF" w:rsidRPr="00BE29FF" w:rsidRDefault="00000000" w:rsidP="00A66E8C">
            <w:pPr>
              <w:spacing w:line="360" w:lineRule="auto"/>
              <w:ind w:firstLineChars="200" w:firstLine="480"/>
              <w:rPr>
                <w:sz w:val="24"/>
              </w:rPr>
            </w:pPr>
            <w:r>
              <w:rPr>
                <w:rFonts w:ascii="宋体" w:hAnsi="宋体" w:cs="宋体"/>
                <w:sz w:val="24"/>
              </w:rPr>
              <w:t>答：</w:t>
            </w:r>
            <w:r w:rsidRPr="00BE29FF">
              <w:rPr>
                <w:sz w:val="24"/>
              </w:rPr>
              <w:t>公司的</w:t>
            </w:r>
            <w:r w:rsidRPr="00BE29FF">
              <w:rPr>
                <w:sz w:val="24"/>
              </w:rPr>
              <w:t>AI</w:t>
            </w:r>
            <w:r w:rsidRPr="00BE29FF">
              <w:rPr>
                <w:sz w:val="24"/>
              </w:rPr>
              <w:t>芯片基于公司自研的神经网络处理器（</w:t>
            </w:r>
            <w:r w:rsidRPr="00BE29FF">
              <w:rPr>
                <w:sz w:val="24"/>
              </w:rPr>
              <w:t>NNP400</w:t>
            </w:r>
            <w:r w:rsidRPr="00BE29FF">
              <w:rPr>
                <w:sz w:val="24"/>
              </w:rPr>
              <w:t>）架构，采用国内先进工艺、支持多芯粒扩展的</w:t>
            </w:r>
            <w:r w:rsidRPr="00BE29FF">
              <w:rPr>
                <w:sz w:val="24"/>
              </w:rPr>
              <w:t>Chiplet</w:t>
            </w:r>
            <w:r w:rsidRPr="00BE29FF">
              <w:rPr>
                <w:sz w:val="24"/>
              </w:rPr>
              <w:t>技术，主要面向嵌入式前端和边缘计算应用，通过提高算法实现的效率，可有效降低后台处理成本。</w:t>
            </w:r>
          </w:p>
          <w:p w14:paraId="479C8DA1" w14:textId="4F353115" w:rsidR="005E3DF5" w:rsidRPr="00BE29FF" w:rsidRDefault="00000000" w:rsidP="00A66E8C">
            <w:pPr>
              <w:spacing w:line="360" w:lineRule="auto"/>
              <w:ind w:firstLineChars="200" w:firstLine="480"/>
            </w:pPr>
            <w:r w:rsidRPr="00BE29FF">
              <w:rPr>
                <w:sz w:val="24"/>
              </w:rPr>
              <w:t>结合各类应用场景需求，公司已开发出</w:t>
            </w:r>
            <w:r w:rsidRPr="00BE29FF">
              <w:rPr>
                <w:sz w:val="24"/>
              </w:rPr>
              <w:t>Edge10C</w:t>
            </w:r>
            <w:r w:rsidRPr="00BE29FF">
              <w:rPr>
                <w:sz w:val="24"/>
              </w:rPr>
              <w:t>、</w:t>
            </w:r>
            <w:r w:rsidRPr="00BE29FF">
              <w:rPr>
                <w:sz w:val="24"/>
              </w:rPr>
              <w:t>Edge10</w:t>
            </w:r>
            <w:r w:rsidRPr="00BE29FF">
              <w:rPr>
                <w:sz w:val="24"/>
              </w:rPr>
              <w:t>标准版、</w:t>
            </w:r>
            <w:r w:rsidRPr="00BE29FF">
              <w:rPr>
                <w:sz w:val="24"/>
              </w:rPr>
              <w:t>Edge10E</w:t>
            </w:r>
            <w:r w:rsidRPr="00BE29FF">
              <w:rPr>
                <w:sz w:val="24"/>
              </w:rPr>
              <w:t>和</w:t>
            </w:r>
            <w:r w:rsidRPr="00BE29FF">
              <w:rPr>
                <w:sz w:val="24"/>
              </w:rPr>
              <w:t>Edge10Max</w:t>
            </w:r>
            <w:r w:rsidRPr="00BE29FF">
              <w:rPr>
                <w:sz w:val="24"/>
              </w:rPr>
              <w:t>系列芯片，其中主推的</w:t>
            </w:r>
            <w:r w:rsidRPr="00BE29FF">
              <w:rPr>
                <w:sz w:val="24"/>
              </w:rPr>
              <w:t>DeepEdge10E</w:t>
            </w:r>
            <w:r w:rsidRPr="00BE29FF">
              <w:rPr>
                <w:sz w:val="24"/>
              </w:rPr>
              <w:t>可提供</w:t>
            </w:r>
            <w:r w:rsidRPr="00BE29FF">
              <w:rPr>
                <w:sz w:val="24"/>
              </w:rPr>
              <w:t>16TOPS</w:t>
            </w:r>
            <w:r w:rsidRPr="00BE29FF">
              <w:rPr>
                <w:sz w:val="24"/>
              </w:rPr>
              <w:t>（</w:t>
            </w:r>
            <w:r w:rsidRPr="00BE29FF">
              <w:rPr>
                <w:sz w:val="24"/>
              </w:rPr>
              <w:t>INT8</w:t>
            </w:r>
            <w:r w:rsidRPr="00BE29FF">
              <w:rPr>
                <w:sz w:val="24"/>
              </w:rPr>
              <w:t>）整型计算和</w:t>
            </w:r>
            <w:r w:rsidRPr="00BE29FF">
              <w:rPr>
                <w:sz w:val="24"/>
              </w:rPr>
              <w:t>2TFLOPS</w:t>
            </w:r>
            <w:r w:rsidRPr="00BE29FF">
              <w:rPr>
                <w:sz w:val="24"/>
              </w:rPr>
              <w:t>（</w:t>
            </w:r>
            <w:r w:rsidRPr="00BE29FF">
              <w:rPr>
                <w:sz w:val="24"/>
              </w:rPr>
              <w:t>FP16</w:t>
            </w:r>
            <w:r w:rsidRPr="00BE29FF">
              <w:rPr>
                <w:sz w:val="24"/>
              </w:rPr>
              <w:t>）浮点计算的深度学习推理计算算力，满足市场对处理芯片在算法的多样性、准确性、算力密度及效能方面的要求。目前该系列芯片主要适配的合作伙伴包括摄像头、边缘计算设备、机器人等行业的客户，并已开始实现批量出货。</w:t>
            </w:r>
            <w:r w:rsidRPr="00BE29FF">
              <w:rPr>
                <w:sz w:val="24"/>
              </w:rPr>
              <w:lastRenderedPageBreak/>
              <w:t>公司</w:t>
            </w:r>
            <w:r w:rsidRPr="00BE29FF">
              <w:rPr>
                <w:sz w:val="24"/>
              </w:rPr>
              <w:t>X6000</w:t>
            </w:r>
            <w:r w:rsidRPr="00BE29FF">
              <w:rPr>
                <w:sz w:val="24"/>
              </w:rPr>
              <w:t>系列推理卡，可应用于语言、视觉、多模态等各类大模型的推理加速，目前已适配云天天书、通义千问、百川智能、</w:t>
            </w:r>
            <w:r w:rsidRPr="00BE29FF">
              <w:rPr>
                <w:sz w:val="24"/>
              </w:rPr>
              <w:t>Llama2/3</w:t>
            </w:r>
            <w:r w:rsidRPr="00BE29FF">
              <w:rPr>
                <w:sz w:val="24"/>
              </w:rPr>
              <w:t>等近</w:t>
            </w:r>
            <w:r w:rsidRPr="00BE29FF">
              <w:rPr>
                <w:sz w:val="24"/>
              </w:rPr>
              <w:t>10</w:t>
            </w:r>
            <w:r w:rsidRPr="00BE29FF">
              <w:rPr>
                <w:sz w:val="24"/>
              </w:rPr>
              <w:t>个主流大模型。</w:t>
            </w:r>
          </w:p>
          <w:p w14:paraId="5BF2320D" w14:textId="778E4E38" w:rsidR="005E3DF5" w:rsidRPr="006B243E" w:rsidRDefault="00304EDC" w:rsidP="00A66E8C">
            <w:pPr>
              <w:spacing w:line="360" w:lineRule="auto"/>
              <w:ind w:firstLineChars="200" w:firstLine="482"/>
              <w:rPr>
                <w:b/>
                <w:sz w:val="24"/>
              </w:rPr>
            </w:pPr>
            <w:r>
              <w:rPr>
                <w:rFonts w:hint="eastAsia"/>
                <w:b/>
                <w:sz w:val="24"/>
              </w:rPr>
              <w:t>4</w:t>
            </w:r>
            <w:r w:rsidR="00BE29FF" w:rsidRPr="006B243E">
              <w:rPr>
                <w:b/>
                <w:sz w:val="24"/>
              </w:rPr>
              <w:t>、</w:t>
            </w:r>
            <w:r w:rsidR="00BE29FF" w:rsidRPr="006B243E">
              <w:rPr>
                <w:b/>
                <w:sz w:val="24"/>
              </w:rPr>
              <w:t>2024</w:t>
            </w:r>
            <w:r w:rsidR="00BE29FF" w:rsidRPr="006B243E">
              <w:rPr>
                <w:b/>
                <w:sz w:val="24"/>
              </w:rPr>
              <w:t>上半年，公司销售和研发费用增长较多，主要是支出在哪些方面？</w:t>
            </w:r>
          </w:p>
          <w:p w14:paraId="75771162" w14:textId="3A828783" w:rsidR="005E3DF5" w:rsidRDefault="00000000" w:rsidP="00A66E8C">
            <w:pPr>
              <w:spacing w:line="360" w:lineRule="auto"/>
              <w:ind w:firstLineChars="200" w:firstLine="480"/>
            </w:pPr>
            <w:r>
              <w:rPr>
                <w:rFonts w:ascii="宋体" w:hAnsi="宋体" w:cs="宋体"/>
                <w:sz w:val="24"/>
              </w:rPr>
              <w:t>答：</w:t>
            </w:r>
            <w:r w:rsidRPr="006B243E">
              <w:rPr>
                <w:sz w:val="24"/>
              </w:rPr>
              <w:t>上半年公司销售和研发费用增幅较大主要有两方面原因，一是为进一步建立、健全公司长效激励机制，进行了股权激励，在</w:t>
            </w:r>
            <w:r w:rsidRPr="006B243E">
              <w:rPr>
                <w:sz w:val="24"/>
              </w:rPr>
              <w:t>2023</w:t>
            </w:r>
            <w:r w:rsidRPr="006B243E">
              <w:rPr>
                <w:sz w:val="24"/>
              </w:rPr>
              <w:t>年限制性股票激励计划。</w:t>
            </w:r>
            <w:r w:rsidRPr="006B243E">
              <w:rPr>
                <w:sz w:val="24"/>
              </w:rPr>
              <w:t>2024</w:t>
            </w:r>
            <w:r w:rsidRPr="006B243E">
              <w:rPr>
                <w:sz w:val="24"/>
              </w:rPr>
              <w:t>年上半年，公司发生股份支付费用</w:t>
            </w:r>
            <w:r w:rsidRPr="006B243E">
              <w:rPr>
                <w:sz w:val="24"/>
              </w:rPr>
              <w:t>7,862.31</w:t>
            </w:r>
            <w:r w:rsidRPr="006B243E">
              <w:rPr>
                <w:sz w:val="24"/>
              </w:rPr>
              <w:t>万元，分别计入销售费用、管理费用和研发费用中，其中计入研发和销售的费用较上年同期增幅较大；二是随着业务的拓展，本期宣传推广费等经营性支出、固定资产折旧较上年同期增幅较大，故而本期销售和研发费用增长幅度较大。公司将持续加强费用管控，保证费用率维持在正常水平。</w:t>
            </w:r>
          </w:p>
          <w:p w14:paraId="2788B514" w14:textId="3BD483DA" w:rsidR="005E3DF5" w:rsidRPr="006B243E" w:rsidRDefault="00304EDC" w:rsidP="00A66E8C">
            <w:pPr>
              <w:spacing w:line="360" w:lineRule="auto"/>
              <w:ind w:firstLineChars="200" w:firstLine="482"/>
              <w:rPr>
                <w:b/>
                <w:sz w:val="24"/>
              </w:rPr>
            </w:pPr>
            <w:r>
              <w:rPr>
                <w:rFonts w:hint="eastAsia"/>
                <w:b/>
                <w:sz w:val="24"/>
              </w:rPr>
              <w:t>5</w:t>
            </w:r>
            <w:r w:rsidR="0010057C" w:rsidRPr="006B243E">
              <w:rPr>
                <w:b/>
                <w:sz w:val="24"/>
              </w:rPr>
              <w:t>、能否谈一谈</w:t>
            </w:r>
            <w:r w:rsidR="0010057C" w:rsidRPr="006B243E">
              <w:rPr>
                <w:b/>
                <w:sz w:val="24"/>
              </w:rPr>
              <w:t>2024</w:t>
            </w:r>
            <w:r w:rsidR="0010057C" w:rsidRPr="006B243E">
              <w:rPr>
                <w:b/>
                <w:sz w:val="24"/>
              </w:rPr>
              <w:t>年贵司收购岍丞技术，是基于怎么样考虑和布局？</w:t>
            </w:r>
          </w:p>
          <w:p w14:paraId="4297983B" w14:textId="4A7400E2" w:rsidR="00285744" w:rsidRPr="00285744" w:rsidRDefault="00000000" w:rsidP="00A66E8C">
            <w:pPr>
              <w:spacing w:line="360" w:lineRule="auto"/>
              <w:ind w:firstLineChars="200" w:firstLine="480"/>
              <w:rPr>
                <w:sz w:val="24"/>
              </w:rPr>
            </w:pPr>
            <w:r w:rsidRPr="006B243E">
              <w:rPr>
                <w:sz w:val="24"/>
              </w:rPr>
              <w:t>答：公司于</w:t>
            </w:r>
            <w:r w:rsidRPr="006B243E">
              <w:rPr>
                <w:sz w:val="24"/>
              </w:rPr>
              <w:t>2024</w:t>
            </w:r>
            <w:r w:rsidRPr="006B243E">
              <w:rPr>
                <w:sz w:val="24"/>
              </w:rPr>
              <w:t>年</w:t>
            </w:r>
            <w:r w:rsidRPr="006B243E">
              <w:rPr>
                <w:sz w:val="24"/>
              </w:rPr>
              <w:t>3</w:t>
            </w:r>
            <w:r w:rsidRPr="006B243E">
              <w:rPr>
                <w:sz w:val="24"/>
              </w:rPr>
              <w:t>月公告收购深圳市岍丞技术有限公司股权，标志公司开始进入</w:t>
            </w:r>
            <w:r w:rsidRPr="006B243E">
              <w:rPr>
                <w:sz w:val="24"/>
              </w:rPr>
              <w:t>C</w:t>
            </w:r>
            <w:r w:rsidRPr="006B243E">
              <w:rPr>
                <w:sz w:val="24"/>
              </w:rPr>
              <w:t>端</w:t>
            </w:r>
            <w:r w:rsidRPr="006B243E">
              <w:rPr>
                <w:sz w:val="24"/>
              </w:rPr>
              <w:t>AI</w:t>
            </w:r>
            <w:r w:rsidRPr="006B243E">
              <w:rPr>
                <w:sz w:val="24"/>
              </w:rPr>
              <w:t>硬件市场。岍丞技术在可穿戴设备领域的技术积累、行业经验和资源较为深厚，具备在软硬件环节快速落地的能力，</w:t>
            </w:r>
            <w:r>
              <w:rPr>
                <w:rFonts w:ascii="宋体" w:hAnsi="宋体" w:cs="宋体"/>
                <w:sz w:val="24"/>
              </w:rPr>
              <w:t>产品可应用在智能耳</w:t>
            </w:r>
            <w:r w:rsidRPr="006B243E">
              <w:rPr>
                <w:sz w:val="24"/>
              </w:rPr>
              <w:t>机、智能手表等智能可穿戴终端设备，其产品在稳定性、性能、私有化方面在市场上均有优势。公司基于</w:t>
            </w:r>
            <w:r w:rsidRPr="006B243E">
              <w:rPr>
                <w:sz w:val="24"/>
              </w:rPr>
              <w:t>“</w:t>
            </w:r>
            <w:r w:rsidRPr="006B243E">
              <w:rPr>
                <w:sz w:val="24"/>
              </w:rPr>
              <w:t>云天天书</w:t>
            </w:r>
            <w:r w:rsidRPr="006B243E">
              <w:rPr>
                <w:sz w:val="24"/>
              </w:rPr>
              <w:t>”</w:t>
            </w:r>
            <w:r w:rsidRPr="006B243E">
              <w:rPr>
                <w:sz w:val="24"/>
              </w:rPr>
              <w:t>大模型，可以赋能岍丞技术的软硬件产品，提高产品竞争力，双方能力优势互补，将继续联合探索</w:t>
            </w:r>
            <w:r w:rsidRPr="006B243E">
              <w:rPr>
                <w:sz w:val="24"/>
              </w:rPr>
              <w:t>AI</w:t>
            </w:r>
            <w:r w:rsidRPr="006B243E">
              <w:rPr>
                <w:sz w:val="24"/>
              </w:rPr>
              <w:t>在各类</w:t>
            </w:r>
            <w:r w:rsidRPr="006B243E">
              <w:rPr>
                <w:sz w:val="24"/>
              </w:rPr>
              <w:t>C</w:t>
            </w:r>
            <w:r w:rsidRPr="006B243E">
              <w:rPr>
                <w:sz w:val="24"/>
              </w:rPr>
              <w:t>端智能硬件产品上的落地，增厚智能硬件板块的经营业绩。</w:t>
            </w:r>
          </w:p>
        </w:tc>
      </w:tr>
      <w:tr w:rsidR="005E3DF5" w14:paraId="3044F384"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7E723CE"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lastRenderedPageBreak/>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09558110" w14:textId="77777777" w:rsidR="005E3DF5" w:rsidRDefault="00000000">
            <w:pPr>
              <w:spacing w:line="480" w:lineRule="atLeast"/>
              <w:rPr>
                <w:rFonts w:ascii="宋体" w:hAnsi="宋体" w:hint="eastAsia"/>
                <w:bCs/>
                <w:iCs/>
                <w:color w:val="000000"/>
                <w:sz w:val="24"/>
              </w:rPr>
            </w:pPr>
            <w:r>
              <w:rPr>
                <w:rFonts w:ascii="宋体" w:hAnsi="宋体" w:hint="eastAsia"/>
                <w:bCs/>
                <w:iCs/>
                <w:color w:val="000000"/>
                <w:sz w:val="24"/>
              </w:rPr>
              <w:t>无</w:t>
            </w:r>
          </w:p>
        </w:tc>
      </w:tr>
    </w:tbl>
    <w:p w14:paraId="603EEB57" w14:textId="77777777" w:rsidR="005E3DF5" w:rsidRDefault="005E3DF5">
      <w:pPr>
        <w:jc w:val="center"/>
        <w:rPr>
          <w:rFonts w:ascii="宋体" w:hAnsi="宋体" w:hint="eastAsia"/>
          <w:sz w:val="28"/>
          <w:szCs w:val="28"/>
        </w:rPr>
      </w:pPr>
    </w:p>
    <w:sectPr w:rsidR="005E3D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85C16" w14:textId="77777777" w:rsidR="00C74B32" w:rsidRDefault="00C74B32" w:rsidP="00386187">
      <w:r>
        <w:separator/>
      </w:r>
    </w:p>
  </w:endnote>
  <w:endnote w:type="continuationSeparator" w:id="0">
    <w:p w14:paraId="2E4EB4B7" w14:textId="77777777" w:rsidR="00C74B32" w:rsidRDefault="00C74B32" w:rsidP="0038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D2772" w14:textId="77777777" w:rsidR="00C74B32" w:rsidRDefault="00C74B32" w:rsidP="00386187">
      <w:r>
        <w:separator/>
      </w:r>
    </w:p>
  </w:footnote>
  <w:footnote w:type="continuationSeparator" w:id="0">
    <w:p w14:paraId="3CDF8C52" w14:textId="77777777" w:rsidR="00C74B32" w:rsidRDefault="00C74B32" w:rsidP="00386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iZmU2YWZhNDAzYjJjMTgyNzQ3NGMzOTI4ODQwNGEifQ=="/>
  </w:docVars>
  <w:rsids>
    <w:rsidRoot w:val="00DB361F"/>
    <w:rsid w:val="00005DB8"/>
    <w:rsid w:val="000D6315"/>
    <w:rsid w:val="000F273B"/>
    <w:rsid w:val="000F486D"/>
    <w:rsid w:val="0010057C"/>
    <w:rsid w:val="00107A0B"/>
    <w:rsid w:val="00123A01"/>
    <w:rsid w:val="00177ACF"/>
    <w:rsid w:val="001C5BA8"/>
    <w:rsid w:val="001D3D54"/>
    <w:rsid w:val="001D4082"/>
    <w:rsid w:val="00244879"/>
    <w:rsid w:val="0027476E"/>
    <w:rsid w:val="00285744"/>
    <w:rsid w:val="002B086A"/>
    <w:rsid w:val="002C0D62"/>
    <w:rsid w:val="00304EDC"/>
    <w:rsid w:val="003238A9"/>
    <w:rsid w:val="00386187"/>
    <w:rsid w:val="004074D2"/>
    <w:rsid w:val="00455A9C"/>
    <w:rsid w:val="00487889"/>
    <w:rsid w:val="00496C1E"/>
    <w:rsid w:val="004E0A03"/>
    <w:rsid w:val="00564FEE"/>
    <w:rsid w:val="00574245"/>
    <w:rsid w:val="005E3DF5"/>
    <w:rsid w:val="00607023"/>
    <w:rsid w:val="006955E2"/>
    <w:rsid w:val="006B243E"/>
    <w:rsid w:val="006C42AF"/>
    <w:rsid w:val="007502A8"/>
    <w:rsid w:val="00750A87"/>
    <w:rsid w:val="00781BC0"/>
    <w:rsid w:val="00797167"/>
    <w:rsid w:val="007C302D"/>
    <w:rsid w:val="007D4DB1"/>
    <w:rsid w:val="007E55AE"/>
    <w:rsid w:val="00833998"/>
    <w:rsid w:val="0087485F"/>
    <w:rsid w:val="008F013D"/>
    <w:rsid w:val="009271A0"/>
    <w:rsid w:val="00965C7B"/>
    <w:rsid w:val="00986C92"/>
    <w:rsid w:val="00996CC7"/>
    <w:rsid w:val="00A66E8C"/>
    <w:rsid w:val="00A91CFD"/>
    <w:rsid w:val="00AA04B3"/>
    <w:rsid w:val="00AC2B69"/>
    <w:rsid w:val="00B07E37"/>
    <w:rsid w:val="00BE29FF"/>
    <w:rsid w:val="00BE36BA"/>
    <w:rsid w:val="00C23F1E"/>
    <w:rsid w:val="00C72F91"/>
    <w:rsid w:val="00C74B32"/>
    <w:rsid w:val="00CE72DE"/>
    <w:rsid w:val="00CF060A"/>
    <w:rsid w:val="00D5509C"/>
    <w:rsid w:val="00D7297F"/>
    <w:rsid w:val="00D8710F"/>
    <w:rsid w:val="00D97C05"/>
    <w:rsid w:val="00DB361F"/>
    <w:rsid w:val="00DC5BA5"/>
    <w:rsid w:val="00DE0A51"/>
    <w:rsid w:val="00DE34A3"/>
    <w:rsid w:val="00DE5217"/>
    <w:rsid w:val="00E62194"/>
    <w:rsid w:val="00EC46D1"/>
    <w:rsid w:val="00F00C5D"/>
    <w:rsid w:val="00F01026"/>
    <w:rsid w:val="00F11A0C"/>
    <w:rsid w:val="00F14BA4"/>
    <w:rsid w:val="062E0F1B"/>
    <w:rsid w:val="06A83220"/>
    <w:rsid w:val="127072AA"/>
    <w:rsid w:val="17E11EA2"/>
    <w:rsid w:val="419450A2"/>
    <w:rsid w:val="56A612C8"/>
    <w:rsid w:val="66F531E4"/>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A3F9"/>
  <w15:docId w15:val="{B10F994D-D7C1-45A4-825E-4D1A3DB6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TableParagraph">
    <w:name w:val="Table Paragraph"/>
    <w:basedOn w:val="a"/>
    <w:uiPriority w:val="1"/>
    <w:qFormat/>
    <w:rPr>
      <w:rFonts w:ascii="Calibri" w:hAnsi="Calibri"/>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paragraph" w:styleId="a7">
    <w:name w:val="Revision"/>
    <w:hidden/>
    <w:uiPriority w:val="99"/>
    <w:unhideWhenUsed/>
    <w:rsid w:val="00BE29FF"/>
    <w:rPr>
      <w:kern w:val="2"/>
      <w:sz w:val="21"/>
      <w:szCs w:val="24"/>
    </w:rPr>
  </w:style>
  <w:style w:type="character" w:styleId="a8">
    <w:name w:val="Hyperlink"/>
    <w:basedOn w:val="a0"/>
    <w:uiPriority w:val="99"/>
    <w:unhideWhenUsed/>
    <w:rsid w:val="00A66E8C"/>
    <w:rPr>
      <w:color w:val="0000FF" w:themeColor="hyperlink"/>
      <w:u w:val="single"/>
    </w:rPr>
  </w:style>
  <w:style w:type="character" w:styleId="a9">
    <w:name w:val="Unresolved Mention"/>
    <w:basedOn w:val="a0"/>
    <w:uiPriority w:val="99"/>
    <w:semiHidden/>
    <w:unhideWhenUsed/>
    <w:rsid w:val="00A66E8C"/>
    <w:rPr>
      <w:color w:val="605E5C"/>
      <w:shd w:val="clear" w:color="auto" w:fill="E1DFDD"/>
    </w:rPr>
  </w:style>
  <w:style w:type="character" w:styleId="aa">
    <w:name w:val="FollowedHyperlink"/>
    <w:basedOn w:val="a0"/>
    <w:uiPriority w:val="99"/>
    <w:semiHidden/>
    <w:unhideWhenUsed/>
    <w:rsid w:val="00A66E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32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1377</TotalTime>
  <Pages>3</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mahuan</cp:lastModifiedBy>
  <cp:revision>20</cp:revision>
  <dcterms:created xsi:type="dcterms:W3CDTF">2023-05-23T09:59:00Z</dcterms:created>
  <dcterms:modified xsi:type="dcterms:W3CDTF">2024-09-26T10:05:00Z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2B4E36D9AE384E9C80D6B1F71A58C812_12</vt:lpwstr>
  </property>
</Properties>
</file>