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581F9">
      <w:pPr>
        <w:keepNext/>
        <w:keepLines/>
        <w:spacing w:before="260" w:after="260" w:line="360" w:lineRule="auto"/>
        <w:jc w:val="center"/>
        <w:outlineLvl w:val="1"/>
        <w:rPr>
          <w:rFonts w:ascii="Times New Roman" w:hAnsi="Times New Roman" w:cs="Times New Roman"/>
          <w:b/>
          <w:bCs/>
          <w:iCs/>
          <w:sz w:val="24"/>
        </w:rPr>
      </w:pPr>
      <w:r>
        <w:rPr>
          <w:rFonts w:hint="eastAsia" w:ascii="Times New Roman" w:hAnsi="Times New Roman" w:eastAsia="宋体" w:cs="Times New Roman"/>
          <w:b/>
          <w:bCs/>
          <w:iCs/>
          <w:sz w:val="24"/>
          <w:lang w:bidi="ar"/>
        </w:rPr>
        <w:t>证券简称：莱特光电</w:t>
      </w:r>
      <w:r>
        <w:rPr>
          <w:rFonts w:ascii="Times New Roman" w:hAnsi="Times New Roman" w:eastAsia="宋体" w:cs="Times New Roman"/>
          <w:b/>
          <w:bCs/>
          <w:iCs/>
          <w:sz w:val="24"/>
          <w:lang w:bidi="ar"/>
        </w:rPr>
        <w:t xml:space="preserve">                                      </w:t>
      </w:r>
      <w:r>
        <w:rPr>
          <w:rFonts w:hint="eastAsia" w:ascii="Times New Roman" w:hAnsi="Times New Roman" w:eastAsia="宋体" w:cs="Times New Roman"/>
          <w:b/>
          <w:bCs/>
          <w:iCs/>
          <w:sz w:val="24"/>
          <w:lang w:bidi="ar"/>
        </w:rPr>
        <w:t>证券代码：</w:t>
      </w:r>
      <w:r>
        <w:rPr>
          <w:rFonts w:ascii="Times New Roman" w:hAnsi="Times New Roman" w:eastAsia="宋体" w:cs="Times New Roman"/>
          <w:b/>
          <w:bCs/>
          <w:iCs/>
          <w:sz w:val="24"/>
          <w:lang w:bidi="ar"/>
        </w:rPr>
        <w:t>688150</w:t>
      </w:r>
    </w:p>
    <w:p w14:paraId="225F05D8">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陕西莱特光电材料股份有限公司</w:t>
      </w:r>
    </w:p>
    <w:p w14:paraId="6B73120E">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投资者关系活动记录表</w:t>
      </w:r>
    </w:p>
    <w:p w14:paraId="27843DEF">
      <w:pPr>
        <w:keepNext/>
        <w:keepLines/>
        <w:spacing w:before="260" w:after="260" w:line="360" w:lineRule="auto"/>
        <w:jc w:val="right"/>
        <w:outlineLvl w:val="1"/>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bidi="ar"/>
        </w:rPr>
        <w:t>编号：</w:t>
      </w:r>
      <w:r>
        <w:rPr>
          <w:rFonts w:ascii="Times New Roman" w:hAnsi="Times New Roman" w:eastAsia="宋体" w:cs="Times New Roman"/>
          <w:b/>
          <w:bCs/>
          <w:sz w:val="24"/>
          <w:lang w:bidi="ar"/>
        </w:rPr>
        <w:t>2024-0</w:t>
      </w:r>
      <w:r>
        <w:rPr>
          <w:rFonts w:hint="eastAsia" w:ascii="Times New Roman" w:hAnsi="Times New Roman" w:eastAsia="宋体" w:cs="Times New Roman"/>
          <w:b/>
          <w:bCs/>
          <w:sz w:val="24"/>
          <w:lang w:val="en-US" w:eastAsia="zh-CN" w:bidi="ar"/>
        </w:rPr>
        <w:t>21</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8160"/>
      </w:tblGrid>
      <w:tr w14:paraId="3FF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E45D82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eastAsia" w:ascii="Times New Roman" w:hAnsi="Times New Roman" w:eastAsia="宋体" w:cs="Times New Roman"/>
                <w:b/>
                <w:bCs/>
                <w:iCs/>
                <w:sz w:val="24"/>
                <w:lang w:bidi="ar"/>
              </w:rPr>
              <w:t>投资者关系活动类别</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63D4214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sym w:font="Wingdings 2" w:char="0052"/>
            </w:r>
            <w:r>
              <w:rPr>
                <w:rFonts w:hint="eastAsia" w:asciiTheme="minorEastAsia" w:hAnsiTheme="minorEastAsia" w:eastAsiaTheme="minorEastAsia" w:cstheme="minorEastAsia"/>
                <w:sz w:val="24"/>
                <w:szCs w:val="24"/>
                <w:lang w:bidi="ar"/>
              </w:rPr>
              <w:t xml:space="preserve">特定对象调研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分析师会议</w:t>
            </w:r>
            <w:r>
              <w:rPr>
                <w:rFonts w:hint="eastAsia" w:asciiTheme="minorEastAsia" w:hAnsiTheme="minorEastAsia" w:eastAsiaTheme="minorEastAsia" w:cstheme="minorEastAsia"/>
                <w:bCs/>
                <w:iCs/>
                <w:sz w:val="24"/>
                <w:szCs w:val="24"/>
                <w:lang w:bidi="ar"/>
              </w:rPr>
              <w:t xml:space="preserve">          </w:t>
            </w:r>
            <w:r>
              <w:rPr>
                <w:rFonts w:hint="eastAsia" w:asciiTheme="minorEastAsia" w:hAnsiTheme="minorEastAsia" w:eastAsiaTheme="minorEastAsia" w:cstheme="minorEastAsia"/>
                <w:bCs/>
                <w:iCs/>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媒体采访</w:t>
            </w:r>
          </w:p>
          <w:p w14:paraId="5330FD6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业绩说明会</w:t>
            </w:r>
            <w:r>
              <w:rPr>
                <w:rFonts w:hint="eastAsia" w:asciiTheme="minorEastAsia" w:hAnsiTheme="minorEastAsia" w:eastAsiaTheme="minorEastAsia" w:cstheme="minorEastAsia"/>
                <w:bCs/>
                <w:iCs/>
                <w:sz w:val="24"/>
                <w:szCs w:val="24"/>
                <w:lang w:bidi="ar"/>
              </w:rPr>
              <w:t xml:space="preserve">       </w:t>
            </w:r>
            <w:r>
              <w:rPr>
                <w:rFonts w:hint="eastAsia" w:asciiTheme="minorEastAsia" w:hAnsiTheme="minorEastAsia" w:eastAsiaTheme="minorEastAsia" w:cstheme="minorEastAsia"/>
                <w:bCs/>
                <w:iCs/>
                <w:sz w:val="24"/>
                <w:szCs w:val="24"/>
                <w:lang w:val="en-US" w:eastAsia="zh-CN" w:bidi="ar"/>
              </w:rPr>
              <w:t xml:space="preserve">    </w:t>
            </w:r>
            <w:r>
              <w:rPr>
                <w:rFonts w:hint="eastAsia" w:asciiTheme="minorEastAsia" w:hAnsiTheme="minorEastAsia" w:cstheme="minorEastAsia"/>
                <w:bCs/>
                <w:iCs/>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 xml:space="preserve">新闻发布会          </w:t>
            </w:r>
            <w:r>
              <w:rPr>
                <w:rFonts w:hint="eastAsia" w:asciiTheme="minorEastAsia" w:hAnsiTheme="minorEastAsia" w:eastAsia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路演活动</w:t>
            </w:r>
          </w:p>
          <w:p w14:paraId="269AB30F">
            <w:pPr>
              <w:keepNext w:val="0"/>
              <w:keepLines w:val="0"/>
              <w:suppressLineNumbers w:val="0"/>
              <w:tabs>
                <w:tab w:val="left" w:pos="2690"/>
                <w:tab w:val="center" w:pos="3199"/>
              </w:tabs>
              <w:spacing w:before="0" w:beforeAutospacing="0" w:after="0" w:afterAutospacing="0" w:line="360" w:lineRule="auto"/>
              <w:ind w:left="0" w:right="0"/>
              <w:jc w:val="left"/>
              <w:rPr>
                <w:rFonts w:hint="default" w:ascii="Times New Roman" w:hAnsi="Times New Roman" w:cs="Times New Roman" w:eastAsiaTheme="minorEastAsia"/>
                <w:bCs/>
                <w:iCs/>
                <w:sz w:val="24"/>
                <w:szCs w:val="24"/>
              </w:rPr>
            </w:pP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 xml:space="preserve">现场参观            </w:t>
            </w:r>
            <w:r>
              <w:rPr>
                <w:rFonts w:hint="eastAsia" w:asciiTheme="minorEastAsia" w:hAnsiTheme="minorEastAsia" w:eastAsia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电话会议</w:t>
            </w:r>
            <w:r>
              <w:rPr>
                <w:rFonts w:hint="eastAsia" w:asciiTheme="minorEastAsia" w:hAnsiTheme="minorEastAsia" w:eastAsiaTheme="minorEastAsia" w:cstheme="minorEastAsia"/>
                <w:bCs/>
                <w:iCs/>
                <w:sz w:val="24"/>
                <w:szCs w:val="24"/>
                <w:lang w:bidi="ar"/>
              </w:rPr>
              <w:t xml:space="preserve">           </w:t>
            </w:r>
            <w:r>
              <w:rPr>
                <w:rFonts w:hint="eastAsia" w:asciiTheme="minorEastAsia" w:hAnsiTheme="minorEastAsia" w:eastAsiaTheme="minorEastAsia" w:cstheme="minorEastAsia"/>
                <w:bCs/>
                <w:iCs/>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其他</w:t>
            </w:r>
            <w:r>
              <w:rPr>
                <w:rFonts w:hint="eastAsia" w:asciiTheme="minorEastAsia" w:hAnsiTheme="minorEastAsia" w:eastAsiaTheme="minorEastAsia" w:cstheme="minorEastAsia"/>
                <w:sz w:val="24"/>
                <w:szCs w:val="24"/>
                <w:u w:val="single"/>
                <w:lang w:bidi="ar"/>
              </w:rPr>
              <w:t xml:space="preserve">    </w:t>
            </w:r>
          </w:p>
        </w:tc>
      </w:tr>
      <w:tr w14:paraId="7076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AD9DD69">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参与单位名称及人员姓名</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54A8087E">
            <w:pPr>
              <w:keepNext w:val="0"/>
              <w:keepLines w:val="0"/>
              <w:suppressLineNumbers w:val="0"/>
              <w:tabs>
                <w:tab w:val="center" w:pos="2798"/>
              </w:tabs>
              <w:spacing w:before="0" w:beforeAutospacing="0" w:after="0" w:afterAutospacing="0" w:line="360" w:lineRule="auto"/>
              <w:ind w:left="0" w:right="0"/>
              <w:jc w:val="left"/>
              <w:rPr>
                <w:rFonts w:hint="default" w:ascii="Times New Roman" w:hAnsi="Times New Roman" w:cs="Times New Roman" w:eastAsiaTheme="minorEastAsia"/>
                <w:bCs/>
                <w:iCs/>
                <w:sz w:val="24"/>
                <w:szCs w:val="24"/>
                <w:lang w:val="en-US" w:eastAsia="zh-CN" w:bidi="ar"/>
              </w:rPr>
            </w:pPr>
            <w:r>
              <w:rPr>
                <w:rFonts w:hint="default" w:ascii="Times New Roman" w:hAnsi="Times New Roman" w:cs="Times New Roman" w:eastAsiaTheme="minorEastAsia"/>
                <w:bCs/>
                <w:iCs/>
                <w:sz w:val="24"/>
                <w:szCs w:val="24"/>
                <w:lang w:val="en-US" w:eastAsia="zh-CN" w:bidi="ar"/>
              </w:rPr>
              <w:t>中信</w:t>
            </w:r>
            <w:r>
              <w:rPr>
                <w:rFonts w:hint="eastAsia" w:ascii="Times New Roman" w:hAnsi="Times New Roman" w:cs="Times New Roman"/>
                <w:bCs/>
                <w:iCs/>
                <w:sz w:val="24"/>
                <w:szCs w:val="24"/>
                <w:lang w:val="en-US" w:eastAsia="zh-CN" w:bidi="ar"/>
              </w:rPr>
              <w:t>建投</w:t>
            </w:r>
            <w:r>
              <w:rPr>
                <w:rFonts w:hint="default" w:ascii="Times New Roman" w:hAnsi="Times New Roman" w:cs="Times New Roman" w:eastAsiaTheme="minorEastAsia"/>
                <w:bCs/>
                <w:iCs/>
                <w:sz w:val="24"/>
                <w:szCs w:val="24"/>
                <w:lang w:bidi="ar"/>
              </w:rPr>
              <w:t>：</w:t>
            </w:r>
            <w:r>
              <w:rPr>
                <w:rFonts w:hint="default" w:ascii="Times New Roman" w:hAnsi="Times New Roman" w:cs="Times New Roman" w:eastAsiaTheme="minorEastAsia"/>
                <w:bCs/>
                <w:iCs/>
                <w:sz w:val="24"/>
                <w:szCs w:val="24"/>
                <w:lang w:val="en-US" w:eastAsia="zh-CN" w:bidi="ar"/>
              </w:rPr>
              <w:t>武星岑</w:t>
            </w:r>
            <w:r>
              <w:rPr>
                <w:rFonts w:hint="eastAsia" w:ascii="Times New Roman" w:hAnsi="Times New Roman" w:cs="Times New Roman"/>
                <w:bCs/>
                <w:iCs/>
                <w:sz w:val="24"/>
                <w:szCs w:val="24"/>
                <w:lang w:val="en-US" w:eastAsia="zh-CN" w:bidi="ar"/>
              </w:rPr>
              <w:t>、</w:t>
            </w:r>
            <w:r>
              <w:rPr>
                <w:rFonts w:hint="default" w:ascii="Times New Roman" w:hAnsi="Times New Roman" w:cs="Times New Roman" w:eastAsiaTheme="minorEastAsia"/>
                <w:bCs/>
                <w:iCs/>
                <w:sz w:val="24"/>
                <w:szCs w:val="24"/>
                <w:lang w:val="en-US" w:eastAsia="zh-CN" w:bidi="ar"/>
              </w:rPr>
              <w:t>周莞翔</w:t>
            </w:r>
          </w:p>
        </w:tc>
      </w:tr>
      <w:tr w14:paraId="298A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1405CD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会议时间</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4D3A5CBD">
            <w:pPr>
              <w:keepNext w:val="0"/>
              <w:keepLines w:val="0"/>
              <w:suppressLineNumbers w:val="0"/>
              <w:spacing w:before="0" w:beforeAutospacing="0" w:after="0" w:afterAutospacing="0" w:line="360" w:lineRule="auto"/>
              <w:ind w:left="0" w:right="0"/>
              <w:jc w:val="left"/>
              <w:rPr>
                <w:rFonts w:hint="default" w:ascii="Times New Roman" w:hAnsi="Times New Roman" w:cs="Times New Roman" w:eastAsiaTheme="minorEastAsia"/>
                <w:bCs/>
                <w:iCs/>
                <w:sz w:val="24"/>
                <w:szCs w:val="24"/>
                <w:lang w:val="en-US" w:eastAsia="zh-CN"/>
              </w:rPr>
            </w:pPr>
            <w:r>
              <w:rPr>
                <w:rFonts w:hint="default" w:ascii="Times New Roman" w:hAnsi="Times New Roman" w:cs="Times New Roman" w:eastAsiaTheme="minorEastAsia"/>
                <w:bCs/>
                <w:iCs/>
                <w:sz w:val="24"/>
                <w:szCs w:val="24"/>
                <w:lang w:bidi="ar"/>
              </w:rPr>
              <w:t>2024年9月</w:t>
            </w:r>
            <w:r>
              <w:rPr>
                <w:rFonts w:hint="default" w:ascii="Times New Roman" w:hAnsi="Times New Roman" w:cs="Times New Roman" w:eastAsiaTheme="minorEastAsia"/>
                <w:bCs/>
                <w:iCs/>
                <w:sz w:val="24"/>
                <w:szCs w:val="24"/>
                <w:lang w:val="en-US" w:eastAsia="zh-CN" w:bidi="ar"/>
              </w:rPr>
              <w:t>2</w:t>
            </w:r>
            <w:r>
              <w:rPr>
                <w:rFonts w:hint="eastAsia" w:ascii="Times New Roman" w:hAnsi="Times New Roman" w:cs="Times New Roman"/>
                <w:bCs/>
                <w:iCs/>
                <w:sz w:val="24"/>
                <w:szCs w:val="24"/>
                <w:lang w:val="en-US" w:eastAsia="zh-CN" w:bidi="ar"/>
              </w:rPr>
              <w:t>7</w:t>
            </w:r>
            <w:r>
              <w:rPr>
                <w:rFonts w:hint="default" w:ascii="Times New Roman" w:hAnsi="Times New Roman" w:cs="Times New Roman" w:eastAsiaTheme="minorEastAsia"/>
                <w:bCs/>
                <w:iCs/>
                <w:sz w:val="24"/>
                <w:szCs w:val="24"/>
                <w:lang w:val="en-US" w:eastAsia="zh-CN" w:bidi="ar"/>
              </w:rPr>
              <w:t>日</w:t>
            </w:r>
          </w:p>
        </w:tc>
      </w:tr>
      <w:tr w14:paraId="3B1A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5A4B87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会议地点</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69F6DBDA">
            <w:pPr>
              <w:keepNext w:val="0"/>
              <w:keepLines w:val="0"/>
              <w:suppressLineNumbers w:val="0"/>
              <w:spacing w:before="0" w:beforeAutospacing="0" w:after="0" w:afterAutospacing="0" w:line="360" w:lineRule="auto"/>
              <w:ind w:left="0" w:right="0"/>
              <w:jc w:val="left"/>
              <w:rPr>
                <w:rFonts w:hint="default" w:ascii="Times New Roman" w:hAnsi="Times New Roman" w:cs="Times New Roman" w:eastAsiaTheme="minorEastAsia"/>
                <w:bCs/>
                <w:iCs/>
                <w:sz w:val="24"/>
                <w:szCs w:val="24"/>
                <w:lang w:val="en-US" w:eastAsia="zh-CN"/>
              </w:rPr>
            </w:pPr>
            <w:r>
              <w:rPr>
                <w:rFonts w:hint="default" w:ascii="Times New Roman" w:hAnsi="Times New Roman" w:cs="Times New Roman" w:eastAsiaTheme="minorEastAsia"/>
                <w:bCs/>
                <w:iCs/>
                <w:sz w:val="24"/>
                <w:szCs w:val="24"/>
                <w:lang w:val="en-US" w:eastAsia="zh-CN"/>
              </w:rPr>
              <w:t>陕西莱特光电材料股份有限公司会议室</w:t>
            </w:r>
          </w:p>
        </w:tc>
      </w:tr>
      <w:tr w14:paraId="015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339E8B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上市公司接待人员姓名</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03581C09">
            <w:pPr>
              <w:keepNext w:val="0"/>
              <w:keepLines w:val="0"/>
              <w:suppressLineNumbers w:val="0"/>
              <w:spacing w:before="0" w:beforeAutospacing="0" w:after="0" w:afterAutospacing="0" w:line="360" w:lineRule="auto"/>
              <w:ind w:left="0" w:right="0"/>
              <w:jc w:val="left"/>
              <w:rPr>
                <w:rFonts w:hint="default" w:ascii="Times New Roman" w:hAnsi="Times New Roman" w:cs="Times New Roman" w:eastAsiaTheme="minorEastAsia"/>
                <w:bCs/>
                <w:iCs/>
                <w:sz w:val="24"/>
                <w:szCs w:val="24"/>
              </w:rPr>
            </w:pPr>
            <w:r>
              <w:rPr>
                <w:rFonts w:hint="default" w:ascii="Times New Roman" w:hAnsi="Times New Roman" w:cs="Times New Roman" w:eastAsiaTheme="minorEastAsia"/>
                <w:bCs/>
                <w:iCs/>
                <w:sz w:val="24"/>
                <w:szCs w:val="24"/>
                <w:lang w:bidi="ar"/>
              </w:rPr>
              <w:t>董事会秘书：潘香婷               投资者关系专员：张尊睿</w:t>
            </w:r>
          </w:p>
        </w:tc>
      </w:tr>
      <w:tr w14:paraId="24D7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287ADD3">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投资者关系活动主要内容介绍</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66EC81C1">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szCs w:val="21"/>
                <w:lang w:bidi="ar"/>
              </w:rPr>
            </w:pPr>
            <w:r>
              <w:rPr>
                <w:rFonts w:hint="default" w:ascii="Times New Roman" w:hAnsi="Times New Roman" w:cs="Times New Roman" w:eastAsiaTheme="minorEastAsia"/>
                <w:b/>
                <w:bCs/>
                <w:szCs w:val="21"/>
                <w:lang w:bidi="ar"/>
              </w:rPr>
              <w:t>问题1：国产OLED面板份额</w:t>
            </w:r>
            <w:r>
              <w:rPr>
                <w:rFonts w:hint="eastAsia" w:ascii="Times New Roman" w:hAnsi="Times New Roman" w:cs="Times New Roman"/>
                <w:b/>
                <w:bCs/>
                <w:szCs w:val="21"/>
                <w:lang w:val="en-US" w:eastAsia="zh-CN" w:bidi="ar"/>
              </w:rPr>
              <w:t>首次</w:t>
            </w:r>
            <w:r>
              <w:rPr>
                <w:rFonts w:hint="default" w:ascii="Times New Roman" w:hAnsi="Times New Roman" w:cs="Times New Roman" w:eastAsiaTheme="minorEastAsia"/>
                <w:b/>
                <w:bCs/>
                <w:szCs w:val="21"/>
                <w:lang w:bidi="ar"/>
              </w:rPr>
              <w:t>超过韩企</w:t>
            </w:r>
            <w:r>
              <w:rPr>
                <w:rFonts w:hint="eastAsia" w:ascii="Times New Roman" w:hAnsi="Times New Roman" w:cs="Times New Roman"/>
                <w:b/>
                <w:bCs/>
                <w:szCs w:val="21"/>
                <w:lang w:eastAsia="zh-CN" w:bidi="ar"/>
              </w:rPr>
              <w:t>，</w:t>
            </w:r>
            <w:r>
              <w:rPr>
                <w:rFonts w:hint="default" w:ascii="Times New Roman" w:hAnsi="Times New Roman" w:cs="Times New Roman" w:eastAsiaTheme="minorEastAsia"/>
                <w:b/>
                <w:bCs/>
                <w:szCs w:val="21"/>
                <w:lang w:bidi="ar"/>
              </w:rPr>
              <w:t>请问您怎么看OLED</w:t>
            </w:r>
            <w:r>
              <w:rPr>
                <w:rFonts w:hint="eastAsia" w:ascii="Times New Roman" w:hAnsi="Times New Roman" w:cs="Times New Roman"/>
                <w:b/>
                <w:bCs/>
                <w:szCs w:val="21"/>
                <w:lang w:val="en-US" w:eastAsia="zh-CN" w:bidi="ar"/>
              </w:rPr>
              <w:t>行业</w:t>
            </w:r>
            <w:r>
              <w:rPr>
                <w:rFonts w:hint="default" w:ascii="Times New Roman" w:hAnsi="Times New Roman" w:cs="Times New Roman" w:eastAsiaTheme="minorEastAsia"/>
                <w:b/>
                <w:bCs/>
                <w:szCs w:val="21"/>
                <w:lang w:bidi="ar"/>
              </w:rPr>
              <w:t>未来发展</w:t>
            </w:r>
            <w:r>
              <w:rPr>
                <w:rFonts w:hint="eastAsia" w:ascii="Times New Roman" w:hAnsi="Times New Roman" w:cs="Times New Roman"/>
                <w:b/>
                <w:bCs/>
                <w:szCs w:val="21"/>
                <w:lang w:eastAsia="zh-CN" w:bidi="ar"/>
              </w:rPr>
              <w:t>？</w:t>
            </w:r>
            <w:r>
              <w:rPr>
                <w:rFonts w:hint="default" w:ascii="Times New Roman" w:hAnsi="Times New Roman" w:cs="Times New Roman" w:eastAsiaTheme="minorEastAsia"/>
                <w:b/>
                <w:bCs/>
                <w:szCs w:val="21"/>
                <w:lang w:bidi="ar"/>
              </w:rPr>
              <w:t>公司未来有什么战略布局和规划？</w:t>
            </w:r>
            <w:r>
              <w:rPr>
                <w:rFonts w:hint="default" w:ascii="Times New Roman" w:hAnsi="Times New Roman" w:cs="Times New Roman" w:eastAsiaTheme="minorEastAsia"/>
                <w:szCs w:val="21"/>
                <w:lang w:bidi="ar"/>
              </w:rPr>
              <w:t xml:space="preserve"> </w:t>
            </w:r>
          </w:p>
          <w:p w14:paraId="6B6BC80D">
            <w:pPr>
              <w:keepNext w:val="0"/>
              <w:keepLines w:val="0"/>
              <w:suppressLineNumbers w:val="0"/>
              <w:spacing w:before="50" w:beforeAutospacing="0" w:after="0" w:afterAutospacing="0" w:line="360" w:lineRule="auto"/>
              <w:ind w:left="0" w:right="0" w:firstLine="420" w:firstLineChars="200"/>
              <w:rPr>
                <w:rFonts w:hint="eastAsia" w:ascii="Times New Roman" w:hAnsi="Times New Roman" w:cs="Times New Roman" w:eastAsiaTheme="minorEastAsia"/>
                <w:szCs w:val="21"/>
                <w:lang w:eastAsia="zh-CN" w:bidi="ar"/>
              </w:rPr>
            </w:pPr>
            <w:r>
              <w:rPr>
                <w:rFonts w:hint="default" w:ascii="Times New Roman" w:hAnsi="Times New Roman" w:cs="Times New Roman" w:eastAsiaTheme="minorEastAsia"/>
                <w:szCs w:val="21"/>
                <w:lang w:bidi="ar"/>
              </w:rPr>
              <w:t>答：我们认为OLED</w:t>
            </w:r>
            <w:r>
              <w:rPr>
                <w:rFonts w:hint="eastAsia" w:ascii="Times New Roman" w:hAnsi="Times New Roman" w:cs="Times New Roman"/>
                <w:szCs w:val="21"/>
                <w:lang w:val="en-US" w:eastAsia="zh-CN" w:bidi="ar"/>
              </w:rPr>
              <w:t>行业未来</w:t>
            </w:r>
            <w:r>
              <w:rPr>
                <w:rFonts w:hint="default" w:ascii="Times New Roman" w:hAnsi="Times New Roman" w:cs="Times New Roman" w:eastAsiaTheme="minorEastAsia"/>
                <w:szCs w:val="21"/>
                <w:lang w:bidi="ar"/>
              </w:rPr>
              <w:t>前景广阔。近些年，国内OLED面板厂商在产品技术、产能、性价比等方面均取得了显著进步，竞争力不断增强，其在全球OLED</w:t>
            </w:r>
            <w:r>
              <w:rPr>
                <w:rFonts w:hint="eastAsia" w:ascii="Times New Roman" w:hAnsi="Times New Roman" w:cs="Times New Roman"/>
                <w:szCs w:val="21"/>
                <w:lang w:val="en-US" w:eastAsia="zh-CN" w:bidi="ar"/>
              </w:rPr>
              <w:t>的</w:t>
            </w:r>
            <w:r>
              <w:rPr>
                <w:rFonts w:hint="default" w:ascii="Times New Roman" w:hAnsi="Times New Roman" w:cs="Times New Roman" w:eastAsiaTheme="minorEastAsia"/>
                <w:szCs w:val="21"/>
                <w:lang w:bidi="ar"/>
              </w:rPr>
              <w:t>市占率预计</w:t>
            </w:r>
            <w:r>
              <w:rPr>
                <w:rFonts w:hint="eastAsia" w:ascii="Times New Roman" w:hAnsi="Times New Roman" w:cs="Times New Roman"/>
                <w:szCs w:val="21"/>
                <w:lang w:val="en-US" w:eastAsia="zh-CN" w:bidi="ar"/>
              </w:rPr>
              <w:t>有望</w:t>
            </w:r>
            <w:r>
              <w:rPr>
                <w:rFonts w:hint="default" w:ascii="Times New Roman" w:hAnsi="Times New Roman" w:cs="Times New Roman" w:eastAsiaTheme="minorEastAsia"/>
                <w:szCs w:val="21"/>
                <w:lang w:bidi="ar"/>
              </w:rPr>
              <w:t>进一步提升。从市场应用来看，OLED凭借其高画质、快速响应、</w:t>
            </w:r>
            <w:r>
              <w:rPr>
                <w:rFonts w:hint="eastAsia" w:ascii="Times New Roman" w:hAnsi="Times New Roman" w:cs="Times New Roman"/>
                <w:szCs w:val="21"/>
                <w:lang w:val="en-US" w:eastAsia="zh-CN" w:bidi="ar"/>
              </w:rPr>
              <w:t>低功耗、</w:t>
            </w:r>
            <w:bookmarkStart w:id="1" w:name="_GoBack"/>
            <w:bookmarkEnd w:id="1"/>
            <w:r>
              <w:rPr>
                <w:rFonts w:hint="default" w:ascii="Times New Roman" w:hAnsi="Times New Roman" w:cs="Times New Roman" w:eastAsiaTheme="minorEastAsia"/>
                <w:szCs w:val="21"/>
                <w:lang w:bidi="ar"/>
              </w:rPr>
              <w:t>宽广的视角、轻薄、柔性可弯曲等</w:t>
            </w:r>
            <w:r>
              <w:rPr>
                <w:rFonts w:hint="eastAsia" w:ascii="Times New Roman" w:hAnsi="Times New Roman" w:cs="Times New Roman"/>
                <w:szCs w:val="21"/>
                <w:lang w:val="en-US" w:eastAsia="zh-CN" w:bidi="ar"/>
              </w:rPr>
              <w:t>卓越</w:t>
            </w:r>
            <w:r>
              <w:rPr>
                <w:rFonts w:hint="default" w:ascii="Times New Roman" w:hAnsi="Times New Roman" w:cs="Times New Roman" w:eastAsiaTheme="minorEastAsia"/>
                <w:szCs w:val="21"/>
                <w:lang w:bidi="ar"/>
              </w:rPr>
              <w:t>的性能优势，已逐渐成为中小尺寸显示领域的主流技术。随着下游市场显示需求进阶，OLED开始加快渗透至笔记本、平板电脑、车载、智能穿戴、电视等更多终端应用场景。苹果、华为等头部厂商陆续推出搭载AMOLED屏幕的平板电脑产品，有望推动AMOLED加速向中尺寸应用领域渗透</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京东方、维信诺先后宣布投资建设8.6代高世代OLED产线，</w:t>
            </w:r>
            <w:r>
              <w:rPr>
                <w:rFonts w:hint="eastAsia" w:ascii="Times New Roman" w:hAnsi="Times New Roman" w:cs="Times New Roman"/>
                <w:szCs w:val="21"/>
                <w:lang w:val="en-US" w:eastAsia="zh-CN" w:bidi="ar"/>
              </w:rPr>
              <w:t>国内OLED面板厂商产能不断抬升</w:t>
            </w:r>
            <w:r>
              <w:rPr>
                <w:rFonts w:hint="default" w:ascii="Times New Roman" w:hAnsi="Times New Roman" w:cs="Times New Roman" w:eastAsiaTheme="minorEastAsia"/>
                <w:szCs w:val="21"/>
                <w:lang w:bidi="ar"/>
              </w:rPr>
              <w:t>。</w:t>
            </w:r>
            <w:r>
              <w:rPr>
                <w:rFonts w:hint="eastAsia" w:ascii="Times New Roman" w:hAnsi="Times New Roman" w:cs="Times New Roman"/>
                <w:szCs w:val="21"/>
                <w:lang w:val="en-US" w:eastAsia="zh-CN" w:bidi="ar"/>
              </w:rPr>
              <w:t>未来，</w:t>
            </w:r>
            <w:r>
              <w:rPr>
                <w:rFonts w:hint="default" w:ascii="Times New Roman" w:hAnsi="Times New Roman" w:cs="Times New Roman" w:eastAsiaTheme="minorEastAsia"/>
                <w:szCs w:val="21"/>
                <w:lang w:bidi="ar"/>
              </w:rPr>
              <w:t>公司将继续立足于OLED有机材料的巨大发展空间及市场机遇，</w:t>
            </w:r>
            <w:r>
              <w:rPr>
                <w:rFonts w:hint="eastAsia" w:ascii="Times New Roman" w:hAnsi="Times New Roman" w:cs="Times New Roman"/>
                <w:szCs w:val="21"/>
                <w:lang w:val="en-US" w:eastAsia="zh-CN" w:bidi="ar"/>
              </w:rPr>
              <w:t>持续</w:t>
            </w:r>
            <w:r>
              <w:rPr>
                <w:rFonts w:hint="default" w:ascii="Times New Roman" w:hAnsi="Times New Roman" w:cs="Times New Roman" w:eastAsiaTheme="minorEastAsia"/>
                <w:szCs w:val="21"/>
                <w:lang w:bidi="ar"/>
              </w:rPr>
              <w:t>加大研发创新投入、加强新产品及新技术开发力度，不断提升材料性能、丰富产品结构，提高市场占有率和</w:t>
            </w:r>
            <w:r>
              <w:rPr>
                <w:rFonts w:hint="eastAsia" w:ascii="Times New Roman" w:hAnsi="Times New Roman" w:cs="Times New Roman"/>
                <w:szCs w:val="21"/>
                <w:lang w:val="en-US" w:eastAsia="zh-CN" w:bidi="ar"/>
              </w:rPr>
              <w:t>核心</w:t>
            </w:r>
            <w:r>
              <w:rPr>
                <w:rFonts w:hint="default" w:ascii="Times New Roman" w:hAnsi="Times New Roman" w:cs="Times New Roman" w:eastAsiaTheme="minorEastAsia"/>
                <w:szCs w:val="21"/>
                <w:lang w:bidi="ar"/>
              </w:rPr>
              <w:t>竞争力，逐步实现产品系列化及客户全覆盖的发展战略目标</w:t>
            </w:r>
            <w:r>
              <w:rPr>
                <w:rFonts w:hint="eastAsia" w:ascii="Times New Roman" w:hAnsi="Times New Roman" w:cs="Times New Roman"/>
                <w:szCs w:val="21"/>
                <w:lang w:eastAsia="zh-CN" w:bidi="ar"/>
              </w:rPr>
              <w:t>。</w:t>
            </w:r>
          </w:p>
          <w:p w14:paraId="485D2A88">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bCs/>
                <w:szCs w:val="21"/>
                <w:lang w:bidi="ar"/>
              </w:rPr>
            </w:pPr>
            <w:r>
              <w:rPr>
                <w:rFonts w:hint="default" w:ascii="Times New Roman" w:hAnsi="Times New Roman" w:cs="Times New Roman" w:eastAsiaTheme="minorEastAsia"/>
                <w:b/>
                <w:bCs/>
                <w:szCs w:val="21"/>
                <w:lang w:bidi="ar"/>
              </w:rPr>
              <w:t>问题</w:t>
            </w:r>
            <w:r>
              <w:rPr>
                <w:rFonts w:hint="eastAsia" w:ascii="Times New Roman" w:hAnsi="Times New Roman" w:cs="Times New Roman"/>
                <w:b/>
                <w:bCs/>
                <w:szCs w:val="21"/>
                <w:lang w:val="en-US" w:eastAsia="zh-CN" w:bidi="ar"/>
              </w:rPr>
              <w:t>2</w:t>
            </w:r>
            <w:r>
              <w:rPr>
                <w:rFonts w:hint="default" w:ascii="Times New Roman" w:hAnsi="Times New Roman" w:cs="Times New Roman" w:eastAsiaTheme="minorEastAsia"/>
                <w:b/>
                <w:bCs/>
                <w:szCs w:val="21"/>
                <w:lang w:bidi="ar"/>
              </w:rPr>
              <w:t>：公司OLED有机材料进展情况如何？</w:t>
            </w:r>
          </w:p>
          <w:p w14:paraId="53D98018">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szCs w:val="21"/>
                <w:lang w:bidi="ar"/>
              </w:rPr>
            </w:pPr>
            <w:r>
              <w:rPr>
                <w:rFonts w:hint="default" w:ascii="Times New Roman" w:hAnsi="Times New Roman" w:cs="Times New Roman" w:eastAsiaTheme="minorEastAsia"/>
                <w:szCs w:val="21"/>
                <w:lang w:bidi="ar"/>
              </w:rPr>
              <w:t>答：2024年上半年，随着终端消费电子需求回暖及OLED渗透率持续提升，公司下游客户需求持续增长，公司OLED终端材料销量同比大幅增长。产品开发及验证方面，公司重点进行了红、绿、蓝三色Prime材料、Host材料、Dopant材料的开发，围绕高效率、低电压、长寿命等持续升级的技术指标，不断提升产品性能。其中Red Prime材料已持续迭代了7代器件的量产应用，在新一代器件中测试较好，继续保持业内领先；Green Host材料持续迭代2代器件的量产应用，在新一代器件中验证顺利，已达到国际先进水平；Red Host材料已通过客户量产测试，今年有望实现批量供货；Green Prime材料及蓝光系列材料在客户端验证过程中。此外，公司多支材料在硅基OLED器件中的测试表现优良。客户方面，公司保持头部OLED面板厂商稳定量产供应的同时，积极开发新客户，争取逐步实现国内OLED面板厂商的全覆盖。OLED中间体方面，公司产品和客户结构转型取得初步成果，材料类型趋于多元化，氘代类等高附加值材料占比逐渐提升，客户结构逐步转向终端材料制造商，与韩国面板企业的一级供应商取得相关项目合作。</w:t>
            </w:r>
          </w:p>
          <w:p w14:paraId="28BDC8AA">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lang w:bidi="ar"/>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3</w:t>
            </w:r>
            <w:r>
              <w:rPr>
                <w:rFonts w:hint="default" w:ascii="Times New Roman" w:hAnsi="Times New Roman" w:cs="Times New Roman" w:eastAsiaTheme="minorEastAsia"/>
                <w:b/>
                <w:szCs w:val="21"/>
                <w:lang w:bidi="ar"/>
              </w:rPr>
              <w:t>：公司今年上半年收入能否按产品类别拆分？</w:t>
            </w:r>
          </w:p>
          <w:p w14:paraId="0EAA30B2">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bCs/>
                <w:szCs w:val="21"/>
                <w:lang w:bidi="ar"/>
              </w:rPr>
            </w:pPr>
            <w:r>
              <w:rPr>
                <w:rFonts w:hint="default" w:ascii="Times New Roman" w:hAnsi="Times New Roman" w:cs="Times New Roman" w:eastAsiaTheme="minorEastAsia"/>
                <w:bCs/>
                <w:szCs w:val="21"/>
                <w:lang w:bidi="ar"/>
              </w:rPr>
              <w:t>答：2024年上半年，公司实现营业收入24,552.29万元，同比增长73.65%。其中OLED有机材料收入21,213.84万元，占整体营业收入的86.40%；其他中间体产品主要是医药中间体，实现营业收入1,797.53万元，占比7.32%；面板清洗液及其他收入为1,540.92万元，占比6.28%。</w:t>
            </w:r>
          </w:p>
          <w:p w14:paraId="68F6BC28">
            <w:pPr>
              <w:keepNext w:val="0"/>
              <w:keepLines w:val="0"/>
              <w:suppressLineNumbers w:val="0"/>
              <w:spacing w:before="50" w:beforeAutospacing="0" w:after="0" w:afterAutospacing="0" w:line="360" w:lineRule="auto"/>
              <w:ind w:left="0" w:right="0" w:firstLine="422" w:firstLineChars="200"/>
              <w:rPr>
                <w:rFonts w:hint="eastAsia" w:ascii="Times New Roman" w:hAnsi="Times New Roman" w:cs="Times New Roman" w:eastAsiaTheme="minorEastAsia"/>
                <w:b/>
                <w:szCs w:val="21"/>
                <w:lang w:eastAsia="zh-CN"/>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4：</w:t>
            </w:r>
            <w:r>
              <w:rPr>
                <w:rFonts w:hint="default" w:ascii="Times New Roman" w:hAnsi="Times New Roman" w:cs="Times New Roman" w:eastAsiaTheme="minorEastAsia"/>
                <w:b/>
                <w:szCs w:val="21"/>
                <w:lang w:bidi="ar"/>
              </w:rPr>
              <w:t>OLED终端材料技术壁垒是什么</w:t>
            </w:r>
            <w:r>
              <w:rPr>
                <w:rFonts w:hint="eastAsia" w:ascii="Times New Roman" w:hAnsi="Times New Roman" w:cs="Times New Roman"/>
                <w:b/>
                <w:szCs w:val="21"/>
                <w:lang w:eastAsia="zh-CN" w:bidi="ar"/>
              </w:rPr>
              <w:t>？</w:t>
            </w:r>
            <w:r>
              <w:rPr>
                <w:rFonts w:hint="default" w:ascii="Times New Roman" w:hAnsi="Times New Roman" w:cs="Times New Roman" w:eastAsiaTheme="minorEastAsia"/>
                <w:b/>
                <w:szCs w:val="21"/>
                <w:lang w:bidi="ar"/>
              </w:rPr>
              <w:t>不同OLED材料研发难度差异有多大</w:t>
            </w:r>
            <w:r>
              <w:rPr>
                <w:rFonts w:hint="eastAsia" w:ascii="Times New Roman" w:hAnsi="Times New Roman" w:cs="Times New Roman"/>
                <w:b/>
                <w:szCs w:val="21"/>
                <w:lang w:eastAsia="zh-CN" w:bidi="ar"/>
              </w:rPr>
              <w:t>？</w:t>
            </w:r>
          </w:p>
          <w:p w14:paraId="2C80AA8F">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bCs/>
                <w:szCs w:val="21"/>
                <w:lang w:bidi="ar"/>
              </w:rPr>
            </w:pPr>
            <w:r>
              <w:rPr>
                <w:rFonts w:hint="default" w:ascii="Times New Roman" w:hAnsi="Times New Roman" w:cs="Times New Roman" w:eastAsiaTheme="minorEastAsia"/>
                <w:szCs w:val="21"/>
                <w:lang w:bidi="ar"/>
              </w:rPr>
              <w:t>答：OLED终端材料核心技术壁垒在于材料厂商需要创造一个全新的分子结构式</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该分子结构式不仅要保证材料自身性能达标</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且在与其它十几种材料搭配后仍能够表现出良好的光电性能</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同时还要有专利保护。不同材料开发难度的差异性主要表现在专利技术壁垒、材料性能要求、生产工艺复杂性等方</w:t>
            </w:r>
            <w:r>
              <w:rPr>
                <w:rFonts w:hint="eastAsia" w:ascii="Times New Roman" w:hAnsi="Times New Roman" w:cs="Times New Roman"/>
                <w:szCs w:val="21"/>
                <w:lang w:val="en-US" w:eastAsia="zh-CN" w:bidi="ar"/>
              </w:rPr>
              <w:t>面</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但材料开发的技术目的一致</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都是为了满足材料在OLED发光器件中对电压、发光效率和寿命以及材料匹配性等要求。</w:t>
            </w:r>
          </w:p>
          <w:p w14:paraId="75AAE4D7">
            <w:pPr>
              <w:keepNext w:val="0"/>
              <w:keepLines w:val="0"/>
              <w:suppressLineNumbers w:val="0"/>
              <w:spacing w:before="50" w:beforeAutospacing="0" w:after="0" w:afterAutospacing="0" w:line="360" w:lineRule="auto"/>
              <w:ind w:left="0" w:right="0" w:firstLine="422" w:firstLineChars="200"/>
              <w:rPr>
                <w:rFonts w:hint="eastAsia" w:ascii="Times New Roman" w:hAnsi="Times New Roman" w:cs="Times New Roman" w:eastAsiaTheme="minorEastAsia"/>
                <w:b/>
                <w:szCs w:val="21"/>
                <w:lang w:eastAsia="zh-CN" w:bidi="ar"/>
              </w:rPr>
            </w:pPr>
            <w:bookmarkStart w:id="0" w:name="OLE_LINK1"/>
            <w:r>
              <w:rPr>
                <w:rFonts w:hint="default" w:ascii="Times New Roman" w:hAnsi="Times New Roman" w:cs="Times New Roman"/>
                <w:b/>
                <w:szCs w:val="21"/>
                <w:lang w:bidi="ar"/>
              </w:rPr>
              <w:t>问题</w:t>
            </w:r>
            <w:r>
              <w:rPr>
                <w:rFonts w:hint="eastAsia" w:ascii="Times New Roman" w:hAnsi="Times New Roman" w:cs="Times New Roman"/>
                <w:b/>
                <w:szCs w:val="21"/>
                <w:lang w:val="en-US" w:eastAsia="zh-CN" w:bidi="ar"/>
              </w:rPr>
              <w:t>5</w:t>
            </w:r>
            <w:r>
              <w:rPr>
                <w:rFonts w:hint="eastAsia" w:ascii="Times New Roman" w:hAnsi="Times New Roman" w:cs="Times New Roman"/>
                <w:b/>
                <w:szCs w:val="21"/>
                <w:lang w:eastAsia="zh-CN" w:bidi="ar"/>
              </w:rPr>
              <w:t>：</w:t>
            </w:r>
            <w:r>
              <w:rPr>
                <w:rFonts w:hint="default" w:ascii="Times New Roman" w:hAnsi="Times New Roman" w:cs="Times New Roman"/>
                <w:b/>
                <w:szCs w:val="21"/>
                <w:lang w:bidi="ar"/>
              </w:rPr>
              <w:t>OLED面板厂商产品迭代对应公司所供OLED材料需要迭代吗</w:t>
            </w:r>
            <w:r>
              <w:rPr>
                <w:rFonts w:hint="eastAsia" w:ascii="Times New Roman" w:hAnsi="Times New Roman" w:cs="Times New Roman"/>
                <w:b/>
                <w:szCs w:val="21"/>
                <w:lang w:eastAsia="zh-CN" w:bidi="ar"/>
              </w:rPr>
              <w:t>？</w:t>
            </w:r>
          </w:p>
          <w:p w14:paraId="3BB6393C">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b/>
                <w:szCs w:val="21"/>
                <w:lang w:bidi="ar"/>
              </w:rPr>
            </w:pPr>
            <w:r>
              <w:rPr>
                <w:rFonts w:hint="default" w:ascii="Times New Roman" w:hAnsi="Times New Roman"/>
                <w:color w:val="000000" w:themeColor="text1"/>
                <w:lang w:bidi="ar"/>
                <w14:textFill>
                  <w14:solidFill>
                    <w14:schemeClr w14:val="tx1"/>
                  </w14:solidFill>
                </w14:textFill>
              </w:rPr>
              <w:t>答</w:t>
            </w:r>
            <w:r>
              <w:rPr>
                <w:rFonts w:hint="eastAsia" w:ascii="Times New Roman" w:hAnsi="Times New Roman"/>
                <w:color w:val="000000" w:themeColor="text1"/>
                <w:lang w:eastAsia="zh-CN" w:bidi="ar"/>
                <w14:textFill>
                  <w14:solidFill>
                    <w14:schemeClr w14:val="tx1"/>
                  </w14:solidFill>
                </w14:textFill>
              </w:rPr>
              <w:t>：</w:t>
            </w:r>
            <w:r>
              <w:rPr>
                <w:rFonts w:hint="default" w:ascii="Times New Roman" w:hAnsi="Times New Roman"/>
                <w:color w:val="000000" w:themeColor="text1"/>
                <w:lang w:bidi="ar"/>
                <w14:textFill>
                  <w14:solidFill>
                    <w14:schemeClr w14:val="tx1"/>
                  </w14:solidFill>
                </w14:textFill>
              </w:rPr>
              <w:t>OLED面板厂商根据终端应用产品的发光性能要求提出对材料的性能要求。从终端应用来讲</w:t>
            </w:r>
            <w:r>
              <w:rPr>
                <w:rFonts w:hint="eastAsia" w:ascii="Times New Roman" w:hAnsi="Times New Roman"/>
                <w:color w:val="000000" w:themeColor="text1"/>
                <w:lang w:eastAsia="zh-CN" w:bidi="ar"/>
                <w14:textFill>
                  <w14:solidFill>
                    <w14:schemeClr w14:val="tx1"/>
                  </w14:solidFill>
                </w14:textFill>
              </w:rPr>
              <w:t>，</w:t>
            </w:r>
            <w:r>
              <w:rPr>
                <w:rFonts w:hint="default" w:ascii="Times New Roman" w:hAnsi="Times New Roman"/>
                <w:color w:val="000000" w:themeColor="text1"/>
                <w:lang w:bidi="ar"/>
                <w14:textFill>
                  <w14:solidFill>
                    <w14:schemeClr w14:val="tx1"/>
                  </w14:solidFill>
                </w14:textFill>
              </w:rPr>
              <w:t>对于一个系列产品而言</w:t>
            </w:r>
            <w:r>
              <w:rPr>
                <w:rFonts w:hint="eastAsia" w:ascii="Times New Roman" w:hAnsi="Times New Roman"/>
                <w:color w:val="000000" w:themeColor="text1"/>
                <w:lang w:eastAsia="zh-CN" w:bidi="ar"/>
                <w14:textFill>
                  <w14:solidFill>
                    <w14:schemeClr w14:val="tx1"/>
                  </w14:solidFill>
                </w14:textFill>
              </w:rPr>
              <w:t>，</w:t>
            </w:r>
            <w:r>
              <w:rPr>
                <w:rFonts w:hint="default" w:ascii="Times New Roman" w:hAnsi="Times New Roman"/>
                <w:color w:val="000000" w:themeColor="text1"/>
                <w:lang w:bidi="ar"/>
                <w14:textFill>
                  <w14:solidFill>
                    <w14:schemeClr w14:val="tx1"/>
                  </w14:solidFill>
                </w14:textFill>
              </w:rPr>
              <w:t>器件性能是由使用的OLED各层有机材料组合体现的</w:t>
            </w:r>
            <w:r>
              <w:rPr>
                <w:rFonts w:hint="eastAsia" w:ascii="Times New Roman" w:hAnsi="Times New Roman"/>
                <w:color w:val="000000" w:themeColor="text1"/>
                <w:lang w:eastAsia="zh-CN" w:bidi="ar"/>
                <w14:textFill>
                  <w14:solidFill>
                    <w14:schemeClr w14:val="tx1"/>
                  </w14:solidFill>
                </w14:textFill>
              </w:rPr>
              <w:t>，</w:t>
            </w:r>
            <w:r>
              <w:rPr>
                <w:rFonts w:hint="default" w:ascii="Times New Roman" w:hAnsi="Times New Roman"/>
                <w:color w:val="000000" w:themeColor="text1"/>
                <w:lang w:bidi="ar"/>
                <w14:textFill>
                  <w14:solidFill>
                    <w14:schemeClr w14:val="tx1"/>
                  </w14:solidFill>
                </w14:textFill>
              </w:rPr>
              <w:t>在各层材料搭配形成完整的器件体系后</w:t>
            </w:r>
            <w:r>
              <w:rPr>
                <w:rFonts w:hint="eastAsia" w:ascii="Times New Roman" w:hAnsi="Times New Roman"/>
                <w:color w:val="000000" w:themeColor="text1"/>
                <w:lang w:eastAsia="zh-CN" w:bidi="ar"/>
                <w14:textFill>
                  <w14:solidFill>
                    <w14:schemeClr w14:val="tx1"/>
                  </w14:solidFill>
                </w14:textFill>
              </w:rPr>
              <w:t>，</w:t>
            </w:r>
            <w:r>
              <w:rPr>
                <w:rFonts w:hint="default" w:ascii="Times New Roman" w:hAnsi="Times New Roman"/>
                <w:color w:val="000000" w:themeColor="text1"/>
                <w:lang w:bidi="ar"/>
                <w14:textFill>
                  <w14:solidFill>
                    <w14:schemeClr w14:val="tx1"/>
                  </w14:solidFill>
                </w14:textFill>
              </w:rPr>
              <w:t>不会轻易变更所使用的材料</w:t>
            </w:r>
            <w:r>
              <w:rPr>
                <w:rFonts w:hint="eastAsia" w:ascii="Times New Roman" w:hAnsi="Times New Roman"/>
                <w:color w:val="000000" w:themeColor="text1"/>
                <w:lang w:eastAsia="zh-CN" w:bidi="ar"/>
                <w14:textFill>
                  <w14:solidFill>
                    <w14:schemeClr w14:val="tx1"/>
                  </w14:solidFill>
                </w14:textFill>
              </w:rPr>
              <w:t>，</w:t>
            </w:r>
            <w:r>
              <w:rPr>
                <w:rFonts w:hint="default" w:ascii="Times New Roman" w:hAnsi="Times New Roman"/>
                <w:color w:val="000000" w:themeColor="text1"/>
                <w:lang w:bidi="ar"/>
                <w14:textFill>
                  <w14:solidFill>
                    <w14:schemeClr w14:val="tx1"/>
                  </w14:solidFill>
                </w14:textFill>
              </w:rPr>
              <w:t>因此公司供给客户一个系列的产品所用材料基本不会有变化</w:t>
            </w:r>
            <w:r>
              <w:rPr>
                <w:rFonts w:hint="eastAsia" w:ascii="Times New Roman" w:hAnsi="Times New Roman"/>
                <w:color w:val="000000" w:themeColor="text1"/>
                <w:lang w:eastAsia="zh-CN" w:bidi="ar"/>
                <w14:textFill>
                  <w14:solidFill>
                    <w14:schemeClr w14:val="tx1"/>
                  </w14:solidFill>
                </w14:textFill>
              </w:rPr>
              <w:t>；</w:t>
            </w:r>
            <w:r>
              <w:rPr>
                <w:rFonts w:hint="default" w:ascii="Times New Roman" w:hAnsi="Times New Roman"/>
                <w:color w:val="000000" w:themeColor="text1"/>
                <w:lang w:bidi="ar"/>
                <w14:textFill>
                  <w14:solidFill>
                    <w14:schemeClr w14:val="tx1"/>
                  </w14:solidFill>
                </w14:textFill>
              </w:rPr>
              <w:t>而对于新的一个系列产品</w:t>
            </w:r>
            <w:r>
              <w:rPr>
                <w:rFonts w:hint="eastAsia" w:ascii="Times New Roman" w:hAnsi="Times New Roman"/>
                <w:color w:val="000000" w:themeColor="text1"/>
                <w:lang w:eastAsia="zh-CN" w:bidi="ar"/>
                <w14:textFill>
                  <w14:solidFill>
                    <w14:schemeClr w14:val="tx1"/>
                  </w14:solidFill>
                </w14:textFill>
              </w:rPr>
              <w:t>，</w:t>
            </w:r>
            <w:r>
              <w:rPr>
                <w:rFonts w:hint="default" w:ascii="Times New Roman" w:hAnsi="Times New Roman"/>
                <w:color w:val="000000" w:themeColor="text1"/>
                <w:lang w:bidi="ar"/>
                <w14:textFill>
                  <w14:solidFill>
                    <w14:schemeClr w14:val="tx1"/>
                  </w14:solidFill>
                </w14:textFill>
              </w:rPr>
              <w:t>如客户对器件的发光性能提出新的要求</w:t>
            </w:r>
            <w:r>
              <w:rPr>
                <w:rFonts w:hint="eastAsia" w:ascii="Times New Roman" w:hAnsi="Times New Roman"/>
                <w:color w:val="000000" w:themeColor="text1"/>
                <w:lang w:eastAsia="zh-CN" w:bidi="ar"/>
                <w14:textFill>
                  <w14:solidFill>
                    <w14:schemeClr w14:val="tx1"/>
                  </w14:solidFill>
                </w14:textFill>
              </w:rPr>
              <w:t>，</w:t>
            </w:r>
            <w:r>
              <w:rPr>
                <w:rFonts w:hint="default" w:ascii="Times New Roman" w:hAnsi="Times New Roman"/>
                <w:color w:val="000000" w:themeColor="text1"/>
                <w:lang w:bidi="ar"/>
                <w14:textFill>
                  <w14:solidFill>
                    <w14:schemeClr w14:val="tx1"/>
                  </w14:solidFill>
                </w14:textFill>
              </w:rPr>
              <w:t>原款材料满足不了</w:t>
            </w:r>
            <w:r>
              <w:rPr>
                <w:rFonts w:hint="eastAsia" w:ascii="Times New Roman" w:hAnsi="Times New Roman"/>
                <w:color w:val="000000" w:themeColor="text1"/>
                <w:lang w:eastAsia="zh-CN" w:bidi="ar"/>
                <w14:textFill>
                  <w14:solidFill>
                    <w14:schemeClr w14:val="tx1"/>
                  </w14:solidFill>
                </w14:textFill>
              </w:rPr>
              <w:t>，</w:t>
            </w:r>
            <w:r>
              <w:rPr>
                <w:rFonts w:hint="default" w:ascii="Times New Roman" w:hAnsi="Times New Roman"/>
                <w:color w:val="000000" w:themeColor="text1"/>
                <w:lang w:bidi="ar"/>
                <w14:textFill>
                  <w14:solidFill>
                    <w14:schemeClr w14:val="tx1"/>
                  </w14:solidFill>
                </w14:textFill>
              </w:rPr>
              <w:t>且必须通过材料的调整得以实现</w:t>
            </w:r>
            <w:r>
              <w:rPr>
                <w:rFonts w:hint="eastAsia" w:ascii="Times New Roman" w:hAnsi="Times New Roman"/>
                <w:color w:val="000000" w:themeColor="text1"/>
                <w:lang w:eastAsia="zh-CN" w:bidi="ar"/>
                <w14:textFill>
                  <w14:solidFill>
                    <w14:schemeClr w14:val="tx1"/>
                  </w14:solidFill>
                </w14:textFill>
              </w:rPr>
              <w:t>，</w:t>
            </w:r>
            <w:r>
              <w:rPr>
                <w:rFonts w:hint="default" w:ascii="Times New Roman" w:hAnsi="Times New Roman"/>
                <w:color w:val="000000" w:themeColor="text1"/>
                <w:lang w:bidi="ar"/>
                <w14:textFill>
                  <w14:solidFill>
                    <w14:schemeClr w14:val="tx1"/>
                  </w14:solidFill>
                </w14:textFill>
              </w:rPr>
              <w:t>那么材料厂商就需要根据客户最新的器件结构要求进行材料迭代。</w:t>
            </w:r>
          </w:p>
          <w:p w14:paraId="7D9A14A2">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6</w:t>
            </w:r>
            <w:r>
              <w:rPr>
                <w:rFonts w:hint="default" w:ascii="Times New Roman" w:hAnsi="Times New Roman" w:cs="Times New Roman" w:eastAsiaTheme="minorEastAsia"/>
                <w:b/>
                <w:szCs w:val="21"/>
                <w:lang w:bidi="ar"/>
              </w:rPr>
              <w:t>：公司客户对专利要求严格吗？公司专利布局情况？</w:t>
            </w:r>
          </w:p>
          <w:p w14:paraId="76FF6BF3">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szCs w:val="21"/>
                <w:lang w:bidi="ar"/>
              </w:rPr>
            </w:pPr>
            <w:r>
              <w:rPr>
                <w:rFonts w:hint="default" w:ascii="Times New Roman" w:hAnsi="Times New Roman" w:cs="Times New Roman" w:eastAsiaTheme="minorEastAsia"/>
                <w:szCs w:val="21"/>
                <w:lang w:bidi="ar"/>
              </w:rPr>
              <w:t>答：OLED终端材料是OLED面板的核心组成部分，由于手机、平板等终端应用厂商非常重视产品的专利保护，因此面板厂商对于所选用的材料具有严格的专利要求。公司高度重视科技创新和知识产权的开发、积累和保护，在建立技术优势的同时，通过丰富且多样化的专利布局形成深厚的</w:t>
            </w:r>
            <w:bookmarkEnd w:id="0"/>
            <w:r>
              <w:rPr>
                <w:rFonts w:hint="default" w:ascii="Times New Roman" w:hAnsi="Times New Roman" w:cs="Times New Roman" w:eastAsiaTheme="minorEastAsia"/>
                <w:szCs w:val="21"/>
                <w:lang w:bidi="ar"/>
              </w:rPr>
              <w:t>技术壁垒和市场壁垒，为技术创新构筑了知识产权护城河。截至2024年上半年，公司累计申请专利883项，其中发明专利878项；获得授权专利346项，其中发明专利341项。公司自有专利覆盖了发光层材料、空穴传输层材料、空穴阻挡层材料和电子传输层材料等OLED核心功能层材料，专利保护区域覆盖中国、美国、日本、韩国及欧洲等国家，充分保障了公司产品在客户终端全球化销售的安全性。</w:t>
            </w:r>
          </w:p>
          <w:p w14:paraId="38A92DED">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lang w:val="en-US" w:eastAsia="zh-CN" w:bidi="ar"/>
              </w:rPr>
              <w:t>问</w:t>
            </w:r>
            <w:r>
              <w:rPr>
                <w:rFonts w:hint="default" w:ascii="Times New Roman" w:hAnsi="Times New Roman" w:cs="Times New Roman" w:eastAsiaTheme="minorEastAsia"/>
                <w:b/>
                <w:szCs w:val="21"/>
                <w:lang w:bidi="ar"/>
              </w:rPr>
              <w:t>题</w:t>
            </w:r>
            <w:r>
              <w:rPr>
                <w:rFonts w:hint="eastAsia" w:ascii="Times New Roman" w:hAnsi="Times New Roman" w:cs="Times New Roman"/>
                <w:b/>
                <w:szCs w:val="21"/>
                <w:lang w:val="en-US" w:eastAsia="zh-CN" w:bidi="ar"/>
              </w:rPr>
              <w:t>7</w:t>
            </w:r>
            <w:r>
              <w:rPr>
                <w:rFonts w:hint="default" w:ascii="Times New Roman" w:hAnsi="Times New Roman" w:cs="Times New Roman" w:eastAsiaTheme="minorEastAsia"/>
                <w:b/>
                <w:szCs w:val="21"/>
                <w:lang w:bidi="ar"/>
              </w:rPr>
              <w:t>：OLED材料行业竞争格局？</w:t>
            </w:r>
          </w:p>
          <w:p w14:paraId="01427875">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color w:val="000000" w:themeColor="text1"/>
                <w:lang w:bidi="ar"/>
                <w14:textFill>
                  <w14:solidFill>
                    <w14:schemeClr w14:val="tx1"/>
                  </w14:solidFill>
                </w14:textFill>
              </w:rPr>
            </w:pPr>
            <w:r>
              <w:rPr>
                <w:rFonts w:hint="default" w:ascii="Times New Roman" w:hAnsi="Times New Roman" w:cs="Times New Roman" w:eastAsiaTheme="minorEastAsia"/>
                <w:color w:val="000000" w:themeColor="text1"/>
                <w:lang w:bidi="ar"/>
                <w14:textFill>
                  <w14:solidFill>
                    <w14:schemeClr w14:val="tx1"/>
                  </w14:solidFill>
                </w14:textFill>
              </w:rPr>
              <w:t>答：目前，在全球OLED有机材料供应体系中，我国企业主要集中在OLED中间体领域，在技术壁垒较高的OLED终端材料领域市占率仍然较低，主要供应商仍为国外材料厂商，国内仅有少数企业进入到OLED面板厂商核心供应链体系并实现量产，材料国产替代空间广阔。公司目前已实现了Red Prime材料及Green Host材料量产供应；</w:t>
            </w:r>
            <w:r>
              <w:rPr>
                <w:rFonts w:hint="default" w:ascii="Times New Roman" w:hAnsi="Times New Roman" w:cs="Times New Roman" w:eastAsiaTheme="minorEastAsia"/>
                <w:szCs w:val="21"/>
                <w:lang w:bidi="ar"/>
              </w:rPr>
              <w:t>Red Host材料通过客户量产测试，今年有望实现批量供货；Green Prime材料及蓝光系列材料在客户端验证。</w:t>
            </w:r>
            <w:r>
              <w:rPr>
                <w:rFonts w:hint="default" w:ascii="Times New Roman" w:hAnsi="Times New Roman" w:cs="Times New Roman" w:eastAsiaTheme="minorEastAsia"/>
                <w:color w:val="000000" w:themeColor="text1"/>
                <w:lang w:bidi="ar"/>
                <w14:textFill>
                  <w14:solidFill>
                    <w14:schemeClr w14:val="tx1"/>
                  </w14:solidFill>
                </w14:textFill>
              </w:rPr>
              <w:t>公司持续加大研发投入，通过加强技术创新、提升产品性能、丰富产品品类等多方面举措不断提升市场份额及核心竞争力。</w:t>
            </w:r>
          </w:p>
          <w:p w14:paraId="1A987524">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lang w:val="en-US" w:eastAsia="zh-CN" w:bidi="ar"/>
              </w:rPr>
            </w:pPr>
            <w:r>
              <w:rPr>
                <w:rFonts w:hint="default" w:ascii="Times New Roman" w:hAnsi="Times New Roman" w:cs="Times New Roman" w:eastAsiaTheme="minorEastAsia"/>
                <w:b/>
                <w:szCs w:val="21"/>
                <w:lang w:val="en-US" w:eastAsia="zh-CN" w:bidi="ar"/>
              </w:rPr>
              <w:t>问题</w:t>
            </w:r>
            <w:r>
              <w:rPr>
                <w:rFonts w:hint="eastAsia" w:ascii="Times New Roman" w:hAnsi="Times New Roman" w:cs="Times New Roman"/>
                <w:b/>
                <w:szCs w:val="21"/>
                <w:lang w:val="en-US" w:eastAsia="zh-CN" w:bidi="ar"/>
              </w:rPr>
              <w:t>8</w:t>
            </w:r>
            <w:r>
              <w:rPr>
                <w:rFonts w:hint="default" w:ascii="Times New Roman" w:hAnsi="Times New Roman" w:cs="Times New Roman" w:eastAsiaTheme="minorEastAsia"/>
                <w:b/>
                <w:szCs w:val="21"/>
                <w:lang w:val="en-US" w:eastAsia="zh-CN" w:bidi="ar"/>
              </w:rPr>
              <w:t>：公司的蓝光材料开发进展如何？</w:t>
            </w:r>
          </w:p>
          <w:p w14:paraId="2DE889C2">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color w:val="000000" w:themeColor="text1"/>
                <w:lang w:val="en-US" w:eastAsia="zh-CN" w:bidi="ar"/>
                <w14:textFill>
                  <w14:solidFill>
                    <w14:schemeClr w14:val="tx1"/>
                  </w14:solidFill>
                </w14:textFill>
              </w:rPr>
            </w:pPr>
            <w:r>
              <w:rPr>
                <w:rFonts w:hint="default" w:ascii="Times New Roman" w:hAnsi="Times New Roman" w:cs="Times New Roman" w:eastAsiaTheme="minorEastAsia"/>
                <w:color w:val="000000" w:themeColor="text1"/>
                <w:lang w:val="en-US" w:eastAsia="zh-CN" w:bidi="ar"/>
                <w14:textFill>
                  <w14:solidFill>
                    <w14:schemeClr w14:val="tx1"/>
                  </w14:solidFill>
                </w14:textFill>
              </w:rPr>
              <w:t>答：公司持续推进蓝光系列材料的自主研发，同时与客户联合进行蓝色磷光技术的产业化推进，共同加速蓝光材料的国产化进程。目前已有产品在客户端验证，同时新产品也在持续开发中。</w:t>
            </w:r>
          </w:p>
          <w:p w14:paraId="69091A94">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lang w:val="en-US" w:eastAsia="zh-CN" w:bidi="ar"/>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9</w:t>
            </w:r>
            <w:r>
              <w:rPr>
                <w:rFonts w:hint="eastAsia" w:ascii="Times New Roman" w:hAnsi="Times New Roman" w:cs="Times New Roman"/>
                <w:b/>
                <w:szCs w:val="21"/>
                <w:lang w:eastAsia="zh-CN" w:bidi="ar"/>
              </w:rPr>
              <w:t>：</w:t>
            </w:r>
            <w:r>
              <w:rPr>
                <w:rFonts w:hint="default" w:ascii="Times New Roman" w:hAnsi="Times New Roman" w:cs="Times New Roman" w:eastAsiaTheme="minorEastAsia"/>
                <w:b/>
                <w:szCs w:val="21"/>
                <w:lang w:bidi="ar"/>
              </w:rPr>
              <w:t>公司OLED终端材料产品价格变化如何</w:t>
            </w:r>
            <w:r>
              <w:rPr>
                <w:rFonts w:hint="default" w:ascii="Times New Roman" w:hAnsi="Times New Roman" w:cs="Times New Roman" w:eastAsiaTheme="minorEastAsia"/>
                <w:b/>
                <w:szCs w:val="21"/>
                <w:lang w:eastAsia="zh-CN" w:bidi="ar"/>
              </w:rPr>
              <w:t>？</w:t>
            </w:r>
          </w:p>
          <w:p w14:paraId="5BDD5CF8">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color w:val="000000" w:themeColor="text1"/>
                <w:lang w:val="en-US" w:eastAsia="zh-CN" w:bidi="ar"/>
                <w14:textFill>
                  <w14:solidFill>
                    <w14:schemeClr w14:val="tx1"/>
                  </w14:solidFill>
                </w14:textFill>
              </w:rPr>
            </w:pPr>
            <w:r>
              <w:rPr>
                <w:rFonts w:hint="default" w:ascii="Times New Roman" w:hAnsi="Times New Roman" w:cs="Times New Roman" w:eastAsiaTheme="minorEastAsia"/>
                <w:color w:val="000000" w:themeColor="text1"/>
                <w:lang w:val="en-US" w:eastAsia="zh-CN" w:bidi="ar"/>
                <w14:textFill>
                  <w14:solidFill>
                    <w14:schemeClr w14:val="tx1"/>
                  </w14:solidFill>
                </w14:textFill>
              </w:rPr>
              <w:t>答：公司OLED终端材料老产品价格虽逐年有一定比例下降，但因一款材料的供货周期通常为三年左右，而在此期间公司通过持续升级迭代推出的新产品在材料性能方面有所提升，相比老产品的价格较好，从而减少老产品价格下降的影响。公司拥有OLED升华工厂及精细化学合成工厂，形成了“OLED中间体—OLED升华前材料—OLED终端材料”的一体化生产能力，凭借全产业链优势持续进行工艺优化，有效降低生产成本，持续增强公司产品的市场竞争力。</w:t>
            </w:r>
          </w:p>
          <w:p w14:paraId="73EB02C6">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lang w:val="en-US" w:bidi="ar"/>
              </w:rPr>
            </w:pPr>
            <w:r>
              <w:rPr>
                <w:rFonts w:hint="eastAsia" w:ascii="Times New Roman" w:hAnsi="Times New Roman" w:cs="Times New Roman" w:eastAsiaTheme="minorEastAsia"/>
                <w:b/>
                <w:szCs w:val="21"/>
                <w:lang w:val="en-US" w:eastAsia="zh-CN" w:bidi="ar"/>
              </w:rPr>
              <w:t>问题10：公司</w:t>
            </w:r>
            <w:r>
              <w:rPr>
                <w:rFonts w:hint="default" w:ascii="Times New Roman" w:hAnsi="Times New Roman" w:cs="Times New Roman" w:eastAsiaTheme="minorEastAsia"/>
                <w:b/>
                <w:szCs w:val="21"/>
                <w:lang w:val="en-US" w:eastAsia="zh-CN" w:bidi="ar"/>
              </w:rPr>
              <w:t>OLED</w:t>
            </w:r>
            <w:r>
              <w:rPr>
                <w:rFonts w:hint="eastAsia" w:ascii="Times New Roman" w:hAnsi="Times New Roman" w:cs="Times New Roman" w:eastAsiaTheme="minorEastAsia"/>
                <w:b/>
                <w:szCs w:val="21"/>
                <w:lang w:val="en-US" w:eastAsia="zh-CN" w:bidi="ar"/>
              </w:rPr>
              <w:t>终端材料的产能规划？</w:t>
            </w:r>
          </w:p>
          <w:p w14:paraId="370D3430">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color w:val="000000" w:themeColor="text1"/>
                <w:lang w:val="en-US" w:eastAsia="zh-CN" w:bidi="ar"/>
                <w14:textFill>
                  <w14:solidFill>
                    <w14:schemeClr w14:val="tx1"/>
                  </w14:solidFill>
                </w14:textFill>
              </w:rPr>
            </w:pPr>
            <w:r>
              <w:rPr>
                <w:rFonts w:hint="eastAsia" w:ascii="Times New Roman" w:hAnsi="Times New Roman" w:cs="Times New Roman" w:eastAsiaTheme="minorEastAsia"/>
                <w:color w:val="000000" w:themeColor="text1"/>
                <w:lang w:val="en-US" w:eastAsia="zh-CN" w:bidi="ar"/>
                <w14:textFill>
                  <w14:solidFill>
                    <w14:schemeClr w14:val="tx1"/>
                  </w14:solidFill>
                </w14:textFill>
              </w:rPr>
              <w:t>答：目前公司</w:t>
            </w:r>
            <w:r>
              <w:rPr>
                <w:rFonts w:hint="default" w:ascii="Times New Roman" w:hAnsi="Times New Roman" w:cs="Times New Roman" w:eastAsiaTheme="minorEastAsia"/>
                <w:color w:val="000000" w:themeColor="text1"/>
                <w:lang w:val="en-US" w:eastAsia="zh-CN" w:bidi="ar"/>
                <w14:textFill>
                  <w14:solidFill>
                    <w14:schemeClr w14:val="tx1"/>
                  </w14:solidFill>
                </w14:textFill>
              </w:rPr>
              <w:t>OLED</w:t>
            </w:r>
            <w:r>
              <w:rPr>
                <w:rFonts w:hint="eastAsia" w:ascii="Times New Roman" w:hAnsi="Times New Roman" w:cs="Times New Roman" w:eastAsiaTheme="minorEastAsia"/>
                <w:color w:val="000000" w:themeColor="text1"/>
                <w:lang w:val="en-US" w:eastAsia="zh-CN" w:bidi="ar"/>
                <w14:textFill>
                  <w14:solidFill>
                    <w14:schemeClr w14:val="tx1"/>
                  </w14:solidFill>
                </w14:textFill>
              </w:rPr>
              <w:t>终端材料产能</w:t>
            </w:r>
            <w:r>
              <w:rPr>
                <w:rFonts w:hint="default" w:ascii="Times New Roman" w:hAnsi="Times New Roman" w:cs="Times New Roman" w:eastAsiaTheme="minorEastAsia"/>
                <w:color w:val="000000" w:themeColor="text1"/>
                <w:lang w:val="en-US" w:eastAsia="zh-CN" w:bidi="ar"/>
                <w14:textFill>
                  <w14:solidFill>
                    <w14:schemeClr w14:val="tx1"/>
                  </w14:solidFill>
                </w14:textFill>
              </w:rPr>
              <w:t>12</w:t>
            </w:r>
            <w:r>
              <w:rPr>
                <w:rFonts w:hint="eastAsia" w:ascii="Times New Roman" w:hAnsi="Times New Roman" w:cs="Times New Roman" w:eastAsiaTheme="minorEastAsia"/>
                <w:color w:val="000000" w:themeColor="text1"/>
                <w:lang w:val="en-US" w:eastAsia="zh-CN" w:bidi="ar"/>
                <w14:textFill>
                  <w14:solidFill>
                    <w14:schemeClr w14:val="tx1"/>
                  </w14:solidFill>
                </w14:textFill>
              </w:rPr>
              <w:t>吨</w:t>
            </w:r>
            <w:r>
              <w:rPr>
                <w:rFonts w:hint="default" w:ascii="Times New Roman" w:hAnsi="Times New Roman" w:cs="Times New Roman" w:eastAsiaTheme="minorEastAsia"/>
                <w:color w:val="000000" w:themeColor="text1"/>
                <w:lang w:val="en-US" w:eastAsia="zh-CN" w:bidi="ar"/>
                <w14:textFill>
                  <w14:solidFill>
                    <w14:schemeClr w14:val="tx1"/>
                  </w14:solidFill>
                </w14:textFill>
              </w:rPr>
              <w:t>/</w:t>
            </w:r>
            <w:r>
              <w:rPr>
                <w:rFonts w:hint="eastAsia" w:ascii="Times New Roman" w:hAnsi="Times New Roman" w:cs="Times New Roman" w:eastAsiaTheme="minorEastAsia"/>
                <w:color w:val="000000" w:themeColor="text1"/>
                <w:lang w:val="en-US" w:eastAsia="zh-CN" w:bidi="ar"/>
                <w14:textFill>
                  <w14:solidFill>
                    <w14:schemeClr w14:val="tx1"/>
                  </w14:solidFill>
                </w14:textFill>
              </w:rPr>
              <w:t>年。公司募投项目“</w:t>
            </w:r>
            <w:r>
              <w:rPr>
                <w:rFonts w:hint="default" w:ascii="Times New Roman" w:hAnsi="Times New Roman" w:cs="Times New Roman" w:eastAsiaTheme="minorEastAsia"/>
                <w:color w:val="000000" w:themeColor="text1"/>
                <w:lang w:val="en-US" w:eastAsia="zh-CN" w:bidi="ar"/>
                <w14:textFill>
                  <w14:solidFill>
                    <w14:schemeClr w14:val="tx1"/>
                  </w14:solidFill>
                </w14:textFill>
              </w:rPr>
              <w:t>OLED</w:t>
            </w:r>
            <w:r>
              <w:rPr>
                <w:rFonts w:hint="eastAsia" w:ascii="Times New Roman" w:hAnsi="Times New Roman" w:cs="Times New Roman" w:eastAsiaTheme="minorEastAsia"/>
                <w:color w:val="000000" w:themeColor="text1"/>
                <w:lang w:val="en-US" w:eastAsia="zh-CN" w:bidi="ar"/>
                <w14:textFill>
                  <w14:solidFill>
                    <w14:schemeClr w14:val="tx1"/>
                  </w14:solidFill>
                </w14:textFill>
              </w:rPr>
              <w:t>终端材料研发及产业化项目”部分生产及检测设备已完成安装调试及验收，达到预定可使用状态，后续公司将继续采用边建设边投用的原则，根据市场需求情况有序进行产能释放，确保及时完成客户订单交付。</w:t>
            </w:r>
          </w:p>
        </w:tc>
      </w:tr>
      <w:tr w14:paraId="0664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83768C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是否涉及应当披露重大信息</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4AABA313">
            <w:pPr>
              <w:keepNext w:val="0"/>
              <w:keepLines w:val="0"/>
              <w:widowControl/>
              <w:suppressLineNumbers w:val="0"/>
              <w:spacing w:before="156" w:beforeLines="50" w:beforeAutospacing="0" w:after="156" w:afterLines="50" w:afterAutospacing="0" w:line="360" w:lineRule="auto"/>
              <w:ind w:left="0" w:right="0"/>
              <w:jc w:val="left"/>
              <w:rPr>
                <w:rFonts w:hint="default" w:ascii="Times New Roman" w:hAnsi="Times New Roman" w:cs="Times New Roman"/>
                <w:sz w:val="24"/>
                <w:szCs w:val="22"/>
              </w:rPr>
            </w:pPr>
            <w:r>
              <w:rPr>
                <w:rFonts w:hint="default" w:ascii="Times New Roman" w:hAnsi="Times New Roman" w:cs="Times New Roman"/>
                <w:sz w:val="24"/>
                <w:szCs w:val="22"/>
                <w:lang w:bidi="ar"/>
              </w:rPr>
              <w:t>否</w:t>
            </w:r>
          </w:p>
        </w:tc>
      </w:tr>
      <w:tr w14:paraId="4DD0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386BBC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附件清单（如有）</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3A337049">
            <w:pPr>
              <w:keepNext w:val="0"/>
              <w:keepLines w:val="0"/>
              <w:widowControl/>
              <w:suppressLineNumbers w:val="0"/>
              <w:spacing w:before="156" w:beforeLines="50" w:beforeAutospacing="0" w:after="156" w:afterLines="50" w:afterAutospacing="0" w:line="360" w:lineRule="auto"/>
              <w:ind w:left="0" w:right="0"/>
              <w:jc w:val="left"/>
              <w:rPr>
                <w:rFonts w:hint="default" w:ascii="Times New Roman" w:hAnsi="Times New Roman" w:cs="Times New Roman"/>
                <w:sz w:val="24"/>
                <w:szCs w:val="22"/>
              </w:rPr>
            </w:pPr>
            <w:r>
              <w:rPr>
                <w:rFonts w:hint="eastAsia" w:ascii="Times New Roman" w:hAnsi="Times New Roman" w:cs="Times New Roman"/>
                <w:sz w:val="24"/>
              </w:rPr>
              <w:t>无</w:t>
            </w:r>
          </w:p>
        </w:tc>
      </w:tr>
      <w:tr w14:paraId="01B3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43CB19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日期</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687C01F9">
            <w:pPr>
              <w:keepNext w:val="0"/>
              <w:keepLines w:val="0"/>
              <w:widowControl/>
              <w:suppressLineNumbers w:val="0"/>
              <w:spacing w:before="156" w:beforeLines="50" w:beforeAutospacing="0" w:after="156" w:afterLines="50" w:afterAutospacing="0" w:line="360" w:lineRule="auto"/>
              <w:ind w:left="0" w:right="0"/>
              <w:jc w:val="left"/>
              <w:rPr>
                <w:rFonts w:hint="default" w:ascii="Times New Roman" w:hAnsi="Times New Roman" w:cs="Times New Roman"/>
                <w:iCs/>
                <w:sz w:val="24"/>
              </w:rPr>
            </w:pPr>
            <w:r>
              <w:rPr>
                <w:rFonts w:hint="default" w:ascii="Times New Roman" w:hAnsi="Times New Roman" w:cs="Times New Roman"/>
                <w:iCs/>
                <w:sz w:val="24"/>
                <w:lang w:bidi="ar"/>
              </w:rPr>
              <w:t>2024年</w:t>
            </w:r>
            <w:r>
              <w:rPr>
                <w:rFonts w:hint="eastAsia" w:ascii="Times New Roman" w:hAnsi="Times New Roman" w:cs="Times New Roman"/>
                <w:iCs/>
                <w:sz w:val="24"/>
                <w:lang w:bidi="ar"/>
              </w:rPr>
              <w:t>9</w:t>
            </w:r>
            <w:r>
              <w:rPr>
                <w:rFonts w:hint="default" w:ascii="Times New Roman" w:hAnsi="Times New Roman" w:cs="Times New Roman"/>
                <w:iCs/>
                <w:sz w:val="24"/>
                <w:lang w:bidi="ar"/>
              </w:rPr>
              <w:t>月</w:t>
            </w:r>
            <w:r>
              <w:rPr>
                <w:rFonts w:hint="eastAsia" w:ascii="Times New Roman" w:hAnsi="Times New Roman" w:cs="Times New Roman"/>
                <w:iCs/>
                <w:sz w:val="24"/>
                <w:lang w:val="en-US" w:eastAsia="zh-CN" w:bidi="ar"/>
              </w:rPr>
              <w:t>27</w:t>
            </w:r>
            <w:r>
              <w:rPr>
                <w:rFonts w:hint="default" w:ascii="Times New Roman" w:hAnsi="Times New Roman" w:cs="Times New Roman"/>
                <w:iCs/>
                <w:sz w:val="24"/>
                <w:lang w:bidi="ar"/>
              </w:rPr>
              <w:t>日</w:t>
            </w:r>
          </w:p>
        </w:tc>
      </w:tr>
    </w:tbl>
    <w:p w14:paraId="5DD6BAC3"/>
    <w:sectPr>
      <w:pgSz w:w="11906" w:h="16838"/>
      <w:pgMar w:top="1135" w:right="1135" w:bottom="851"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2FhNjJiOGQwOGUyOWUxYjBiMDhkMmY4NjgyMzMifQ=="/>
  </w:docVars>
  <w:rsids>
    <w:rsidRoot w:val="7D3F6A40"/>
    <w:rsid w:val="00014F34"/>
    <w:rsid w:val="001A5690"/>
    <w:rsid w:val="001D5AE1"/>
    <w:rsid w:val="00403FC0"/>
    <w:rsid w:val="005E6AC1"/>
    <w:rsid w:val="007E2B05"/>
    <w:rsid w:val="008D3EC4"/>
    <w:rsid w:val="00900F61"/>
    <w:rsid w:val="009222A0"/>
    <w:rsid w:val="00B66372"/>
    <w:rsid w:val="00BA7AC1"/>
    <w:rsid w:val="00D96368"/>
    <w:rsid w:val="00ED4AFD"/>
    <w:rsid w:val="00FD7871"/>
    <w:rsid w:val="010A478A"/>
    <w:rsid w:val="02541247"/>
    <w:rsid w:val="0323299A"/>
    <w:rsid w:val="04272054"/>
    <w:rsid w:val="043A7135"/>
    <w:rsid w:val="04473A61"/>
    <w:rsid w:val="04675A50"/>
    <w:rsid w:val="06D117C2"/>
    <w:rsid w:val="099B0DDB"/>
    <w:rsid w:val="0B1C57E6"/>
    <w:rsid w:val="0CE7793C"/>
    <w:rsid w:val="0EFB10E3"/>
    <w:rsid w:val="0F6239E3"/>
    <w:rsid w:val="13256902"/>
    <w:rsid w:val="13906D71"/>
    <w:rsid w:val="17153540"/>
    <w:rsid w:val="19B11C10"/>
    <w:rsid w:val="1A2D4791"/>
    <w:rsid w:val="1AF8344E"/>
    <w:rsid w:val="1EDE4042"/>
    <w:rsid w:val="1FD57CEC"/>
    <w:rsid w:val="21E7182E"/>
    <w:rsid w:val="22A0514C"/>
    <w:rsid w:val="22DE1A64"/>
    <w:rsid w:val="231855DA"/>
    <w:rsid w:val="241C08E3"/>
    <w:rsid w:val="250963F9"/>
    <w:rsid w:val="28BF3100"/>
    <w:rsid w:val="29DF00B4"/>
    <w:rsid w:val="2CAE7E10"/>
    <w:rsid w:val="2D74208E"/>
    <w:rsid w:val="30136908"/>
    <w:rsid w:val="30906284"/>
    <w:rsid w:val="31877D2A"/>
    <w:rsid w:val="320B17DC"/>
    <w:rsid w:val="33890C8F"/>
    <w:rsid w:val="34E7385A"/>
    <w:rsid w:val="384E6445"/>
    <w:rsid w:val="39024293"/>
    <w:rsid w:val="39D505B7"/>
    <w:rsid w:val="3BFB29B6"/>
    <w:rsid w:val="3DC4604C"/>
    <w:rsid w:val="3E8B6203"/>
    <w:rsid w:val="3F7A3611"/>
    <w:rsid w:val="40B57568"/>
    <w:rsid w:val="411B5E76"/>
    <w:rsid w:val="41F32814"/>
    <w:rsid w:val="42B35204"/>
    <w:rsid w:val="44896D41"/>
    <w:rsid w:val="453B7EEF"/>
    <w:rsid w:val="48E33FCD"/>
    <w:rsid w:val="4CAE1A3B"/>
    <w:rsid w:val="4CBD1C7E"/>
    <w:rsid w:val="4D935DE7"/>
    <w:rsid w:val="4DF27705"/>
    <w:rsid w:val="4E0443E2"/>
    <w:rsid w:val="4F032DAB"/>
    <w:rsid w:val="4F74529B"/>
    <w:rsid w:val="500C48C5"/>
    <w:rsid w:val="50AB5B8D"/>
    <w:rsid w:val="51424597"/>
    <w:rsid w:val="51D51818"/>
    <w:rsid w:val="522D51B0"/>
    <w:rsid w:val="534A4DE6"/>
    <w:rsid w:val="535B2AB3"/>
    <w:rsid w:val="54270FD0"/>
    <w:rsid w:val="556A04C9"/>
    <w:rsid w:val="58445001"/>
    <w:rsid w:val="58E41E11"/>
    <w:rsid w:val="5E6617A9"/>
    <w:rsid w:val="61AF3E33"/>
    <w:rsid w:val="62EF4CE6"/>
    <w:rsid w:val="63AC47EB"/>
    <w:rsid w:val="64DE67DD"/>
    <w:rsid w:val="664A412A"/>
    <w:rsid w:val="66FD69BF"/>
    <w:rsid w:val="68264723"/>
    <w:rsid w:val="68817BAC"/>
    <w:rsid w:val="6B3F780D"/>
    <w:rsid w:val="6B781775"/>
    <w:rsid w:val="6D716441"/>
    <w:rsid w:val="6D9D7236"/>
    <w:rsid w:val="6F3A0074"/>
    <w:rsid w:val="7783749C"/>
    <w:rsid w:val="77A26E17"/>
    <w:rsid w:val="78017C21"/>
    <w:rsid w:val="78BC70D8"/>
    <w:rsid w:val="79825A2C"/>
    <w:rsid w:val="7B1D19B6"/>
    <w:rsid w:val="7C3A1801"/>
    <w:rsid w:val="7D3F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paragraph" w:styleId="6">
    <w:name w:val="List Paragraph"/>
    <w:basedOn w:val="1"/>
    <w:qFormat/>
    <w:uiPriority w:val="34"/>
    <w:pPr>
      <w:ind w:firstLine="420" w:firstLineChars="200"/>
    </w:pPr>
  </w:style>
  <w:style w:type="character" w:customStyle="1" w:styleId="7">
    <w:name w:val="font11"/>
    <w:basedOn w:val="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2692</Words>
  <Characters>2987</Characters>
  <Lines>19</Lines>
  <Paragraphs>5</Paragraphs>
  <TotalTime>40</TotalTime>
  <ScaleCrop>false</ScaleCrop>
  <LinksUpToDate>false</LinksUpToDate>
  <CharactersWithSpaces>3124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2024-08-20T03:50:00Z</dcterms:created>
  <dc:creator>张尊睿</dc:creator>
  <cp:lastModifiedBy>张尊睿</cp:lastModifiedBy>
  <dcterms:modified xsi:type="dcterms:W3CDTF">2024-09-27T09:39:22Z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3524EB01FA804AA7BD35D6AB75615F9A_13</vt:lpwstr>
  </property>
</Properties>
</file>