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4824C" w14:textId="77777777" w:rsidR="00A93D9B"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3017931A" w14:textId="77777777" w:rsidR="00A93D9B"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13730FBC" w14:textId="77777777" w:rsidR="00A93D9B"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402F571E" w14:textId="77777777" w:rsidR="00A93D9B"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024-IR-0</w:t>
      </w:r>
      <w:r>
        <w:rPr>
          <w:rFonts w:ascii="Times New Roman" w:hAnsi="Times New Roman" w:hint="eastAsia"/>
        </w:rPr>
        <w:t>11</w:t>
      </w:r>
    </w:p>
    <w:tbl>
      <w:tblPr>
        <w:tblStyle w:val="af"/>
        <w:tblW w:w="8359" w:type="dxa"/>
        <w:jc w:val="center"/>
        <w:tblLayout w:type="fixed"/>
        <w:tblLook w:val="04A0" w:firstRow="1" w:lastRow="0" w:firstColumn="1" w:lastColumn="0" w:noHBand="0" w:noVBand="1"/>
      </w:tblPr>
      <w:tblGrid>
        <w:gridCol w:w="1832"/>
        <w:gridCol w:w="6527"/>
      </w:tblGrid>
      <w:tr w:rsidR="00A93D9B" w14:paraId="1290D6BF" w14:textId="77777777">
        <w:trPr>
          <w:jc w:val="center"/>
        </w:trPr>
        <w:tc>
          <w:tcPr>
            <w:tcW w:w="1832" w:type="dxa"/>
          </w:tcPr>
          <w:p w14:paraId="732E0019" w14:textId="77777777" w:rsidR="00A93D9B"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527" w:type="dxa"/>
          </w:tcPr>
          <w:p w14:paraId="46C6B5FE" w14:textId="77777777" w:rsidR="00A93D9B" w:rsidRDefault="00000000">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5040B54D" w14:textId="77777777" w:rsidR="00A93D9B"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5D78379E" w14:textId="77777777" w:rsidR="00A93D9B"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67FA90C5" w14:textId="77777777" w:rsidR="00A93D9B"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A93D9B" w14:paraId="72426315" w14:textId="77777777">
        <w:trPr>
          <w:jc w:val="center"/>
        </w:trPr>
        <w:tc>
          <w:tcPr>
            <w:tcW w:w="1832" w:type="dxa"/>
          </w:tcPr>
          <w:p w14:paraId="598B168E" w14:textId="77777777" w:rsidR="00A93D9B"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527" w:type="dxa"/>
          </w:tcPr>
          <w:p w14:paraId="47ED3621" w14:textId="54BEAD6E" w:rsidR="00A93D9B" w:rsidRDefault="00DE1B4C">
            <w:pPr>
              <w:spacing w:beforeLines="50" w:before="156" w:afterLines="50" w:after="156"/>
              <w:rPr>
                <w:rFonts w:ascii="Times New Roman" w:hAnsi="Times New Roman" w:cs="Times New Roman"/>
              </w:rPr>
            </w:pPr>
            <w:r w:rsidRPr="00DE1B4C">
              <w:rPr>
                <w:rFonts w:ascii="Times New Roman" w:hAnsi="Times New Roman" w:cs="Times New Roman" w:hint="eastAsia"/>
              </w:rPr>
              <w:t>海南华银天夏</w:t>
            </w:r>
            <w:r>
              <w:rPr>
                <w:rFonts w:ascii="Times New Roman" w:hAnsi="Times New Roman" w:cs="Times New Roman" w:hint="eastAsia"/>
              </w:rPr>
              <w:t>、</w:t>
            </w:r>
            <w:r w:rsidRPr="00DE1B4C">
              <w:rPr>
                <w:rFonts w:ascii="Times New Roman" w:hAnsi="Times New Roman" w:cs="Times New Roman" w:hint="eastAsia"/>
              </w:rPr>
              <w:t>广东天运</w:t>
            </w:r>
            <w:r>
              <w:rPr>
                <w:rFonts w:ascii="Times New Roman" w:hAnsi="Times New Roman" w:cs="Times New Roman" w:hint="eastAsia"/>
              </w:rPr>
              <w:t>、</w:t>
            </w:r>
            <w:r w:rsidRPr="00DE1B4C">
              <w:rPr>
                <w:rFonts w:ascii="Times New Roman" w:hAnsi="Times New Roman" w:cs="Times New Roman" w:hint="eastAsia"/>
              </w:rPr>
              <w:t>广东冠丰</w:t>
            </w:r>
            <w:r>
              <w:rPr>
                <w:rFonts w:ascii="Times New Roman" w:hAnsi="Times New Roman" w:cs="Times New Roman" w:hint="eastAsia"/>
              </w:rPr>
              <w:t>、</w:t>
            </w:r>
            <w:r w:rsidRPr="00DE1B4C">
              <w:rPr>
                <w:rFonts w:ascii="Times New Roman" w:hAnsi="Times New Roman" w:cs="Times New Roman" w:hint="eastAsia"/>
              </w:rPr>
              <w:t>中大情</w:t>
            </w:r>
            <w:r>
              <w:rPr>
                <w:rFonts w:ascii="Times New Roman" w:hAnsi="Times New Roman" w:cs="Times New Roman" w:hint="eastAsia"/>
              </w:rPr>
              <w:t>、</w:t>
            </w:r>
            <w:r w:rsidRPr="00DE1B4C">
              <w:rPr>
                <w:rFonts w:ascii="Times New Roman" w:hAnsi="Times New Roman" w:cs="Times New Roman" w:hint="eastAsia"/>
              </w:rPr>
              <w:t>前海畅誉</w:t>
            </w:r>
            <w:r>
              <w:rPr>
                <w:rFonts w:ascii="Times New Roman" w:hAnsi="Times New Roman" w:cs="Times New Roman" w:hint="eastAsia"/>
              </w:rPr>
              <w:t>、</w:t>
            </w:r>
            <w:r w:rsidRPr="00DE1B4C">
              <w:rPr>
                <w:rFonts w:ascii="Times New Roman" w:hAnsi="Times New Roman" w:cs="Times New Roman" w:hint="eastAsia"/>
              </w:rPr>
              <w:t>广东圆澄</w:t>
            </w:r>
            <w:r>
              <w:rPr>
                <w:rFonts w:ascii="Times New Roman" w:hAnsi="Times New Roman" w:cs="Times New Roman" w:hint="eastAsia"/>
              </w:rPr>
              <w:t>、</w:t>
            </w:r>
            <w:r w:rsidRPr="00DE1B4C">
              <w:rPr>
                <w:rFonts w:ascii="Times New Roman" w:hAnsi="Times New Roman" w:cs="Times New Roman" w:hint="eastAsia"/>
              </w:rPr>
              <w:t>广州云</w:t>
            </w:r>
            <w:proofErr w:type="gramStart"/>
            <w:r w:rsidRPr="00DE1B4C">
              <w:rPr>
                <w:rFonts w:ascii="Times New Roman" w:hAnsi="Times New Roman" w:cs="Times New Roman" w:hint="eastAsia"/>
              </w:rPr>
              <w:t>禧</w:t>
            </w:r>
            <w:proofErr w:type="gramEnd"/>
            <w:r>
              <w:rPr>
                <w:rFonts w:ascii="Times New Roman" w:hAnsi="Times New Roman" w:cs="Times New Roman" w:hint="eastAsia"/>
              </w:rPr>
              <w:t>、</w:t>
            </w:r>
            <w:r w:rsidRPr="00DE1B4C">
              <w:rPr>
                <w:rFonts w:ascii="Times New Roman" w:hAnsi="Times New Roman" w:cs="Times New Roman" w:hint="eastAsia"/>
              </w:rPr>
              <w:t>珠海汇宽</w:t>
            </w:r>
            <w:r>
              <w:rPr>
                <w:rFonts w:ascii="Times New Roman" w:hAnsi="Times New Roman" w:cs="Times New Roman" w:hint="eastAsia"/>
              </w:rPr>
              <w:t>、</w:t>
            </w:r>
            <w:r w:rsidRPr="00DE1B4C">
              <w:rPr>
                <w:rFonts w:ascii="Times New Roman" w:hAnsi="Times New Roman" w:cs="Times New Roman" w:hint="eastAsia"/>
              </w:rPr>
              <w:t>广州华天</w:t>
            </w:r>
            <w:r>
              <w:rPr>
                <w:rFonts w:ascii="Times New Roman" w:hAnsi="Times New Roman" w:cs="Times New Roman" w:hint="eastAsia"/>
              </w:rPr>
              <w:t>、</w:t>
            </w:r>
            <w:r w:rsidRPr="00DE1B4C">
              <w:rPr>
                <w:rFonts w:ascii="Times New Roman" w:hAnsi="Times New Roman" w:cs="Times New Roman" w:hint="eastAsia"/>
              </w:rPr>
              <w:t>东方财富证券</w:t>
            </w:r>
            <w:r>
              <w:rPr>
                <w:rFonts w:ascii="Times New Roman" w:hAnsi="Times New Roman" w:cs="Times New Roman" w:hint="eastAsia"/>
              </w:rPr>
              <w:t>、</w:t>
            </w:r>
            <w:proofErr w:type="gramStart"/>
            <w:r>
              <w:rPr>
                <w:rFonts w:ascii="Times New Roman" w:hAnsi="Times New Roman" w:cs="Times New Roman" w:hint="eastAsia"/>
              </w:rPr>
              <w:t>青岛玖喜</w:t>
            </w:r>
            <w:proofErr w:type="gramEnd"/>
          </w:p>
        </w:tc>
      </w:tr>
      <w:tr w:rsidR="00A93D9B" w14:paraId="750EBA90" w14:textId="77777777">
        <w:trPr>
          <w:jc w:val="center"/>
        </w:trPr>
        <w:tc>
          <w:tcPr>
            <w:tcW w:w="1832" w:type="dxa"/>
          </w:tcPr>
          <w:p w14:paraId="77E00753" w14:textId="77777777" w:rsidR="00A93D9B" w:rsidRDefault="00000000">
            <w:pPr>
              <w:spacing w:beforeLines="50" w:before="156" w:afterLines="50" w:after="156"/>
              <w:rPr>
                <w:rFonts w:ascii="Times New Roman" w:hAnsi="Times New Roman"/>
              </w:rPr>
            </w:pPr>
            <w:r>
              <w:rPr>
                <w:rFonts w:ascii="Times New Roman" w:hAnsi="Times New Roman" w:hint="eastAsia"/>
              </w:rPr>
              <w:t>时间</w:t>
            </w:r>
          </w:p>
        </w:tc>
        <w:tc>
          <w:tcPr>
            <w:tcW w:w="6527" w:type="dxa"/>
          </w:tcPr>
          <w:p w14:paraId="6885EE2A" w14:textId="77777777" w:rsidR="00A93D9B"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rPr>
              <w:t>0</w:t>
            </w:r>
            <w:r>
              <w:rPr>
                <w:rFonts w:ascii="Times New Roman" w:hAnsi="Times New Roman" w:hint="eastAsia"/>
              </w:rPr>
              <w:t>9</w:t>
            </w:r>
            <w:r>
              <w:rPr>
                <w:rFonts w:ascii="Times New Roman" w:hAnsi="Times New Roman"/>
              </w:rPr>
              <w:t>月</w:t>
            </w:r>
            <w:r>
              <w:rPr>
                <w:rFonts w:ascii="Times New Roman" w:hAnsi="Times New Roman" w:hint="eastAsia"/>
              </w:rPr>
              <w:t>26</w:t>
            </w:r>
            <w:r>
              <w:rPr>
                <w:rFonts w:ascii="Times New Roman" w:hAnsi="Times New Roman"/>
              </w:rPr>
              <w:t>日</w:t>
            </w:r>
          </w:p>
        </w:tc>
      </w:tr>
      <w:tr w:rsidR="00A93D9B" w14:paraId="73761FFD" w14:textId="77777777">
        <w:trPr>
          <w:jc w:val="center"/>
        </w:trPr>
        <w:tc>
          <w:tcPr>
            <w:tcW w:w="1832" w:type="dxa"/>
          </w:tcPr>
          <w:p w14:paraId="51182970" w14:textId="77777777" w:rsidR="00A93D9B" w:rsidRDefault="00000000">
            <w:pPr>
              <w:spacing w:beforeLines="50" w:before="156" w:afterLines="50" w:after="156"/>
              <w:rPr>
                <w:rFonts w:ascii="Times New Roman" w:hAnsi="Times New Roman"/>
              </w:rPr>
            </w:pPr>
            <w:r>
              <w:rPr>
                <w:rFonts w:ascii="Times New Roman" w:hAnsi="Times New Roman" w:hint="eastAsia"/>
              </w:rPr>
              <w:t>地点</w:t>
            </w:r>
          </w:p>
        </w:tc>
        <w:tc>
          <w:tcPr>
            <w:tcW w:w="6527" w:type="dxa"/>
          </w:tcPr>
          <w:p w14:paraId="26FA82BC" w14:textId="77777777" w:rsidR="00A93D9B" w:rsidRDefault="00000000">
            <w:pPr>
              <w:spacing w:beforeLines="50" w:before="156" w:afterLines="50" w:after="156"/>
              <w:rPr>
                <w:rFonts w:ascii="Times New Roman" w:hAnsi="Times New Roman"/>
              </w:rPr>
            </w:pPr>
            <w:r>
              <w:rPr>
                <w:rFonts w:ascii="Times New Roman" w:hAnsi="Times New Roman" w:hint="eastAsia"/>
              </w:rPr>
              <w:t>广州市黄埔区博文路</w:t>
            </w:r>
            <w:r>
              <w:rPr>
                <w:rFonts w:ascii="Times New Roman" w:hAnsi="Times New Roman" w:hint="eastAsia"/>
              </w:rPr>
              <w:t>107</w:t>
            </w:r>
            <w:r>
              <w:rPr>
                <w:rFonts w:ascii="Times New Roman" w:hAnsi="Times New Roman" w:hint="eastAsia"/>
              </w:rPr>
              <w:t>号安凯微电子</w:t>
            </w:r>
            <w:r>
              <w:rPr>
                <w:rFonts w:ascii="Times New Roman" w:hAnsi="Times New Roman" w:hint="eastAsia"/>
              </w:rPr>
              <w:t>H</w:t>
            </w:r>
            <w:r>
              <w:rPr>
                <w:rFonts w:ascii="Times New Roman" w:hAnsi="Times New Roman" w:hint="eastAsia"/>
              </w:rPr>
              <w:t>大厦</w:t>
            </w:r>
          </w:p>
        </w:tc>
      </w:tr>
      <w:tr w:rsidR="00A93D9B" w14:paraId="284A40DE" w14:textId="77777777">
        <w:trPr>
          <w:jc w:val="center"/>
        </w:trPr>
        <w:tc>
          <w:tcPr>
            <w:tcW w:w="1832" w:type="dxa"/>
          </w:tcPr>
          <w:p w14:paraId="15B627DF" w14:textId="77777777" w:rsidR="00A93D9B"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527" w:type="dxa"/>
          </w:tcPr>
          <w:p w14:paraId="08244C57" w14:textId="77777777" w:rsidR="00A93D9B" w:rsidRDefault="00000000">
            <w:pPr>
              <w:spacing w:beforeLines="50" w:before="156" w:afterLines="50" w:after="156"/>
              <w:rPr>
                <w:rFonts w:ascii="Times New Roman" w:hAnsi="Times New Roman"/>
              </w:rPr>
            </w:pPr>
            <w:r>
              <w:rPr>
                <w:rFonts w:ascii="Times New Roman" w:hAnsi="Times New Roman" w:hint="eastAsia"/>
              </w:rPr>
              <w:t>1</w:t>
            </w:r>
            <w:r>
              <w:rPr>
                <w:rFonts w:ascii="Times New Roman" w:hAnsi="Times New Roman"/>
              </w:rPr>
              <w:t>、</w:t>
            </w: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rPr>
              <w:t xml:space="preserve"> </w:t>
            </w:r>
            <w:r>
              <w:rPr>
                <w:rFonts w:ascii="Times New Roman" w:hAnsi="Times New Roman"/>
              </w:rPr>
              <w:t>李瑾懿</w:t>
            </w:r>
          </w:p>
          <w:p w14:paraId="73914D2A" w14:textId="77777777" w:rsidR="00A93D9B"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A93D9B" w14:paraId="55CA77E9" w14:textId="77777777">
        <w:trPr>
          <w:trHeight w:val="2816"/>
          <w:jc w:val="center"/>
        </w:trPr>
        <w:tc>
          <w:tcPr>
            <w:tcW w:w="1832" w:type="dxa"/>
          </w:tcPr>
          <w:p w14:paraId="43A73AD2" w14:textId="77777777" w:rsidR="00A93D9B"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527" w:type="dxa"/>
          </w:tcPr>
          <w:p w14:paraId="018870A5" w14:textId="77777777" w:rsidR="00A93D9B" w:rsidRDefault="00000000">
            <w:pPr>
              <w:spacing w:beforeLines="50" w:before="156" w:afterLines="50" w:after="156"/>
              <w:rPr>
                <w:rFonts w:ascii="Times New Roman" w:hAnsi="Times New Roman"/>
              </w:rPr>
            </w:pPr>
            <w:r>
              <w:rPr>
                <w:rFonts w:ascii="Times New Roman" w:hAnsi="Times New Roman" w:hint="eastAsia"/>
              </w:rPr>
              <w:t>一、投资者参观公司展厅，了解公司发展历程、主营业务、技术、产品、市场经营等情况。</w:t>
            </w:r>
          </w:p>
          <w:p w14:paraId="6A56220F" w14:textId="77777777" w:rsidR="00A93D9B" w:rsidRDefault="00000000">
            <w:pPr>
              <w:spacing w:beforeLines="50" w:before="156" w:afterLines="50" w:after="156"/>
              <w:rPr>
                <w:rFonts w:ascii="Times New Roman" w:hAnsi="Times New Roman"/>
              </w:rPr>
            </w:pPr>
            <w:r>
              <w:rPr>
                <w:rFonts w:ascii="Times New Roman" w:hAnsi="Times New Roman"/>
              </w:rPr>
              <w:t>二、投资者提出的问题与公司的回复情况</w:t>
            </w:r>
            <w:r>
              <w:rPr>
                <w:rFonts w:ascii="Times New Roman" w:hAnsi="Times New Roman" w:hint="eastAsia"/>
              </w:rPr>
              <w:t>。</w:t>
            </w:r>
          </w:p>
          <w:p w14:paraId="05659B88" w14:textId="77777777" w:rsidR="00A93D9B" w:rsidRDefault="00000000">
            <w:pPr>
              <w:spacing w:beforeLines="50" w:before="156" w:afterLines="50" w:after="156"/>
              <w:rPr>
                <w:rFonts w:ascii="Times New Roman" w:hAnsi="Times New Roman"/>
                <w:b/>
                <w:bCs/>
              </w:rPr>
            </w:pPr>
            <w:r>
              <w:rPr>
                <w:rFonts w:ascii="Times New Roman" w:hAnsi="Times New Roman" w:hint="eastAsia"/>
                <w:b/>
                <w:bCs/>
              </w:rPr>
              <w:t>Q1</w:t>
            </w:r>
            <w:r>
              <w:rPr>
                <w:rFonts w:ascii="Times New Roman" w:hAnsi="Times New Roman" w:hint="eastAsia"/>
                <w:b/>
                <w:bCs/>
              </w:rPr>
              <w:t>：</w:t>
            </w:r>
            <w:r>
              <w:rPr>
                <w:rFonts w:ascii="Times New Roman" w:hAnsi="Times New Roman"/>
                <w:b/>
                <w:bCs/>
              </w:rPr>
              <w:t>公司的研发投入情况如何，未来的研发方向是什么？</w:t>
            </w:r>
          </w:p>
          <w:p w14:paraId="423B9F7A" w14:textId="08036619" w:rsidR="00A93D9B" w:rsidRDefault="00000000">
            <w:pPr>
              <w:spacing w:beforeLines="50" w:before="156" w:afterLines="50" w:after="156"/>
              <w:rPr>
                <w:rFonts w:ascii="Times New Roman" w:hAnsi="Times New Roman"/>
              </w:rPr>
            </w:pPr>
            <w:r>
              <w:rPr>
                <w:rFonts w:ascii="Times New Roman" w:hAnsi="Times New Roman" w:hint="eastAsia"/>
              </w:rPr>
              <w:t>A1</w:t>
            </w:r>
            <w:r>
              <w:rPr>
                <w:rFonts w:ascii="Times New Roman" w:hAnsi="Times New Roman" w:hint="eastAsia"/>
              </w:rPr>
              <w:t>：作为一家创新驱动的企业，公司注重长期可持续发展，坚持持续的研发投入，以不断推出有竞争力的产品，巩固市场地位和开拓更多的业务。我们</w:t>
            </w:r>
            <w:r>
              <w:rPr>
                <w:rFonts w:ascii="Times New Roman" w:hAnsi="Times New Roman"/>
              </w:rPr>
              <w:t>看好</w:t>
            </w:r>
            <w:r>
              <w:rPr>
                <w:rFonts w:ascii="Times New Roman" w:hAnsi="Times New Roman" w:hint="eastAsia"/>
              </w:rPr>
              <w:t>人工智能发展</w:t>
            </w:r>
            <w:r>
              <w:rPr>
                <w:rFonts w:ascii="Times New Roman" w:hAnsi="Times New Roman"/>
              </w:rPr>
              <w:t>的</w:t>
            </w:r>
            <w:r>
              <w:rPr>
                <w:rFonts w:ascii="Times New Roman" w:hAnsi="Times New Roman" w:hint="eastAsia"/>
              </w:rPr>
              <w:t>大</w:t>
            </w:r>
            <w:r>
              <w:rPr>
                <w:rFonts w:ascii="Times New Roman" w:hAnsi="Times New Roman"/>
              </w:rPr>
              <w:t>趋势</w:t>
            </w:r>
            <w:r>
              <w:rPr>
                <w:rFonts w:ascii="Times New Roman" w:hAnsi="Times New Roman" w:hint="eastAsia"/>
              </w:rPr>
              <w:t>和带来的市场机会</w:t>
            </w:r>
            <w:r>
              <w:rPr>
                <w:rFonts w:ascii="Times New Roman" w:hAnsi="Times New Roman"/>
              </w:rPr>
              <w:t>，</w:t>
            </w:r>
            <w:r>
              <w:rPr>
                <w:rFonts w:ascii="Times New Roman" w:hAnsi="Times New Roman" w:hint="eastAsia"/>
              </w:rPr>
              <w:t>技术创新方面，持续演进在物联网智能硬件等领域的关键技术，如</w:t>
            </w:r>
            <w:r>
              <w:rPr>
                <w:rFonts w:ascii="Times New Roman" w:hAnsi="Times New Roman" w:hint="eastAsia"/>
              </w:rPr>
              <w:t>ISP</w:t>
            </w:r>
            <w:r>
              <w:rPr>
                <w:rFonts w:ascii="Times New Roman" w:hAnsi="Times New Roman" w:hint="eastAsia"/>
              </w:rPr>
              <w:t>、</w:t>
            </w:r>
            <w:r>
              <w:rPr>
                <w:rFonts w:ascii="Times New Roman" w:hAnsi="Times New Roman" w:hint="eastAsia"/>
              </w:rPr>
              <w:t>NPU</w:t>
            </w:r>
            <w:r>
              <w:rPr>
                <w:rFonts w:ascii="Times New Roman" w:hAnsi="Times New Roman" w:hint="eastAsia"/>
              </w:rPr>
              <w:t>、无线通信等，确保芯片研发的核心竞争力、速度和效率，以在预判合适的市场机遇时迅速推出产品并占领市场。公司自研</w:t>
            </w:r>
            <w:r>
              <w:rPr>
                <w:rFonts w:ascii="Times New Roman" w:hAnsi="Times New Roman" w:hint="eastAsia"/>
              </w:rPr>
              <w:t>NPU IP</w:t>
            </w:r>
            <w:r>
              <w:rPr>
                <w:rFonts w:ascii="Times New Roman" w:hAnsi="Times New Roman" w:hint="eastAsia"/>
              </w:rPr>
              <w:t>已经应用在芯片产品中，如物联网摄像机芯片产品，并产生了积极的反响。公司</w:t>
            </w:r>
            <w:r>
              <w:rPr>
                <w:rFonts w:ascii="Times New Roman" w:hAnsi="Times New Roman" w:hint="eastAsia"/>
              </w:rPr>
              <w:t>2024</w:t>
            </w:r>
            <w:r>
              <w:rPr>
                <w:rFonts w:ascii="Times New Roman" w:hAnsi="Times New Roman" w:hint="eastAsia"/>
              </w:rPr>
              <w:t>年</w:t>
            </w:r>
            <w:r>
              <w:rPr>
                <w:rFonts w:ascii="Times New Roman" w:hAnsi="Times New Roman" w:hint="eastAsia"/>
              </w:rPr>
              <w:t>6</w:t>
            </w:r>
            <w:r>
              <w:rPr>
                <w:rFonts w:ascii="Times New Roman" w:hAnsi="Times New Roman" w:hint="eastAsia"/>
              </w:rPr>
              <w:t>月正式发布的孔明二</w:t>
            </w:r>
            <w:proofErr w:type="gramStart"/>
            <w:r>
              <w:rPr>
                <w:rFonts w:ascii="Times New Roman" w:hAnsi="Times New Roman" w:hint="eastAsia"/>
              </w:rPr>
              <w:t>代系列</w:t>
            </w:r>
            <w:proofErr w:type="gramEnd"/>
            <w:r>
              <w:rPr>
                <w:rFonts w:ascii="Times New Roman" w:hAnsi="Times New Roman" w:hint="eastAsia"/>
              </w:rPr>
              <w:t>芯片集成了</w:t>
            </w:r>
            <w:r>
              <w:rPr>
                <w:rFonts w:ascii="Times New Roman" w:hAnsi="Times New Roman" w:hint="eastAsia"/>
              </w:rPr>
              <w:t>2T OPS</w:t>
            </w:r>
            <w:proofErr w:type="gramStart"/>
            <w:r>
              <w:rPr>
                <w:rFonts w:ascii="Times New Roman" w:hAnsi="Times New Roman" w:hint="eastAsia"/>
              </w:rPr>
              <w:t>算力的</w:t>
            </w:r>
            <w:proofErr w:type="gramEnd"/>
            <w:r>
              <w:rPr>
                <w:rFonts w:ascii="Times New Roman" w:hAnsi="Times New Roman" w:hint="eastAsia"/>
              </w:rPr>
              <w:t>NPU</w:t>
            </w:r>
            <w:r>
              <w:rPr>
                <w:rFonts w:ascii="Times New Roman" w:hAnsi="Times New Roman" w:hint="eastAsia"/>
              </w:rPr>
              <w:t>，适用于多种场景和终端产品形态，如</w:t>
            </w:r>
            <w:r>
              <w:rPr>
                <w:rFonts w:ascii="Times New Roman" w:hAnsi="Times New Roman" w:hint="eastAsia"/>
              </w:rPr>
              <w:t>AI</w:t>
            </w:r>
            <w:r>
              <w:rPr>
                <w:rFonts w:ascii="Times New Roman" w:hAnsi="Times New Roman" w:hint="eastAsia"/>
              </w:rPr>
              <w:t>语音隔离对讲产品、声</w:t>
            </w:r>
            <w:r>
              <w:rPr>
                <w:rFonts w:ascii="Times New Roman" w:hAnsi="Times New Roman" w:hint="eastAsia"/>
              </w:rPr>
              <w:lastRenderedPageBreak/>
              <w:t>源定位与跟踪产品、</w:t>
            </w:r>
            <w:proofErr w:type="gramStart"/>
            <w:r>
              <w:rPr>
                <w:rFonts w:ascii="Times New Roman" w:hAnsi="Times New Roman" w:hint="eastAsia"/>
              </w:rPr>
              <w:t>黑光全</w:t>
            </w:r>
            <w:proofErr w:type="gramEnd"/>
            <w:r>
              <w:rPr>
                <w:rFonts w:ascii="Times New Roman" w:hAnsi="Times New Roman" w:hint="eastAsia"/>
              </w:rPr>
              <w:t>彩</w:t>
            </w:r>
            <w:r>
              <w:rPr>
                <w:rFonts w:ascii="Times New Roman" w:hAnsi="Times New Roman" w:hint="eastAsia"/>
              </w:rPr>
              <w:t>AI ISP</w:t>
            </w:r>
            <w:r>
              <w:rPr>
                <w:rFonts w:ascii="Times New Roman" w:hAnsi="Times New Roman" w:hint="eastAsia"/>
              </w:rPr>
              <w:t>产品、</w:t>
            </w:r>
            <w:r>
              <w:rPr>
                <w:rFonts w:ascii="Times New Roman" w:hAnsi="Times New Roman" w:hint="eastAsia"/>
              </w:rPr>
              <w:t>AI</w:t>
            </w:r>
            <w:r>
              <w:rPr>
                <w:rFonts w:ascii="Times New Roman" w:hAnsi="Times New Roman" w:hint="eastAsia"/>
              </w:rPr>
              <w:t>识别产品、鱼眼产品以及各种物联网摄像机产品（分辨率最高达</w:t>
            </w:r>
            <w:r>
              <w:rPr>
                <w:rFonts w:ascii="Times New Roman" w:hAnsi="Times New Roman" w:hint="eastAsia"/>
              </w:rPr>
              <w:t>800</w:t>
            </w:r>
            <w:proofErr w:type="gramStart"/>
            <w:r>
              <w:rPr>
                <w:rFonts w:ascii="Times New Roman" w:hAnsi="Times New Roman" w:hint="eastAsia"/>
              </w:rPr>
              <w:t>万像</w:t>
            </w:r>
            <w:proofErr w:type="gramEnd"/>
            <w:r>
              <w:rPr>
                <w:rFonts w:ascii="Times New Roman" w:hAnsi="Times New Roman" w:hint="eastAsia"/>
              </w:rPr>
              <w:t>素）等。与此同时，</w:t>
            </w:r>
            <w:proofErr w:type="gramStart"/>
            <w:r>
              <w:rPr>
                <w:rFonts w:ascii="Times New Roman" w:hAnsi="Times New Roman" w:hint="eastAsia"/>
              </w:rPr>
              <w:t>从端侧</w:t>
            </w:r>
            <w:proofErr w:type="gramEnd"/>
            <w:r>
              <w:rPr>
                <w:rFonts w:ascii="Times New Roman" w:hAnsi="Times New Roman" w:hint="eastAsia"/>
              </w:rPr>
              <w:t>智能化发展需求和隐私安全等出发，公司积极推进大语言模型和大视觉模型的研发，开发本地化、场景化的中小模型，</w:t>
            </w:r>
            <w:proofErr w:type="gramStart"/>
            <w:r>
              <w:rPr>
                <w:rFonts w:ascii="Times New Roman" w:hAnsi="Times New Roman" w:hint="eastAsia"/>
              </w:rPr>
              <w:t>边端结合</w:t>
            </w:r>
            <w:proofErr w:type="gramEnd"/>
            <w:r>
              <w:rPr>
                <w:rFonts w:ascii="Times New Roman" w:hAnsi="Times New Roman" w:hint="eastAsia"/>
              </w:rPr>
              <w:t>，推动物联网智能硬件的发展。在产品研发方面，公司会继续投入研发，不断丰富完备产品系列，包括物联网摄像机芯片不断向高清化、智能化演进，提高像素分辨率和算力，支持双目及多目的</w:t>
            </w:r>
            <w:r>
              <w:rPr>
                <w:rFonts w:ascii="Times New Roman" w:hAnsi="Times New Roman" w:hint="eastAsia"/>
              </w:rPr>
              <w:t>XR</w:t>
            </w:r>
            <w:r>
              <w:rPr>
                <w:rFonts w:ascii="Times New Roman" w:hAnsi="Times New Roman" w:hint="eastAsia"/>
              </w:rPr>
              <w:t>化趋势，满足客户差异化需求；物联网应用处理器芯片持续向工业级升级，拓展更多应用和市场；智能锁全</w:t>
            </w:r>
            <w:proofErr w:type="gramStart"/>
            <w:r>
              <w:rPr>
                <w:rFonts w:ascii="Times New Roman" w:hAnsi="Times New Roman" w:hint="eastAsia"/>
              </w:rPr>
              <w:t>栈式解决</w:t>
            </w:r>
            <w:proofErr w:type="gramEnd"/>
            <w:r>
              <w:rPr>
                <w:rFonts w:ascii="Times New Roman" w:hAnsi="Times New Roman" w:hint="eastAsia"/>
              </w:rPr>
              <w:t>方案持续优化和升级，覆盖更多用户。同时我们也会积极关注和调研，</w:t>
            </w:r>
            <w:proofErr w:type="gramStart"/>
            <w:r>
              <w:rPr>
                <w:rFonts w:ascii="Times New Roman" w:hAnsi="Times New Roman" w:hint="eastAsia"/>
              </w:rPr>
              <w:t>力图内</w:t>
            </w:r>
            <w:proofErr w:type="gramEnd"/>
            <w:r>
              <w:rPr>
                <w:rFonts w:ascii="Times New Roman" w:hAnsi="Times New Roman" w:hint="eastAsia"/>
              </w:rPr>
              <w:t>生式和外延式发展路径并举，扩展更多的产品线和产品，满足不同客户和细分市场多样化的需求，增加更多业绩增长的可能性。</w:t>
            </w:r>
          </w:p>
          <w:p w14:paraId="0461D235" w14:textId="77777777" w:rsidR="00A93D9B" w:rsidRDefault="00000000">
            <w:pPr>
              <w:spacing w:beforeLines="50" w:before="156" w:afterLines="50" w:after="156"/>
              <w:rPr>
                <w:rFonts w:ascii="Times New Roman" w:hAnsi="Times New Roman"/>
                <w:b/>
                <w:bCs/>
              </w:rPr>
            </w:pPr>
            <w:r>
              <w:rPr>
                <w:rFonts w:ascii="Times New Roman" w:hAnsi="Times New Roman" w:hint="eastAsia"/>
                <w:b/>
                <w:bCs/>
              </w:rPr>
              <w:t>Q2</w:t>
            </w:r>
            <w:r>
              <w:rPr>
                <w:rFonts w:ascii="Times New Roman" w:hAnsi="Times New Roman" w:hint="eastAsia"/>
                <w:b/>
                <w:bCs/>
              </w:rPr>
              <w:t>：公司客户情况？</w:t>
            </w:r>
            <w:r>
              <w:rPr>
                <w:rFonts w:ascii="Times New Roman" w:hAnsi="Times New Roman"/>
                <w:b/>
                <w:bCs/>
              </w:rPr>
              <w:t>公司的产品是否全部在国内销售，海外市场的情况如何？</w:t>
            </w:r>
          </w:p>
          <w:p w14:paraId="37C9E849" w14:textId="77777777" w:rsidR="00A93D9B" w:rsidRDefault="00000000">
            <w:pPr>
              <w:spacing w:beforeLines="50" w:before="156" w:afterLines="50" w:after="156"/>
              <w:rPr>
                <w:rFonts w:ascii="Times New Roman" w:hAnsi="Times New Roman"/>
              </w:rPr>
            </w:pPr>
            <w:r>
              <w:rPr>
                <w:rFonts w:ascii="Times New Roman" w:hAnsi="Times New Roman" w:hint="eastAsia"/>
              </w:rPr>
              <w:t>A2</w:t>
            </w:r>
            <w:r>
              <w:rPr>
                <w:rFonts w:ascii="Times New Roman" w:hAnsi="Times New Roman" w:hint="eastAsia"/>
              </w:rPr>
              <w:t>：在物联网摄像机芯片产品线，合作伙伴主要包括如</w:t>
            </w:r>
            <w:r>
              <w:rPr>
                <w:rFonts w:ascii="Times New Roman" w:hAnsi="Times New Roman" w:hint="eastAsia"/>
              </w:rPr>
              <w:t>TP-LINK</w:t>
            </w:r>
            <w:r>
              <w:rPr>
                <w:rFonts w:ascii="Times New Roman" w:hAnsi="Times New Roman" w:hint="eastAsia"/>
              </w:rPr>
              <w:t>、涂鸦智能、</w:t>
            </w:r>
            <w:r>
              <w:rPr>
                <w:rFonts w:ascii="Times New Roman" w:hAnsi="Times New Roman" w:hint="eastAsia"/>
              </w:rPr>
              <w:t>ROKU</w:t>
            </w:r>
            <w:r>
              <w:rPr>
                <w:rFonts w:ascii="Times New Roman" w:hAnsi="Times New Roman" w:hint="eastAsia"/>
              </w:rPr>
              <w:t>等知名客户直接供应体系，中国移动、中国联通等运营商，以及宏视、九安、</w:t>
            </w:r>
            <w:proofErr w:type="gramStart"/>
            <w:r>
              <w:rPr>
                <w:rFonts w:ascii="Times New Roman" w:hAnsi="Times New Roman" w:hint="eastAsia"/>
              </w:rPr>
              <w:t>技威等</w:t>
            </w:r>
            <w:proofErr w:type="gramEnd"/>
            <w:r>
              <w:rPr>
                <w:rFonts w:ascii="Times New Roman" w:hAnsi="Times New Roman" w:hint="eastAsia"/>
              </w:rPr>
              <w:t>国内外销量兼具规模的本土主力客户。</w:t>
            </w:r>
          </w:p>
          <w:p w14:paraId="57E118BA" w14:textId="77777777" w:rsidR="00A93D9B" w:rsidRDefault="00000000">
            <w:pPr>
              <w:spacing w:beforeLines="50" w:before="156" w:afterLines="50" w:after="156"/>
              <w:rPr>
                <w:rFonts w:ascii="Times New Roman" w:hAnsi="Times New Roman"/>
              </w:rPr>
            </w:pPr>
            <w:r>
              <w:rPr>
                <w:rFonts w:ascii="Times New Roman" w:hAnsi="Times New Roman" w:hint="eastAsia"/>
              </w:rPr>
              <w:t>物联网应用处理器芯片的合作伙伴有如安居宝、</w:t>
            </w:r>
            <w:proofErr w:type="gramStart"/>
            <w:r>
              <w:rPr>
                <w:rFonts w:ascii="Times New Roman" w:hAnsi="Times New Roman" w:hint="eastAsia"/>
              </w:rPr>
              <w:t>熵基科技</w:t>
            </w:r>
            <w:proofErr w:type="gramEnd"/>
            <w:r>
              <w:rPr>
                <w:rFonts w:ascii="Times New Roman" w:hAnsi="Times New Roman" w:hint="eastAsia"/>
              </w:rPr>
              <w:t>、厦门立林、宁波得力、福州冠林、德施曼、凯迪</w:t>
            </w:r>
            <w:proofErr w:type="gramStart"/>
            <w:r>
              <w:rPr>
                <w:rFonts w:ascii="Times New Roman" w:hAnsi="Times New Roman" w:hint="eastAsia"/>
              </w:rPr>
              <w:t>仕</w:t>
            </w:r>
            <w:proofErr w:type="gramEnd"/>
            <w:r>
              <w:rPr>
                <w:rFonts w:ascii="Times New Roman" w:hAnsi="Times New Roman" w:hint="eastAsia"/>
              </w:rPr>
              <w:t>、浙江公牛等知名终端品牌。</w:t>
            </w:r>
          </w:p>
          <w:p w14:paraId="1C1F0BD1" w14:textId="1BAE47C1" w:rsidR="00A93D9B" w:rsidRDefault="00000000">
            <w:pPr>
              <w:spacing w:beforeLines="50" w:before="156" w:afterLines="50" w:after="156"/>
              <w:rPr>
                <w:rFonts w:ascii="Times New Roman" w:hAnsi="Times New Roman"/>
              </w:rPr>
            </w:pPr>
            <w:r>
              <w:rPr>
                <w:rFonts w:ascii="Times New Roman" w:hAnsi="Times New Roman" w:hint="eastAsia"/>
              </w:rPr>
              <w:t>出口收入一直占公司营</w:t>
            </w:r>
            <w:proofErr w:type="gramStart"/>
            <w:r>
              <w:rPr>
                <w:rFonts w:ascii="Times New Roman" w:hAnsi="Times New Roman" w:hint="eastAsia"/>
              </w:rPr>
              <w:t>收比较</w:t>
            </w:r>
            <w:proofErr w:type="gramEnd"/>
            <w:r>
              <w:rPr>
                <w:rFonts w:ascii="Times New Roman" w:hAnsi="Times New Roman" w:hint="eastAsia"/>
              </w:rPr>
              <w:t>重要的比重。</w:t>
            </w:r>
            <w:r>
              <w:rPr>
                <w:rFonts w:ascii="Times New Roman" w:hAnsi="Times New Roman" w:hint="eastAsia"/>
              </w:rPr>
              <w:t>2023</w:t>
            </w:r>
            <w:r>
              <w:rPr>
                <w:rFonts w:ascii="Times New Roman" w:hAnsi="Times New Roman" w:hint="eastAsia"/>
              </w:rPr>
              <w:t>年及</w:t>
            </w:r>
            <w:r>
              <w:rPr>
                <w:rFonts w:ascii="Times New Roman" w:hAnsi="Times New Roman" w:hint="eastAsia"/>
              </w:rPr>
              <w:t>2024</w:t>
            </w:r>
            <w:r>
              <w:rPr>
                <w:rFonts w:ascii="Times New Roman" w:hAnsi="Times New Roman" w:hint="eastAsia"/>
              </w:rPr>
              <w:t>年上半年，公司产品出口额（含中国香港地区）均超过</w:t>
            </w:r>
            <w:r>
              <w:rPr>
                <w:rFonts w:ascii="Times New Roman" w:hAnsi="Times New Roman" w:hint="eastAsia"/>
              </w:rPr>
              <w:t>50%</w:t>
            </w:r>
            <w:r>
              <w:rPr>
                <w:rFonts w:ascii="Times New Roman" w:hAnsi="Times New Roman" w:hint="eastAsia"/>
              </w:rPr>
              <w:t>，产品已经广泛销往亚洲、欧洲及美洲等地区，为业绩增长起到了积极的促进作用。公司将继续积极拓展海外市场，扩大产品影响力。</w:t>
            </w:r>
          </w:p>
          <w:p w14:paraId="6E1518C8" w14:textId="77777777" w:rsidR="00A93D9B" w:rsidRDefault="00000000">
            <w:pPr>
              <w:spacing w:beforeLines="50" w:before="156" w:afterLines="50" w:after="156"/>
              <w:rPr>
                <w:rFonts w:ascii="Times New Roman" w:hAnsi="Times New Roman"/>
                <w:b/>
                <w:bCs/>
              </w:rPr>
            </w:pPr>
            <w:r>
              <w:rPr>
                <w:rFonts w:ascii="Times New Roman" w:hAnsi="Times New Roman" w:hint="eastAsia"/>
                <w:b/>
                <w:bCs/>
              </w:rPr>
              <w:t>Q3</w:t>
            </w:r>
            <w:r>
              <w:rPr>
                <w:rFonts w:ascii="Times New Roman" w:hAnsi="Times New Roman" w:hint="eastAsia"/>
                <w:b/>
                <w:bCs/>
              </w:rPr>
              <w:t>：各个应用场景的收入占比如何？智能门锁市场情况？</w:t>
            </w:r>
          </w:p>
          <w:p w14:paraId="3A6491EA" w14:textId="77777777" w:rsidR="00A93D9B" w:rsidRDefault="00000000">
            <w:pPr>
              <w:spacing w:beforeLines="50" w:before="156" w:afterLines="50" w:after="156"/>
              <w:rPr>
                <w:rFonts w:ascii="Times New Roman" w:hAnsi="Times New Roman"/>
              </w:rPr>
            </w:pPr>
            <w:r>
              <w:rPr>
                <w:rFonts w:ascii="Times New Roman" w:hAnsi="Times New Roman" w:hint="eastAsia"/>
              </w:rPr>
              <w:t>A3</w:t>
            </w:r>
            <w:r>
              <w:rPr>
                <w:rFonts w:ascii="Times New Roman" w:hAnsi="Times New Roman" w:hint="eastAsia"/>
              </w:rPr>
              <w:t>：公司产品主要面对智能家居、智慧安防、智慧办公、工业物联网等场景，目前在智能家居和智慧安防市场的收入</w:t>
            </w:r>
            <w:proofErr w:type="gramStart"/>
            <w:r>
              <w:rPr>
                <w:rFonts w:ascii="Times New Roman" w:hAnsi="Times New Roman" w:hint="eastAsia"/>
              </w:rPr>
              <w:t>占比较</w:t>
            </w:r>
            <w:proofErr w:type="gramEnd"/>
            <w:r>
              <w:rPr>
                <w:rFonts w:ascii="Times New Roman" w:hAnsi="Times New Roman" w:hint="eastAsia"/>
              </w:rPr>
              <w:t>大。</w:t>
            </w:r>
          </w:p>
          <w:p w14:paraId="5E06C081" w14:textId="563072BB" w:rsidR="00A93D9B" w:rsidRDefault="00000000">
            <w:pPr>
              <w:spacing w:beforeLines="50" w:before="156" w:afterLines="50" w:after="156"/>
              <w:rPr>
                <w:rFonts w:ascii="Times New Roman" w:hAnsi="Times New Roman"/>
              </w:rPr>
            </w:pPr>
            <w:r>
              <w:rPr>
                <w:rFonts w:ascii="Times New Roman" w:hAnsi="Times New Roman" w:hint="eastAsia"/>
              </w:rPr>
              <w:t>依据全国五金工业信息中心《</w:t>
            </w:r>
            <w:r>
              <w:rPr>
                <w:rFonts w:ascii="Times New Roman" w:hAnsi="Times New Roman" w:hint="eastAsia"/>
              </w:rPr>
              <w:t>2023</w:t>
            </w:r>
            <w:r>
              <w:rPr>
                <w:rFonts w:ascii="Times New Roman" w:hAnsi="Times New Roman" w:hint="eastAsia"/>
              </w:rPr>
              <w:t>年智能门锁行业调研报告》，</w:t>
            </w:r>
            <w:r>
              <w:rPr>
                <w:rFonts w:ascii="Times New Roman" w:hAnsi="Times New Roman" w:hint="eastAsia"/>
              </w:rPr>
              <w:t>2023</w:t>
            </w:r>
            <w:r>
              <w:rPr>
                <w:rFonts w:ascii="Times New Roman" w:hAnsi="Times New Roman" w:hint="eastAsia"/>
              </w:rPr>
              <w:t>年全国智能门锁产销量数据约</w:t>
            </w:r>
            <w:r>
              <w:rPr>
                <w:rFonts w:ascii="Times New Roman" w:hAnsi="Times New Roman" w:hint="eastAsia"/>
              </w:rPr>
              <w:t>2230</w:t>
            </w:r>
            <w:r>
              <w:rPr>
                <w:rFonts w:ascii="Times New Roman" w:hAnsi="Times New Roman" w:hint="eastAsia"/>
              </w:rPr>
              <w:t>万套，同比增长约为</w:t>
            </w:r>
            <w:r>
              <w:rPr>
                <w:rFonts w:ascii="Times New Roman" w:hAnsi="Times New Roman" w:hint="eastAsia"/>
              </w:rPr>
              <w:t>12.7%</w:t>
            </w:r>
            <w:r>
              <w:rPr>
                <w:rFonts w:ascii="Times New Roman" w:hAnsi="Times New Roman" w:hint="eastAsia"/>
              </w:rPr>
              <w:t>。智能门锁行业是</w:t>
            </w:r>
            <w:r>
              <w:rPr>
                <w:rFonts w:ascii="Times New Roman" w:hAnsi="Times New Roman" w:hint="eastAsia"/>
              </w:rPr>
              <w:t>2023</w:t>
            </w:r>
            <w:r>
              <w:rPr>
                <w:rFonts w:ascii="Times New Roman" w:hAnsi="Times New Roman" w:hint="eastAsia"/>
              </w:rPr>
              <w:t>年中国制造业中为数不多保持着增长的行业。目前国内的智能锁渗透率还比较低，但发展迅速，且芯片供应</w:t>
            </w:r>
            <w:proofErr w:type="gramStart"/>
            <w:r>
              <w:rPr>
                <w:rFonts w:ascii="Times New Roman" w:hAnsi="Times New Roman" w:hint="eastAsia"/>
              </w:rPr>
              <w:t>商比较</w:t>
            </w:r>
            <w:proofErr w:type="gramEnd"/>
            <w:r>
              <w:rPr>
                <w:rFonts w:ascii="Times New Roman" w:hAnsi="Times New Roman" w:hint="eastAsia"/>
              </w:rPr>
              <w:t>分散。市场上的智能门锁包含全自动、半自动两大类，每大类还具有指纹识别、人脸识别、掌纹识别、掌静脉识别、密码、刷卡、可视对讲等部分或者全部功能和开锁方式。公司芯片产品和解决方案可以支持上述所有智能门锁品类的产品需求。客户可以根据实际项目和功能需求采购一颗或者多颗安凯微的芯片，也可以采购基于公司芯片的智能锁模</w:t>
            </w:r>
            <w:r>
              <w:rPr>
                <w:rFonts w:ascii="Times New Roman" w:hAnsi="Times New Roman" w:hint="eastAsia"/>
              </w:rPr>
              <w:lastRenderedPageBreak/>
              <w:t>组或者套料产品，产品化更便利</w:t>
            </w:r>
            <w:r w:rsidR="000E1E57">
              <w:rPr>
                <w:rFonts w:ascii="Times New Roman" w:hAnsi="Times New Roman" w:hint="eastAsia"/>
              </w:rPr>
              <w:t>。</w:t>
            </w:r>
          </w:p>
          <w:p w14:paraId="4413FFF0" w14:textId="77777777" w:rsidR="00A93D9B" w:rsidRDefault="00000000">
            <w:pPr>
              <w:spacing w:beforeLines="50" w:before="156" w:afterLines="50" w:after="156"/>
              <w:rPr>
                <w:rFonts w:ascii="Times New Roman" w:hAnsi="Times New Roman"/>
                <w:b/>
                <w:bCs/>
              </w:rPr>
            </w:pPr>
            <w:r>
              <w:rPr>
                <w:rFonts w:ascii="Times New Roman" w:hAnsi="Times New Roman" w:hint="eastAsia"/>
                <w:b/>
                <w:bCs/>
              </w:rPr>
              <w:t>Q4</w:t>
            </w:r>
            <w:r>
              <w:rPr>
                <w:rFonts w:ascii="Times New Roman" w:hAnsi="Times New Roman" w:hint="eastAsia"/>
                <w:b/>
                <w:bCs/>
              </w:rPr>
              <w:t>：净利润下降趋势是什么原因导致的？</w:t>
            </w:r>
          </w:p>
          <w:p w14:paraId="61F993C0" w14:textId="63E152C0" w:rsidR="00A93D9B" w:rsidRDefault="00000000">
            <w:pPr>
              <w:spacing w:beforeLines="50" w:before="156" w:afterLines="50" w:after="156"/>
              <w:rPr>
                <w:rFonts w:ascii="Times New Roman" w:hAnsi="Times New Roman"/>
              </w:rPr>
            </w:pPr>
            <w:r>
              <w:rPr>
                <w:rFonts w:ascii="Times New Roman" w:hAnsi="Times New Roman" w:hint="eastAsia"/>
              </w:rPr>
              <w:t>A4</w:t>
            </w:r>
            <w:r>
              <w:rPr>
                <w:rFonts w:ascii="Times New Roman" w:hAnsi="Times New Roman" w:hint="eastAsia"/>
              </w:rPr>
              <w:t>：根据公司</w:t>
            </w:r>
            <w:r>
              <w:rPr>
                <w:rFonts w:ascii="Times New Roman" w:hAnsi="Times New Roman" w:hint="eastAsia"/>
              </w:rPr>
              <w:t>2024</w:t>
            </w:r>
            <w:r>
              <w:rPr>
                <w:rFonts w:ascii="Times New Roman" w:hAnsi="Times New Roman" w:hint="eastAsia"/>
              </w:rPr>
              <w:t>年半年度报告，由于以下主要原因导致净利润同比下降：</w:t>
            </w:r>
            <w:r w:rsidR="000E1E57" w:rsidRPr="000E1E57">
              <w:rPr>
                <w:rFonts w:ascii="Times New Roman" w:hAnsi="Times New Roman" w:hint="eastAsia"/>
              </w:rPr>
              <w:t>一方面，为了应对激烈的市场竞争匹配适应的价格政策</w:t>
            </w:r>
            <w:r w:rsidR="000E1E57" w:rsidRPr="000E1E57">
              <w:rPr>
                <w:rFonts w:ascii="Times New Roman" w:hAnsi="Times New Roman" w:hint="eastAsia"/>
              </w:rPr>
              <w:t>;</w:t>
            </w:r>
            <w:r w:rsidR="000E1E57" w:rsidRPr="000E1E57">
              <w:rPr>
                <w:rFonts w:ascii="Times New Roman" w:hAnsi="Times New Roman" w:hint="eastAsia"/>
              </w:rPr>
              <w:t>另一方面，为持续推进具有更高算力、更高清晰度物联网摄像机芯片以及</w:t>
            </w:r>
            <w:proofErr w:type="gramStart"/>
            <w:r w:rsidR="000E1E57" w:rsidRPr="000E1E57">
              <w:rPr>
                <w:rFonts w:ascii="Times New Roman" w:hAnsi="Times New Roman" w:hint="eastAsia"/>
              </w:rPr>
              <w:t>工业级物联网</w:t>
            </w:r>
            <w:proofErr w:type="gramEnd"/>
            <w:r w:rsidR="000E1E57" w:rsidRPr="000E1E57">
              <w:rPr>
                <w:rFonts w:ascii="Times New Roman" w:hAnsi="Times New Roman" w:hint="eastAsia"/>
              </w:rPr>
              <w:t>应用处理器芯片项目研发，研发投入同比增加，研发投入占营业收入的比例上升至</w:t>
            </w:r>
            <w:r w:rsidR="000E1E57" w:rsidRPr="000E1E57">
              <w:rPr>
                <w:rFonts w:ascii="Times New Roman" w:hAnsi="Times New Roman" w:hint="eastAsia"/>
              </w:rPr>
              <w:t xml:space="preserve"> 26.08%</w:t>
            </w:r>
            <w:r w:rsidR="000E1E57" w:rsidRPr="000E1E57">
              <w:rPr>
                <w:rFonts w:ascii="Times New Roman" w:hAnsi="Times New Roman" w:hint="eastAsia"/>
              </w:rPr>
              <w:t>，同比增加</w:t>
            </w:r>
            <w:r w:rsidR="000E1E57" w:rsidRPr="000E1E57">
              <w:rPr>
                <w:rFonts w:ascii="Times New Roman" w:hAnsi="Times New Roman" w:hint="eastAsia"/>
              </w:rPr>
              <w:t>4.45</w:t>
            </w:r>
            <w:r w:rsidR="000E1E57" w:rsidRPr="000E1E57">
              <w:rPr>
                <w:rFonts w:ascii="Times New Roman" w:hAnsi="Times New Roman" w:hint="eastAsia"/>
              </w:rPr>
              <w:t>个百分点</w:t>
            </w:r>
            <w:r w:rsidR="000E1E57">
              <w:rPr>
                <w:rFonts w:ascii="Times New Roman" w:hAnsi="Times New Roman" w:hint="eastAsia"/>
              </w:rPr>
              <w:t>。</w:t>
            </w:r>
          </w:p>
          <w:p w14:paraId="3EA61A85" w14:textId="77777777" w:rsidR="00A93D9B" w:rsidRDefault="00000000">
            <w:pPr>
              <w:spacing w:beforeLines="50" w:before="156" w:afterLines="50" w:after="156"/>
              <w:rPr>
                <w:rFonts w:ascii="Times New Roman" w:hAnsi="Times New Roman"/>
                <w:b/>
                <w:bCs/>
              </w:rPr>
            </w:pPr>
            <w:r>
              <w:rPr>
                <w:rFonts w:ascii="Times New Roman" w:hAnsi="Times New Roman" w:hint="eastAsia"/>
                <w:b/>
                <w:bCs/>
              </w:rPr>
              <w:t>Q5</w:t>
            </w:r>
            <w:r>
              <w:rPr>
                <w:rFonts w:ascii="Times New Roman" w:hAnsi="Times New Roman" w:hint="eastAsia"/>
                <w:b/>
                <w:bCs/>
              </w:rPr>
              <w:t>：公司的存货情况如何，是否存在减值风险？</w:t>
            </w:r>
          </w:p>
          <w:p w14:paraId="0BE03B5A" w14:textId="2A5A43A1" w:rsidR="00A93D9B" w:rsidRDefault="00000000">
            <w:pPr>
              <w:spacing w:beforeLines="50" w:before="156" w:afterLines="50" w:after="156"/>
              <w:rPr>
                <w:rFonts w:ascii="Times New Roman" w:hAnsi="Times New Roman"/>
              </w:rPr>
            </w:pPr>
            <w:r>
              <w:rPr>
                <w:rFonts w:ascii="Times New Roman" w:hAnsi="Times New Roman" w:hint="eastAsia"/>
              </w:rPr>
              <w:t>A5</w:t>
            </w:r>
            <w:r>
              <w:rPr>
                <w:rFonts w:ascii="Times New Roman" w:hAnsi="Times New Roman" w:hint="eastAsia"/>
              </w:rPr>
              <w:t>：公司库存情况基本维持在正常水平。由于芯片存在生产周期，公司会</w:t>
            </w:r>
            <w:proofErr w:type="gramStart"/>
            <w:r>
              <w:rPr>
                <w:rFonts w:ascii="Times New Roman" w:hAnsi="Times New Roman" w:hint="eastAsia"/>
              </w:rPr>
              <w:t>视业务</w:t>
            </w:r>
            <w:proofErr w:type="gramEnd"/>
            <w:r>
              <w:rPr>
                <w:rFonts w:ascii="Times New Roman" w:hAnsi="Times New Roman" w:hint="eastAsia"/>
              </w:rPr>
              <w:t>或产能情况以及原材料的需求及市场行情进行相应备货。</w:t>
            </w:r>
          </w:p>
          <w:p w14:paraId="3451AA7C" w14:textId="77777777" w:rsidR="00A93D9B" w:rsidRDefault="00000000">
            <w:pPr>
              <w:spacing w:beforeLines="50" w:before="156" w:afterLines="50" w:after="156"/>
              <w:rPr>
                <w:rFonts w:ascii="Times New Roman" w:hAnsi="Times New Roman"/>
                <w:b/>
                <w:bCs/>
              </w:rPr>
            </w:pPr>
            <w:r>
              <w:rPr>
                <w:rFonts w:ascii="Times New Roman" w:hAnsi="Times New Roman" w:hint="eastAsia"/>
                <w:b/>
                <w:bCs/>
              </w:rPr>
              <w:t>Q6</w:t>
            </w:r>
            <w:r>
              <w:rPr>
                <w:rFonts w:ascii="Times New Roman" w:hAnsi="Times New Roman" w:hint="eastAsia"/>
                <w:b/>
                <w:bCs/>
              </w:rPr>
              <w:t>：</w:t>
            </w:r>
            <w:r>
              <w:rPr>
                <w:rFonts w:ascii="Times New Roman" w:hAnsi="Times New Roman"/>
                <w:b/>
                <w:bCs/>
              </w:rPr>
              <w:t>公司的客户关系如何建立和维护？</w:t>
            </w:r>
          </w:p>
          <w:p w14:paraId="3C063921" w14:textId="77777777" w:rsidR="00A93D9B" w:rsidRDefault="00000000">
            <w:pPr>
              <w:spacing w:beforeLines="50" w:before="156" w:afterLines="50" w:after="156"/>
              <w:rPr>
                <w:rFonts w:ascii="Times New Roman" w:hAnsi="Times New Roman"/>
              </w:rPr>
            </w:pPr>
            <w:r>
              <w:rPr>
                <w:rFonts w:ascii="Times New Roman" w:hAnsi="Times New Roman" w:hint="eastAsia"/>
              </w:rPr>
              <w:t>A6</w:t>
            </w:r>
            <w:r>
              <w:rPr>
                <w:rFonts w:ascii="Times New Roman" w:hAnsi="Times New Roman" w:hint="eastAsia"/>
              </w:rPr>
              <w:t>：公司经过多年的发展，建立了相对完备的市场销售体系，以实现技术成果的经济效益转化。客户关系的建立和维护是一个长期积累的过程。公司注重与客户建立长期的合作关系，与很多客户合作至今已经多年。我们基于安凯微芯片提供完整的系统软硬件解决方案，提供及时胜任的客户服务和技术支持，帮助客户解决使用产品过程中的问题，以迅速实现量产。此外，清晰的产品规划也是与客户保持长期可持续合作的重要因素之一。公司通过定期的客户拜访和技术交流，在推动客户项目的立项和执行的同时，交换技术和产品的发展信息，有助于发掘新的机会，并更精准地做好产品规划。</w:t>
            </w:r>
          </w:p>
        </w:tc>
      </w:tr>
      <w:tr w:rsidR="00A93D9B" w14:paraId="4E0A179C" w14:textId="77777777">
        <w:trPr>
          <w:jc w:val="center"/>
        </w:trPr>
        <w:tc>
          <w:tcPr>
            <w:tcW w:w="1832" w:type="dxa"/>
          </w:tcPr>
          <w:p w14:paraId="53670614" w14:textId="77777777" w:rsidR="00A93D9B"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527" w:type="dxa"/>
          </w:tcPr>
          <w:p w14:paraId="3260FE57" w14:textId="77777777" w:rsidR="00A93D9B" w:rsidRDefault="00000000">
            <w:pPr>
              <w:spacing w:beforeLines="50" w:before="156" w:afterLines="50" w:after="156"/>
              <w:rPr>
                <w:rFonts w:ascii="Times New Roman" w:hAnsi="Times New Roman"/>
              </w:rPr>
            </w:pPr>
            <w:r>
              <w:rPr>
                <w:rFonts w:ascii="Times New Roman" w:hAnsi="Times New Roman" w:hint="eastAsia"/>
              </w:rPr>
              <w:t>本次调研活动期间，公司不存在透露任何未公开重大信息的情形。</w:t>
            </w:r>
          </w:p>
        </w:tc>
      </w:tr>
      <w:tr w:rsidR="00A93D9B" w14:paraId="3CC48AA5" w14:textId="77777777">
        <w:trPr>
          <w:jc w:val="center"/>
        </w:trPr>
        <w:tc>
          <w:tcPr>
            <w:tcW w:w="1832" w:type="dxa"/>
          </w:tcPr>
          <w:p w14:paraId="7438AADD" w14:textId="77777777" w:rsidR="00A93D9B" w:rsidRDefault="00000000">
            <w:pPr>
              <w:spacing w:beforeLines="50" w:before="156" w:afterLines="50" w:after="156"/>
              <w:rPr>
                <w:rFonts w:ascii="Times New Roman" w:hAnsi="Times New Roman"/>
              </w:rPr>
            </w:pPr>
            <w:r>
              <w:rPr>
                <w:rFonts w:ascii="Times New Roman" w:hAnsi="Times New Roman" w:hint="eastAsia"/>
              </w:rPr>
              <w:t>日期</w:t>
            </w:r>
          </w:p>
        </w:tc>
        <w:tc>
          <w:tcPr>
            <w:tcW w:w="6527" w:type="dxa"/>
          </w:tcPr>
          <w:p w14:paraId="3CFFCF68" w14:textId="77777777" w:rsidR="00A93D9B"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rPr>
              <w:t>0</w:t>
            </w:r>
            <w:r>
              <w:rPr>
                <w:rFonts w:ascii="Times New Roman" w:hAnsi="Times New Roman" w:hint="eastAsia"/>
              </w:rPr>
              <w:t>9</w:t>
            </w:r>
            <w:r>
              <w:rPr>
                <w:rFonts w:ascii="Times New Roman" w:hAnsi="Times New Roman"/>
              </w:rPr>
              <w:t>月</w:t>
            </w:r>
            <w:r>
              <w:rPr>
                <w:rFonts w:ascii="Times New Roman" w:hAnsi="Times New Roman" w:hint="eastAsia"/>
              </w:rPr>
              <w:t>26</w:t>
            </w:r>
            <w:r>
              <w:rPr>
                <w:rFonts w:ascii="Times New Roman" w:hAnsi="Times New Roman"/>
              </w:rPr>
              <w:t>日</w:t>
            </w:r>
          </w:p>
        </w:tc>
      </w:tr>
      <w:tr w:rsidR="00A93D9B" w14:paraId="4FE441B3" w14:textId="77777777">
        <w:trPr>
          <w:trHeight w:val="416"/>
          <w:jc w:val="center"/>
        </w:trPr>
        <w:tc>
          <w:tcPr>
            <w:tcW w:w="8359" w:type="dxa"/>
            <w:gridSpan w:val="2"/>
          </w:tcPr>
          <w:p w14:paraId="5B07A8D1" w14:textId="77777777" w:rsidR="00A93D9B"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024-0</w:t>
            </w:r>
            <w:r>
              <w:rPr>
                <w:rFonts w:ascii="Times New Roman" w:hAnsi="Times New Roman" w:hint="eastAsia"/>
              </w:rPr>
              <w:t>9-26</w:t>
            </w:r>
          </w:p>
        </w:tc>
      </w:tr>
    </w:tbl>
    <w:p w14:paraId="02B95FD3" w14:textId="77777777" w:rsidR="00A93D9B" w:rsidRDefault="00A93D9B">
      <w:pPr>
        <w:spacing w:beforeLines="50" w:before="156" w:afterLines="50" w:after="156"/>
        <w:rPr>
          <w:rFonts w:ascii="Times New Roman" w:hAnsi="Times New Roman"/>
        </w:rPr>
      </w:pPr>
    </w:p>
    <w:sectPr w:rsidR="00A93D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2256D" w14:textId="77777777" w:rsidR="00065D81" w:rsidRDefault="00065D81" w:rsidP="00DE1B4C">
      <w:pPr>
        <w:spacing w:after="0" w:line="240" w:lineRule="auto"/>
      </w:pPr>
      <w:r>
        <w:separator/>
      </w:r>
    </w:p>
  </w:endnote>
  <w:endnote w:type="continuationSeparator" w:id="0">
    <w:p w14:paraId="697C4569" w14:textId="77777777" w:rsidR="00065D81" w:rsidRDefault="00065D81" w:rsidP="00DE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24E74" w14:textId="77777777" w:rsidR="00065D81" w:rsidRDefault="00065D81" w:rsidP="00DE1B4C">
      <w:pPr>
        <w:spacing w:after="0" w:line="240" w:lineRule="auto"/>
      </w:pPr>
      <w:r>
        <w:separator/>
      </w:r>
    </w:p>
  </w:footnote>
  <w:footnote w:type="continuationSeparator" w:id="0">
    <w:p w14:paraId="37684C99" w14:textId="77777777" w:rsidR="00065D81" w:rsidRDefault="00065D81" w:rsidP="00DE1B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8B"/>
    <w:rsid w:val="00006EE0"/>
    <w:rsid w:val="000169C0"/>
    <w:rsid w:val="0004430F"/>
    <w:rsid w:val="00065D81"/>
    <w:rsid w:val="00092667"/>
    <w:rsid w:val="00094F62"/>
    <w:rsid w:val="00095425"/>
    <w:rsid w:val="000E1E57"/>
    <w:rsid w:val="000F55A2"/>
    <w:rsid w:val="001360A8"/>
    <w:rsid w:val="001B4A1F"/>
    <w:rsid w:val="001D0E2B"/>
    <w:rsid w:val="001F6BA3"/>
    <w:rsid w:val="00210D62"/>
    <w:rsid w:val="002300A7"/>
    <w:rsid w:val="0023402B"/>
    <w:rsid w:val="002A0C5D"/>
    <w:rsid w:val="002A4740"/>
    <w:rsid w:val="003321A4"/>
    <w:rsid w:val="00364CDA"/>
    <w:rsid w:val="003974F4"/>
    <w:rsid w:val="003E679C"/>
    <w:rsid w:val="004101AE"/>
    <w:rsid w:val="0045019A"/>
    <w:rsid w:val="00453F78"/>
    <w:rsid w:val="00465DC4"/>
    <w:rsid w:val="0048087D"/>
    <w:rsid w:val="004A15E8"/>
    <w:rsid w:val="00512FCD"/>
    <w:rsid w:val="00547EE8"/>
    <w:rsid w:val="00556354"/>
    <w:rsid w:val="00556387"/>
    <w:rsid w:val="00573F57"/>
    <w:rsid w:val="00592A0C"/>
    <w:rsid w:val="005B31B1"/>
    <w:rsid w:val="005B5E34"/>
    <w:rsid w:val="00604809"/>
    <w:rsid w:val="00633FBA"/>
    <w:rsid w:val="00701AB7"/>
    <w:rsid w:val="00736C7E"/>
    <w:rsid w:val="00761658"/>
    <w:rsid w:val="007C48B9"/>
    <w:rsid w:val="008052A6"/>
    <w:rsid w:val="00810138"/>
    <w:rsid w:val="00813312"/>
    <w:rsid w:val="00857461"/>
    <w:rsid w:val="0090115A"/>
    <w:rsid w:val="00957562"/>
    <w:rsid w:val="009D7B3B"/>
    <w:rsid w:val="00A125B3"/>
    <w:rsid w:val="00A27B24"/>
    <w:rsid w:val="00A303B8"/>
    <w:rsid w:val="00A756CB"/>
    <w:rsid w:val="00A93D9B"/>
    <w:rsid w:val="00AF042E"/>
    <w:rsid w:val="00AF19D9"/>
    <w:rsid w:val="00B1657E"/>
    <w:rsid w:val="00B437A5"/>
    <w:rsid w:val="00B61894"/>
    <w:rsid w:val="00C21A61"/>
    <w:rsid w:val="00C773E3"/>
    <w:rsid w:val="00CD46AE"/>
    <w:rsid w:val="00CE460A"/>
    <w:rsid w:val="00CE473F"/>
    <w:rsid w:val="00D10C7D"/>
    <w:rsid w:val="00DC380B"/>
    <w:rsid w:val="00DE0CE0"/>
    <w:rsid w:val="00DE1B4C"/>
    <w:rsid w:val="00E07234"/>
    <w:rsid w:val="00E1585A"/>
    <w:rsid w:val="00E238F5"/>
    <w:rsid w:val="00E74C33"/>
    <w:rsid w:val="00EA3C3F"/>
    <w:rsid w:val="00EB16C8"/>
    <w:rsid w:val="00EC284A"/>
    <w:rsid w:val="00EE5CE1"/>
    <w:rsid w:val="00F03866"/>
    <w:rsid w:val="00F33842"/>
    <w:rsid w:val="00F41481"/>
    <w:rsid w:val="00F71038"/>
    <w:rsid w:val="00F96C8B"/>
    <w:rsid w:val="00FA2851"/>
    <w:rsid w:val="00FC27D9"/>
    <w:rsid w:val="00FE3EA8"/>
    <w:rsid w:val="05D73A1A"/>
    <w:rsid w:val="06C92FA6"/>
    <w:rsid w:val="0CBA09A9"/>
    <w:rsid w:val="3285361B"/>
    <w:rsid w:val="414E738F"/>
    <w:rsid w:val="5CD63CE8"/>
    <w:rsid w:val="68CC4308"/>
    <w:rsid w:val="6F8F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0CB1"/>
  <w15:docId w15:val="{47200E17-7B8F-4DEE-8054-B1E7B98E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rPr>
      <w:rFonts w:ascii="Courier New" w:hAnsi="Courier New" w:cs="Courier New"/>
      <w:sz w:val="20"/>
      <w:szCs w:val="20"/>
    </w:rPr>
  </w:style>
  <w:style w:type="character" w:styleId="ad">
    <w:name w:val="Hyperlink"/>
    <w:basedOn w:val="a0"/>
    <w:rPr>
      <w:color w:val="0000FF" w:themeColor="hyperlink"/>
      <w:u w:val="single"/>
    </w:rPr>
  </w:style>
  <w:style w:type="character" w:styleId="ae">
    <w:name w:val="annotation reference"/>
    <w:basedOn w:val="a0"/>
    <w:uiPriority w:val="99"/>
    <w:qFormat/>
    <w:rPr>
      <w:sz w:val="21"/>
      <w:szCs w:val="21"/>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pPr>
      <w:spacing w:after="0" w:line="240" w:lineRule="auto"/>
    </w:pPr>
    <w:rPr>
      <w:rFonts w:ascii="Calibri" w:hAnsi="Calibri" w:cs="宋体"/>
      <w:kern w:val="2"/>
      <w:sz w:val="21"/>
      <w:szCs w:val="22"/>
    </w:rPr>
  </w:style>
  <w:style w:type="paragraph" w:customStyle="1" w:styleId="14">
    <w:name w:val="修订14"/>
    <w:uiPriority w:val="99"/>
    <w:qFormat/>
    <w:pPr>
      <w:spacing w:after="0" w:line="240" w:lineRule="auto"/>
    </w:pPr>
    <w:rPr>
      <w:rFonts w:ascii="Calibri" w:hAnsi="Calibri" w:cs="宋体"/>
      <w:kern w:val="2"/>
      <w:sz w:val="21"/>
      <w:szCs w:val="22"/>
    </w:rPr>
  </w:style>
  <w:style w:type="paragraph" w:customStyle="1" w:styleId="15">
    <w:name w:val="修订15"/>
    <w:hidden/>
    <w:uiPriority w:val="99"/>
    <w:unhideWhenUsed/>
    <w:pPr>
      <w:spacing w:after="0" w:line="240" w:lineRule="auto"/>
    </w:pPr>
    <w:rPr>
      <w:rFonts w:ascii="Calibri" w:hAnsi="Calibri" w:cs="宋体"/>
      <w:kern w:val="2"/>
      <w:sz w:val="21"/>
      <w:szCs w:val="22"/>
    </w:rPr>
  </w:style>
  <w:style w:type="character" w:customStyle="1" w:styleId="16">
    <w:name w:val="未处理的提及1"/>
    <w:basedOn w:val="a0"/>
    <w:uiPriority w:val="99"/>
    <w:unhideWhenUsed/>
    <w:rPr>
      <w:color w:val="605E5C"/>
      <w:shd w:val="clear" w:color="auto" w:fill="E1DFDD"/>
    </w:rPr>
  </w:style>
  <w:style w:type="character" w:customStyle="1" w:styleId="HTML0">
    <w:name w:val="HTML 预设格式 字符"/>
    <w:basedOn w:val="a0"/>
    <w:link w:val="HTML"/>
    <w:rPr>
      <w:rFonts w:ascii="Courier New" w:hAnsi="Courier New" w:cs="Courier New"/>
      <w:kern w:val="2"/>
    </w:rPr>
  </w:style>
  <w:style w:type="paragraph" w:customStyle="1" w:styleId="160">
    <w:name w:val="修订16"/>
    <w:hidden/>
    <w:uiPriority w:val="99"/>
    <w:unhideWhenUsed/>
    <w:pPr>
      <w:spacing w:after="0" w:line="240" w:lineRule="auto"/>
    </w:pPr>
    <w:rPr>
      <w:rFonts w:ascii="Calibri" w:hAnsi="Calibri" w:cs="宋体"/>
      <w:kern w:val="2"/>
      <w:sz w:val="21"/>
      <w:szCs w:val="22"/>
    </w:rPr>
  </w:style>
  <w:style w:type="paragraph" w:styleId="af0">
    <w:name w:val="Revision"/>
    <w:hidden/>
    <w:uiPriority w:val="99"/>
    <w:unhideWhenUsed/>
    <w:rsid w:val="0048087D"/>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3.xml><?xml version="1.0" encoding="utf-8"?>
<ds:datastoreItem xmlns:ds="http://schemas.openxmlformats.org/officeDocument/2006/customXml" ds:itemID="{22EA0784-D3E6-422C-A4A1-432DD01AD51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355</Words>
  <Characters>2028</Characters>
  <Application>Microsoft Office Word</Application>
  <DocSecurity>0</DocSecurity>
  <Lines>16</Lines>
  <Paragraphs>4</Paragraphs>
  <ScaleCrop>false</ScaleCrop>
  <Company>微软用户</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94</cp:revision>
  <dcterms:created xsi:type="dcterms:W3CDTF">2024-03-08T05:19:00Z</dcterms:created>
  <dcterms:modified xsi:type="dcterms:W3CDTF">2024-09-29T11:44:00Z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1f566bf4e441400c9badf45119f16b18_23</vt:lpwstr>
  </property>
</Properties>
</file>