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0533B">
      <w:pPr>
        <w:spacing w:before="156" w:beforeLines="50" w:after="156" w:afterLines="50" w:line="400" w:lineRule="exact"/>
        <w:ind w:firstLine="0" w:firstLineChars="0"/>
        <w:rPr>
          <w:rFonts w:ascii="宋体" w:hAnsi="宋体"/>
          <w:bCs/>
          <w:iCs/>
          <w:color w:val="000000"/>
          <w:szCs w:val="22"/>
        </w:rPr>
      </w:pPr>
      <w:r>
        <w:rPr>
          <w:rFonts w:hint="eastAsia" w:ascii="宋体" w:hAnsi="宋体"/>
          <w:bCs/>
          <w:iCs/>
          <w:color w:val="000000"/>
          <w:szCs w:val="22"/>
        </w:rPr>
        <w:t>证券代码：</w:t>
      </w:r>
      <w:r>
        <w:rPr>
          <w:bCs/>
          <w:iCs/>
          <w:color w:val="000000"/>
          <w:szCs w:val="22"/>
        </w:rPr>
        <w:t>688768</w:t>
      </w:r>
      <w:r>
        <w:rPr>
          <w:rFonts w:hint="eastAsia" w:ascii="宋体" w:hAnsi="宋体"/>
          <w:bCs/>
          <w:iCs/>
          <w:color w:val="000000"/>
          <w:szCs w:val="22"/>
        </w:rPr>
        <w:t xml:space="preserve">                           </w:t>
      </w:r>
      <w:r>
        <w:rPr>
          <w:rFonts w:ascii="宋体" w:hAnsi="宋体"/>
          <w:bCs/>
          <w:iCs/>
          <w:color w:val="000000"/>
          <w:szCs w:val="22"/>
        </w:rPr>
        <w:t xml:space="preserve">      </w:t>
      </w:r>
      <w:r>
        <w:rPr>
          <w:rFonts w:hint="eastAsia" w:ascii="宋体" w:hAnsi="宋体"/>
          <w:bCs/>
          <w:iCs/>
          <w:color w:val="000000"/>
          <w:szCs w:val="22"/>
        </w:rPr>
        <w:t>证券简称：容知日新</w:t>
      </w:r>
    </w:p>
    <w:p w14:paraId="35F5A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宋体" w:hAnsi="宋体"/>
          <w:b/>
          <w:bCs/>
          <w:iCs/>
          <w:color w:val="000000"/>
        </w:rPr>
      </w:pPr>
      <w:r>
        <w:rPr>
          <w:rFonts w:hint="eastAsia" w:ascii="宋体" w:hAnsi="宋体"/>
          <w:b/>
          <w:bCs/>
          <w:iCs/>
          <w:color w:val="000000"/>
        </w:rPr>
        <w:t>安徽容知日新科技股份有限公司投资者关系活动记录表</w:t>
      </w:r>
    </w:p>
    <w:p w14:paraId="2BDF9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宋体" w:hAnsi="宋体"/>
          <w:b/>
          <w:bCs/>
          <w:iCs/>
          <w:color w:val="000000"/>
        </w:rPr>
      </w:pPr>
      <w:r>
        <w:rPr>
          <w:rFonts w:hint="eastAsia" w:ascii="宋体" w:hAnsi="宋体"/>
          <w:b/>
          <w:bCs/>
          <w:iCs/>
          <w:color w:val="000000"/>
        </w:rPr>
        <w:t>投资者关系活动记录汇总表</w:t>
      </w:r>
    </w:p>
    <w:p w14:paraId="3CD17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宋体" w:hAnsi="宋体"/>
          <w:bCs/>
          <w:iCs/>
          <w:color w:val="000000"/>
        </w:rPr>
      </w:pPr>
      <w:r>
        <w:rPr>
          <w:rFonts w:hint="eastAsia" w:eastAsia="黑体"/>
          <w:b/>
          <w:bCs/>
        </w:rPr>
        <w:t>（</w:t>
      </w:r>
      <w:r>
        <w:rPr>
          <w:rFonts w:eastAsia="黑体"/>
          <w:b/>
          <w:bCs/>
        </w:rPr>
        <w:t>202</w:t>
      </w:r>
      <w:r>
        <w:rPr>
          <w:rFonts w:hint="eastAsia" w:eastAsia="黑体"/>
          <w:b/>
          <w:bCs/>
        </w:rPr>
        <w:t>4年</w:t>
      </w:r>
      <w:r>
        <w:rPr>
          <w:rFonts w:hint="eastAsia" w:eastAsia="黑体"/>
          <w:b/>
          <w:bCs/>
          <w:lang w:val="en-US" w:eastAsia="zh-CN"/>
        </w:rPr>
        <w:t>10</w:t>
      </w:r>
      <w:r>
        <w:rPr>
          <w:rFonts w:hint="eastAsia" w:eastAsia="黑体"/>
          <w:b/>
          <w:bCs/>
        </w:rPr>
        <w:t>月第1次汇总）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6906"/>
      </w:tblGrid>
      <w:tr w14:paraId="60DA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7281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投资者关系活动类别</w:t>
            </w:r>
          </w:p>
          <w:p w14:paraId="3B2A9DA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EFD814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 xml:space="preserve">特定对象调研        </w:t>
            </w:r>
            <w:r>
              <w:rPr>
                <w:rFonts w:hint="eastAsia" w:cs="Times New Roman"/>
                <w:bCs/>
                <w:iCs/>
                <w:color w:val="000000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</w:rPr>
              <w:t>分析师会议</w:t>
            </w:r>
          </w:p>
          <w:p w14:paraId="48415620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bCs/>
                <w:iCs/>
                <w:color w:val="000000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媒体采访            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业绩说明会</w:t>
            </w:r>
          </w:p>
          <w:p w14:paraId="0D91E1F8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新闻发布会          </w:t>
            </w:r>
            <w:r>
              <w:rPr>
                <w:rFonts w:hint="default" w:ascii="Times New Roman" w:hAnsi="Times New Roman" w:cs="Times New Roman"/>
              </w:rPr>
              <w:sym w:font="Wingdings 2" w:char="0052"/>
            </w:r>
            <w:r>
              <w:rPr>
                <w:rFonts w:hint="default" w:ascii="Times New Roman" w:hAnsi="Times New Roman" w:cs="Times New Roman"/>
              </w:rPr>
              <w:t>路演活动</w:t>
            </w:r>
          </w:p>
          <w:p w14:paraId="3096A07D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现场参观</w:t>
            </w:r>
          </w:p>
          <w:p w14:paraId="1D97BA7F">
            <w:pPr>
              <w:tabs>
                <w:tab w:val="center" w:pos="3199"/>
              </w:tabs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sym w:font="Wingdings 2" w:char="0052"/>
            </w:r>
            <w:r>
              <w:rPr>
                <w:rFonts w:hint="default" w:ascii="Times New Roman" w:hAnsi="Times New Roman" w:cs="Times New Roman"/>
              </w:rPr>
              <w:t>其他 （投资者线上交流会）</w:t>
            </w:r>
          </w:p>
        </w:tc>
      </w:tr>
      <w:tr w14:paraId="6B16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107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参与单位名称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BB40B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详见附件一</w:t>
            </w:r>
          </w:p>
        </w:tc>
      </w:tr>
      <w:tr w14:paraId="7E9A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00CB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时间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4464F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2024年</w:t>
            </w:r>
            <w:r>
              <w:rPr>
                <w:rFonts w:hint="eastAsia" w:cs="Times New Roman"/>
                <w:bCs/>
                <w:iCs/>
                <w:color w:val="000000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月</w:t>
            </w:r>
            <w:r>
              <w:rPr>
                <w:rFonts w:hint="eastAsia" w:cs="Times New Roman"/>
                <w:bCs/>
                <w:iCs/>
                <w:color w:val="000000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 xml:space="preserve">日 </w:t>
            </w:r>
            <w:r>
              <w:rPr>
                <w:rFonts w:hint="eastAsia" w:cs="Times New Roman"/>
                <w:bCs/>
                <w:iCs/>
                <w:color w:val="000000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:</w:t>
            </w:r>
            <w:r>
              <w:rPr>
                <w:rFonts w:hint="eastAsia" w:cs="Times New Roman"/>
                <w:bCs/>
                <w:iCs/>
                <w:color w:val="00000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-1</w:t>
            </w:r>
            <w:r>
              <w:rPr>
                <w:rFonts w:hint="eastAsia" w:cs="Times New Roman"/>
                <w:bCs/>
                <w:iCs/>
                <w:color w:val="00000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: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0</w:t>
            </w:r>
          </w:p>
        </w:tc>
      </w:tr>
      <w:tr w14:paraId="16F5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978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会议地点及形式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BE47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eastAsia" w:cs="Times New Roman"/>
                <w:bCs/>
                <w:iCs/>
                <w:color w:val="000000"/>
                <w:lang w:val="en-US" w:eastAsia="zh-CN"/>
              </w:rPr>
              <w:t>腾讯会议线上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方式</w:t>
            </w:r>
          </w:p>
        </w:tc>
      </w:tr>
      <w:tr w14:paraId="51F1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CBA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C481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Cs/>
                <w:i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lang w:val="en-US" w:eastAsia="zh-CN"/>
              </w:rPr>
              <w:t>董事长：聂卫华</w:t>
            </w:r>
          </w:p>
          <w:p w14:paraId="3F1F5E8B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董事、董事会秘书、财务总监：黄莉丽</w:t>
            </w:r>
          </w:p>
          <w:p w14:paraId="317AE006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证券事务代表：孔凯</w:t>
            </w:r>
          </w:p>
        </w:tc>
      </w:tr>
      <w:tr w14:paraId="0417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970E9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CD80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一、公司整体情况介绍</w:t>
            </w:r>
          </w:p>
          <w:p w14:paraId="26C67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textAlignment w:val="auto"/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公司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董事会秘书黄莉丽女士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介绍了202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4年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前三季度业绩预告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相关财务数据情况。公司董事长聂卫华先生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和董事会秘书黄莉丽女士回答了投资者问题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。</w:t>
            </w:r>
          </w:p>
          <w:p w14:paraId="26AABC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二、交流的主要问题及公司回复概要如下：</w:t>
            </w:r>
          </w:p>
          <w:p w14:paraId="7F178276">
            <w:pPr>
              <w:widowControl/>
              <w:ind w:firstLine="0" w:firstLineChars="0"/>
              <w:jc w:val="both"/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Q1：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公司的应收账款主要集中在哪些行业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？</w:t>
            </w:r>
          </w:p>
          <w:p w14:paraId="43F4E6F9">
            <w:pPr>
              <w:widowControl/>
              <w:ind w:firstLine="420"/>
              <w:jc w:val="both"/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公司主营业务收入主要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来自于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国内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五大行业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和出口业务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受营收规模和行业特点影响，应收账款也有差异。其中风电行业应收账款占比较大，其次是钢铁行业。出口业务目前以全额预付为主，应收账款较少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69B05310">
            <w:pPr>
              <w:widowControl/>
              <w:ind w:firstLine="0" w:firstLineChars="0"/>
              <w:jc w:val="both"/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Q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：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在极端情况下，公司的芯片供应商是否可以切换到国内供应商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？</w:t>
            </w:r>
          </w:p>
          <w:p w14:paraId="3BEC3B54">
            <w:pPr>
              <w:widowControl/>
              <w:ind w:firstLine="420"/>
              <w:jc w:val="both"/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答：首先，公司前两年基于安全考虑，最高峰时储备了2400万的芯片库存，从去年下半年开始，公司已经停止继续储备，目前在持续消化芯片库存；其次，公司所需的芯片对于制程的要求没有手机、电脑芯片要求那么高，如果遇到极端情况，公司可以寻找到国内替代方案。</w:t>
            </w:r>
          </w:p>
          <w:p w14:paraId="254DACE9">
            <w:pPr>
              <w:widowControl/>
              <w:ind w:firstLine="0" w:firstLineChars="0"/>
              <w:jc w:val="both"/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Q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：公司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现金流有所改善的原因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？</w:t>
            </w:r>
          </w:p>
          <w:p w14:paraId="14B8CCC6">
            <w:pPr>
              <w:widowControl/>
              <w:ind w:firstLine="420"/>
              <w:jc w:val="both"/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答：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在2024年把现金流管理作为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的重要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之一。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采取了以下措施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第一是公司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加快了应收账款的回收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，加大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对业务人员考核力度，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将业务人员的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绩效奖金跟回款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密切联系起来；第二是公司调整了备货策略，战略储备芯片持续消化，降低存货的资金占用；第三是公司优化了付款方式和节奏，提高了资金管理效率。</w:t>
            </w:r>
          </w:p>
          <w:p w14:paraId="03CF7D2B">
            <w:pPr>
              <w:widowControl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Q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：钢铁企业利润下行的情况下，依然愿意扩大投资，提升企业智能化的原因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是什么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？</w:t>
            </w:r>
          </w:p>
          <w:p w14:paraId="4A019644">
            <w:pPr>
              <w:widowControl/>
              <w:ind w:firstLine="420"/>
              <w:jc w:val="both"/>
              <w:rPr>
                <w:rFonts w:hint="default" w:ascii="Times New Roman" w:hAnsi="Times New Roman" w:eastAsia="宋体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答：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第一，钢铁企业的智能化支出在整个集团的支出占比相对较低，不会给客户带来较大的压力；第二，客户在与公司合作之后，体验到了智能运维服务带来的价值和便利性，有利于客户实现降本增效的目标；第三，公司在头部钢铁客户的市场占有率比较高，但是整个市场的渗透率较低，还有巨大的市场空间等待开发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39EE78A8">
            <w:pPr>
              <w:widowControl/>
              <w:ind w:firstLine="0" w:firstLineChars="0"/>
              <w:jc w:val="both"/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Q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：公司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的收入主要来源于存量设备还是新增产线的升级替换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？</w:t>
            </w:r>
          </w:p>
          <w:p w14:paraId="0C97A997">
            <w:pPr>
              <w:widowControl/>
              <w:ind w:firstLine="420"/>
              <w:jc w:val="both"/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答：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风电行业以新增设备为主，其他行业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主要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来源于存量设备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余下部分来源于现有工厂的智能化升级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。</w:t>
            </w:r>
          </w:p>
          <w:p w14:paraId="3151B031">
            <w:pPr>
              <w:widowControl/>
              <w:ind w:firstLine="0" w:firstLineChars="0"/>
              <w:jc w:val="both"/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Q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看护的超16万台设备是目前所有客户设备的总和吗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？</w:t>
            </w:r>
          </w:p>
          <w:p w14:paraId="25E11355">
            <w:pPr>
              <w:widowControl/>
              <w:ind w:firstLine="420"/>
              <w:jc w:val="both"/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答：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截至公司2024年半年度报告披露日，公司实时接入数据中心远程监测的重要设备超16万台；这并不是公司看护的全部设备数量，部分客户本地化部署平台，并未将看护数据上传至公司数据中心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46AF5AF3">
            <w:pPr>
              <w:widowControl/>
              <w:ind w:firstLine="0" w:firstLineChars="0"/>
              <w:jc w:val="both"/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Q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：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除了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煤炭行业之外，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公司在其他行业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是否还有伙伴战略的推广计划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？</w:t>
            </w:r>
          </w:p>
          <w:p w14:paraId="50410986">
            <w:pPr>
              <w:widowControl/>
              <w:ind w:firstLine="420"/>
              <w:jc w:val="both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答：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公司的合作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伙伴战略会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逐步拓展到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目前覆盖的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主要行业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同时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公司的合作伙伴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战略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也会加快对新行业的覆盖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6A172D13">
            <w:pPr>
              <w:widowControl/>
              <w:ind w:firstLine="0" w:firstLineChars="0"/>
              <w:jc w:val="both"/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Q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：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公司和同行的主要差异体现在哪里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？</w:t>
            </w:r>
          </w:p>
          <w:p w14:paraId="59B95061">
            <w:pPr>
              <w:widowControl/>
              <w:ind w:firstLine="420"/>
              <w:jc w:val="both"/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答：设备智能运维行业具有研发投入大、周期长、技术链条长、产品丰富等特点，公司是一家人工智能驱动的企业，相较于传统的设备厂商，公司通过多年积累的故障案例数据，沉淀大量算法模型并持续迭代，真正实现了设备的智能化看护服务能力，可为多行业提供成熟解决方案。</w:t>
            </w:r>
          </w:p>
        </w:tc>
      </w:tr>
      <w:tr w14:paraId="0EF9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7D92F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附件清单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9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参与单位名单</w:t>
            </w:r>
          </w:p>
        </w:tc>
      </w:tr>
      <w:tr w14:paraId="64C6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3075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日期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9C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2024年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月</w:t>
            </w:r>
          </w:p>
        </w:tc>
      </w:tr>
    </w:tbl>
    <w:p w14:paraId="206DBE44">
      <w:pPr>
        <w:widowControl/>
        <w:spacing w:line="240" w:lineRule="auto"/>
        <w:ind w:firstLine="0" w:firstLineChars="0"/>
        <w:jc w:val="left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39FFC7">
      <w:pPr>
        <w:ind w:firstLine="0" w:firstLineChars="0"/>
        <w:rPr>
          <w:b/>
          <w:bCs/>
        </w:rPr>
      </w:pPr>
      <w:r>
        <w:rPr>
          <w:rFonts w:hint="eastAsia"/>
          <w:b/>
          <w:bCs/>
        </w:rPr>
        <w:t>附件一：</w:t>
      </w:r>
    </w:p>
    <w:p w14:paraId="2DBC8CDD">
      <w:pPr>
        <w:ind w:firstLine="0" w:firstLineChars="0"/>
        <w:jc w:val="center"/>
        <w:rPr>
          <w:rFonts w:hint="eastAsia"/>
          <w:lang w:eastAsia="zh-CN"/>
        </w:rPr>
      </w:pPr>
      <w:r>
        <w:rPr>
          <w:rFonts w:hint="eastAsia"/>
          <w:b/>
          <w:bCs/>
        </w:rPr>
        <w:t>本次交流会参与单位名单</w:t>
      </w:r>
    </w:p>
    <w:p w14:paraId="16EE5B9C">
      <w:pPr>
        <w:spacing w:before="156" w:beforeLines="50"/>
        <w:ind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中信证券、</w:t>
      </w:r>
      <w:r>
        <w:rPr>
          <w:rFonts w:hint="eastAsia"/>
          <w:lang w:val="en-US" w:eastAsia="zh-CN"/>
        </w:rPr>
        <w:t>中金证券、华泰证券、山西证券、</w:t>
      </w:r>
      <w:r>
        <w:rPr>
          <w:rFonts w:hint="eastAsia"/>
          <w:lang w:eastAsia="zh-CN"/>
        </w:rPr>
        <w:t>国泰君安、博时基金、汇金盛私募基金、深圳时代伯乐私募基金、东方嘉富私募基金、芜湖国投、锦绣中和资本、灏浚投资、东方电气集团投资部、联通中讯投资、三峡资本、固信控股、湖南迪策投资、无锡创投、金塔投资、福建盈方得投资、广东恒健控股、安徽皖能资本、民沣资产、友邦保险、上海伟星资产管理、华西银峰、国元创投、江苏毅达、国海创新投、青岛城投金控、山东鲁信创投、江西中文传媒蓝海国投、浙商证券、金锝资本、安信机械、湖南华洲投资、华泰保险资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BEFA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325C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A6E6E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14D06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0C6C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5AB4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iNDNmOTdkN2FmMDNhZjYwYzU1NWVlN2NhNmFkMTUifQ=="/>
  </w:docVars>
  <w:rsids>
    <w:rsidRoot w:val="00A04A90"/>
    <w:rsid w:val="0004188B"/>
    <w:rsid w:val="000A788F"/>
    <w:rsid w:val="001068BA"/>
    <w:rsid w:val="0015672F"/>
    <w:rsid w:val="00172650"/>
    <w:rsid w:val="001B631B"/>
    <w:rsid w:val="00221435"/>
    <w:rsid w:val="00292E04"/>
    <w:rsid w:val="0034156B"/>
    <w:rsid w:val="00341B3D"/>
    <w:rsid w:val="00367D0A"/>
    <w:rsid w:val="0039708D"/>
    <w:rsid w:val="003E6080"/>
    <w:rsid w:val="00415532"/>
    <w:rsid w:val="004B11F1"/>
    <w:rsid w:val="004B2A38"/>
    <w:rsid w:val="00560FF4"/>
    <w:rsid w:val="00566AB4"/>
    <w:rsid w:val="00616718"/>
    <w:rsid w:val="00724383"/>
    <w:rsid w:val="007F32F9"/>
    <w:rsid w:val="00887ADC"/>
    <w:rsid w:val="00A04A90"/>
    <w:rsid w:val="00A35F44"/>
    <w:rsid w:val="00A76C1C"/>
    <w:rsid w:val="00B403DF"/>
    <w:rsid w:val="00BD19B1"/>
    <w:rsid w:val="00C0683E"/>
    <w:rsid w:val="00C41E2E"/>
    <w:rsid w:val="00D86080"/>
    <w:rsid w:val="00DB08B2"/>
    <w:rsid w:val="00DC3339"/>
    <w:rsid w:val="00E04CFB"/>
    <w:rsid w:val="00EA7A71"/>
    <w:rsid w:val="00F176C5"/>
    <w:rsid w:val="00F72495"/>
    <w:rsid w:val="00FF5808"/>
    <w:rsid w:val="03992A38"/>
    <w:rsid w:val="046E0D91"/>
    <w:rsid w:val="04EF7612"/>
    <w:rsid w:val="056F4123"/>
    <w:rsid w:val="05AD5689"/>
    <w:rsid w:val="05F34262"/>
    <w:rsid w:val="05FD7471"/>
    <w:rsid w:val="062D7EF4"/>
    <w:rsid w:val="064472B3"/>
    <w:rsid w:val="06F94C8E"/>
    <w:rsid w:val="071F0385"/>
    <w:rsid w:val="07891EF3"/>
    <w:rsid w:val="07D56504"/>
    <w:rsid w:val="08B95ACB"/>
    <w:rsid w:val="08D45E53"/>
    <w:rsid w:val="08F82F0A"/>
    <w:rsid w:val="097E2396"/>
    <w:rsid w:val="0994451B"/>
    <w:rsid w:val="0999253A"/>
    <w:rsid w:val="09AA7002"/>
    <w:rsid w:val="0A360CC8"/>
    <w:rsid w:val="0A5A556D"/>
    <w:rsid w:val="0B3C59BC"/>
    <w:rsid w:val="0B545361"/>
    <w:rsid w:val="0B675A09"/>
    <w:rsid w:val="0B902374"/>
    <w:rsid w:val="0BDE2A9B"/>
    <w:rsid w:val="0C0E0F70"/>
    <w:rsid w:val="0C7147A4"/>
    <w:rsid w:val="0CFE61DC"/>
    <w:rsid w:val="0D243CE5"/>
    <w:rsid w:val="0D2E0914"/>
    <w:rsid w:val="0D5A25F6"/>
    <w:rsid w:val="0DB354C3"/>
    <w:rsid w:val="0E19425F"/>
    <w:rsid w:val="0E2F1266"/>
    <w:rsid w:val="0E342478"/>
    <w:rsid w:val="0EAB4064"/>
    <w:rsid w:val="0EDF5C50"/>
    <w:rsid w:val="0EE143CC"/>
    <w:rsid w:val="0F2C0EC9"/>
    <w:rsid w:val="10022AD1"/>
    <w:rsid w:val="10967AE5"/>
    <w:rsid w:val="1097590F"/>
    <w:rsid w:val="10F615D2"/>
    <w:rsid w:val="111E6246"/>
    <w:rsid w:val="11535CDA"/>
    <w:rsid w:val="1320788F"/>
    <w:rsid w:val="13395BFE"/>
    <w:rsid w:val="14542C8E"/>
    <w:rsid w:val="151866DD"/>
    <w:rsid w:val="158B7D6E"/>
    <w:rsid w:val="15D62442"/>
    <w:rsid w:val="15E53CE7"/>
    <w:rsid w:val="163C4F8E"/>
    <w:rsid w:val="166C2932"/>
    <w:rsid w:val="172E61C9"/>
    <w:rsid w:val="18BB3F98"/>
    <w:rsid w:val="18CD6A2A"/>
    <w:rsid w:val="19602514"/>
    <w:rsid w:val="19AF3CC9"/>
    <w:rsid w:val="1AE6093A"/>
    <w:rsid w:val="1AEC5AF1"/>
    <w:rsid w:val="1B6934B7"/>
    <w:rsid w:val="1BA50EE0"/>
    <w:rsid w:val="1CBB438E"/>
    <w:rsid w:val="1D007EB9"/>
    <w:rsid w:val="1D8761CA"/>
    <w:rsid w:val="1D9E358B"/>
    <w:rsid w:val="1DB81F6F"/>
    <w:rsid w:val="1E0B7137"/>
    <w:rsid w:val="1E6F4FD6"/>
    <w:rsid w:val="1EF23897"/>
    <w:rsid w:val="1F182311"/>
    <w:rsid w:val="203A5C63"/>
    <w:rsid w:val="20DD736E"/>
    <w:rsid w:val="21C11659"/>
    <w:rsid w:val="222909F6"/>
    <w:rsid w:val="22343D07"/>
    <w:rsid w:val="22CB34D9"/>
    <w:rsid w:val="23607518"/>
    <w:rsid w:val="242E1E54"/>
    <w:rsid w:val="25152536"/>
    <w:rsid w:val="254F010E"/>
    <w:rsid w:val="25692D38"/>
    <w:rsid w:val="25916979"/>
    <w:rsid w:val="2628236A"/>
    <w:rsid w:val="263144BF"/>
    <w:rsid w:val="26512AC7"/>
    <w:rsid w:val="26776F29"/>
    <w:rsid w:val="273405D3"/>
    <w:rsid w:val="276B1F8A"/>
    <w:rsid w:val="28DF5DB8"/>
    <w:rsid w:val="28EF55A9"/>
    <w:rsid w:val="290E608F"/>
    <w:rsid w:val="2AB17C47"/>
    <w:rsid w:val="2B373B1E"/>
    <w:rsid w:val="2B464277"/>
    <w:rsid w:val="2C405F5A"/>
    <w:rsid w:val="2CA435E6"/>
    <w:rsid w:val="2D99033E"/>
    <w:rsid w:val="2E5C38AA"/>
    <w:rsid w:val="2EB14D2D"/>
    <w:rsid w:val="2F222CFB"/>
    <w:rsid w:val="30423F8F"/>
    <w:rsid w:val="309F7B3C"/>
    <w:rsid w:val="30BE0B80"/>
    <w:rsid w:val="31167C83"/>
    <w:rsid w:val="312048D6"/>
    <w:rsid w:val="31896D91"/>
    <w:rsid w:val="31B5579D"/>
    <w:rsid w:val="32C705FF"/>
    <w:rsid w:val="32FD564D"/>
    <w:rsid w:val="344677D9"/>
    <w:rsid w:val="3493726F"/>
    <w:rsid w:val="34EA14F9"/>
    <w:rsid w:val="35092A5B"/>
    <w:rsid w:val="35231938"/>
    <w:rsid w:val="35A644E7"/>
    <w:rsid w:val="35A6498C"/>
    <w:rsid w:val="35AE08D1"/>
    <w:rsid w:val="35B36283"/>
    <w:rsid w:val="361E2E3B"/>
    <w:rsid w:val="369000FB"/>
    <w:rsid w:val="36A9495A"/>
    <w:rsid w:val="36E20E6E"/>
    <w:rsid w:val="36EB421D"/>
    <w:rsid w:val="371213AB"/>
    <w:rsid w:val="37294C45"/>
    <w:rsid w:val="37454E8D"/>
    <w:rsid w:val="383218F5"/>
    <w:rsid w:val="387D2A94"/>
    <w:rsid w:val="39C72116"/>
    <w:rsid w:val="39F80AC8"/>
    <w:rsid w:val="3AB2230F"/>
    <w:rsid w:val="3B363538"/>
    <w:rsid w:val="3B3D0D16"/>
    <w:rsid w:val="3BE26331"/>
    <w:rsid w:val="3CC452CF"/>
    <w:rsid w:val="3CCC056A"/>
    <w:rsid w:val="3CDE0225"/>
    <w:rsid w:val="3D1A03A3"/>
    <w:rsid w:val="3D843256"/>
    <w:rsid w:val="3DAF5796"/>
    <w:rsid w:val="3DE67131"/>
    <w:rsid w:val="3DF93735"/>
    <w:rsid w:val="3ED77A19"/>
    <w:rsid w:val="402A492A"/>
    <w:rsid w:val="403C14B0"/>
    <w:rsid w:val="40DD7E52"/>
    <w:rsid w:val="40FF513C"/>
    <w:rsid w:val="4110479E"/>
    <w:rsid w:val="412308D6"/>
    <w:rsid w:val="41701AC5"/>
    <w:rsid w:val="41D67E3E"/>
    <w:rsid w:val="423C6CA7"/>
    <w:rsid w:val="43273890"/>
    <w:rsid w:val="43C3308D"/>
    <w:rsid w:val="43E43477"/>
    <w:rsid w:val="445D43CE"/>
    <w:rsid w:val="44AE49FA"/>
    <w:rsid w:val="45126EE8"/>
    <w:rsid w:val="452E7C97"/>
    <w:rsid w:val="4562378C"/>
    <w:rsid w:val="45786E09"/>
    <w:rsid w:val="45842533"/>
    <w:rsid w:val="45C23604"/>
    <w:rsid w:val="46157427"/>
    <w:rsid w:val="46272CCC"/>
    <w:rsid w:val="463773A8"/>
    <w:rsid w:val="463F2F04"/>
    <w:rsid w:val="46AB23A4"/>
    <w:rsid w:val="46EF4875"/>
    <w:rsid w:val="46FA5FC1"/>
    <w:rsid w:val="46FE53F4"/>
    <w:rsid w:val="476E552E"/>
    <w:rsid w:val="47983228"/>
    <w:rsid w:val="47EC15E0"/>
    <w:rsid w:val="487B2E45"/>
    <w:rsid w:val="493A4430"/>
    <w:rsid w:val="49872E84"/>
    <w:rsid w:val="4B1C644B"/>
    <w:rsid w:val="4B2A0A60"/>
    <w:rsid w:val="4B3712DB"/>
    <w:rsid w:val="4B775268"/>
    <w:rsid w:val="4CAD5597"/>
    <w:rsid w:val="4CB329A0"/>
    <w:rsid w:val="4D3A6092"/>
    <w:rsid w:val="4D621D48"/>
    <w:rsid w:val="4DEF37F4"/>
    <w:rsid w:val="4E585125"/>
    <w:rsid w:val="4F2A26AF"/>
    <w:rsid w:val="4F3D523D"/>
    <w:rsid w:val="4F432A39"/>
    <w:rsid w:val="507C5420"/>
    <w:rsid w:val="508D1967"/>
    <w:rsid w:val="51404F59"/>
    <w:rsid w:val="523314A4"/>
    <w:rsid w:val="52543BCA"/>
    <w:rsid w:val="52827994"/>
    <w:rsid w:val="554F3F94"/>
    <w:rsid w:val="55627866"/>
    <w:rsid w:val="558F3908"/>
    <w:rsid w:val="55CF391C"/>
    <w:rsid w:val="55D747B5"/>
    <w:rsid w:val="56147933"/>
    <w:rsid w:val="56220DA3"/>
    <w:rsid w:val="56334041"/>
    <w:rsid w:val="5655678E"/>
    <w:rsid w:val="56A23B8F"/>
    <w:rsid w:val="56B379F6"/>
    <w:rsid w:val="56B44DED"/>
    <w:rsid w:val="56CD0D0F"/>
    <w:rsid w:val="57701DEF"/>
    <w:rsid w:val="57E313B8"/>
    <w:rsid w:val="58360B36"/>
    <w:rsid w:val="58B82900"/>
    <w:rsid w:val="58C61420"/>
    <w:rsid w:val="58DB6C45"/>
    <w:rsid w:val="594F2E0B"/>
    <w:rsid w:val="59DB0B42"/>
    <w:rsid w:val="5A1F7AD4"/>
    <w:rsid w:val="5A3F2FBB"/>
    <w:rsid w:val="5A8B5169"/>
    <w:rsid w:val="5AB126F6"/>
    <w:rsid w:val="5B6961F4"/>
    <w:rsid w:val="5C722D71"/>
    <w:rsid w:val="5CF717A6"/>
    <w:rsid w:val="5D12446E"/>
    <w:rsid w:val="5D2A3DA9"/>
    <w:rsid w:val="5D841B09"/>
    <w:rsid w:val="5DE30976"/>
    <w:rsid w:val="5E370DAB"/>
    <w:rsid w:val="5E4C5A2A"/>
    <w:rsid w:val="5E7214D9"/>
    <w:rsid w:val="5E813AC6"/>
    <w:rsid w:val="5FF265E2"/>
    <w:rsid w:val="60434155"/>
    <w:rsid w:val="609438C2"/>
    <w:rsid w:val="609A73B1"/>
    <w:rsid w:val="60F101AC"/>
    <w:rsid w:val="615B315A"/>
    <w:rsid w:val="61860438"/>
    <w:rsid w:val="623B2F14"/>
    <w:rsid w:val="62C44B02"/>
    <w:rsid w:val="632810D9"/>
    <w:rsid w:val="64FC5E98"/>
    <w:rsid w:val="658632A3"/>
    <w:rsid w:val="65AC545A"/>
    <w:rsid w:val="66170BE4"/>
    <w:rsid w:val="66411B0D"/>
    <w:rsid w:val="666F6B72"/>
    <w:rsid w:val="66971E25"/>
    <w:rsid w:val="66984186"/>
    <w:rsid w:val="675E4479"/>
    <w:rsid w:val="68110939"/>
    <w:rsid w:val="682209D5"/>
    <w:rsid w:val="682520AE"/>
    <w:rsid w:val="68BD3E65"/>
    <w:rsid w:val="68F578EF"/>
    <w:rsid w:val="69013EBB"/>
    <w:rsid w:val="6962766B"/>
    <w:rsid w:val="6A6646D3"/>
    <w:rsid w:val="6A947751"/>
    <w:rsid w:val="6AA07C7D"/>
    <w:rsid w:val="6B2320D7"/>
    <w:rsid w:val="6B486645"/>
    <w:rsid w:val="6C401282"/>
    <w:rsid w:val="6C552B0C"/>
    <w:rsid w:val="6D170ADE"/>
    <w:rsid w:val="6D7B72BF"/>
    <w:rsid w:val="6DCF5A41"/>
    <w:rsid w:val="6DDB3EE5"/>
    <w:rsid w:val="6DFF3A4C"/>
    <w:rsid w:val="6E91041D"/>
    <w:rsid w:val="6EA246FA"/>
    <w:rsid w:val="6F0912E7"/>
    <w:rsid w:val="6F2359EC"/>
    <w:rsid w:val="6FF774F9"/>
    <w:rsid w:val="70946115"/>
    <w:rsid w:val="70A26C7F"/>
    <w:rsid w:val="70BA6A60"/>
    <w:rsid w:val="70D32F6E"/>
    <w:rsid w:val="7110621E"/>
    <w:rsid w:val="712A0F88"/>
    <w:rsid w:val="71A57FD3"/>
    <w:rsid w:val="720570CF"/>
    <w:rsid w:val="72EC4D6C"/>
    <w:rsid w:val="733C129F"/>
    <w:rsid w:val="737001B4"/>
    <w:rsid w:val="74456304"/>
    <w:rsid w:val="74FE0515"/>
    <w:rsid w:val="754B0F8D"/>
    <w:rsid w:val="75665B95"/>
    <w:rsid w:val="7620540F"/>
    <w:rsid w:val="776E077C"/>
    <w:rsid w:val="77E61211"/>
    <w:rsid w:val="785E42AE"/>
    <w:rsid w:val="78A8721C"/>
    <w:rsid w:val="79C836E8"/>
    <w:rsid w:val="7A5813BA"/>
    <w:rsid w:val="7A5E3EBB"/>
    <w:rsid w:val="7A9208D8"/>
    <w:rsid w:val="7AB07394"/>
    <w:rsid w:val="7AE603FF"/>
    <w:rsid w:val="7B5C0849"/>
    <w:rsid w:val="7B681841"/>
    <w:rsid w:val="7BCE584D"/>
    <w:rsid w:val="7BF42D0D"/>
    <w:rsid w:val="7C9243EF"/>
    <w:rsid w:val="7C992E9A"/>
    <w:rsid w:val="7CC943FF"/>
    <w:rsid w:val="7D580A83"/>
    <w:rsid w:val="7D9738CE"/>
    <w:rsid w:val="7DBE6FA8"/>
    <w:rsid w:val="7E1E5221"/>
    <w:rsid w:val="7F222CEA"/>
    <w:rsid w:val="7F807CE3"/>
    <w:rsid w:val="7FB755D6"/>
    <w:rsid w:val="7FEB1DA6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</w:pPr>
  </w:style>
  <w:style w:type="character" w:styleId="9">
    <w:name w:val="annotation reference"/>
    <w:basedOn w:val="8"/>
    <w:autoRedefine/>
    <w:qFormat/>
    <w:uiPriority w:val="0"/>
    <w:rPr>
      <w:sz w:val="21"/>
      <w:szCs w:val="21"/>
    </w:rPr>
  </w:style>
  <w:style w:type="paragraph" w:styleId="10">
    <w:name w:val="List Paragraph"/>
    <w:basedOn w:val="1"/>
    <w:autoRedefine/>
    <w:qFormat/>
    <w:uiPriority w:val="34"/>
    <w:pPr>
      <w:ind w:firstLine="420"/>
    </w:pPr>
  </w:style>
  <w:style w:type="paragraph" w:customStyle="1" w:styleId="11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2">
    <w:name w:val="批注框文本 字符"/>
    <w:basedOn w:val="8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43712-139A-4C55-AC61-988E5C723A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1586</Words>
  <Characters>1636</Characters>
  <Lines>9</Lines>
  <Paragraphs>2</Paragraphs>
  <TotalTime>279</TotalTime>
  <ScaleCrop>false</ScaleCrop>
  <LinksUpToDate>false</LinksUpToDate>
  <CharactersWithSpaces>1701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2022-08-04T01:28:00Z</dcterms:created>
  <dc:creator>Administrator</dc:creator>
  <cp:lastModifiedBy>ZSH</cp:lastModifiedBy>
  <dcterms:modified xsi:type="dcterms:W3CDTF">2024-10-15T09:20:01Z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82F8028F09CD4FEB96475455AD5E9B6A</vt:lpwstr>
  </property>
</Properties>
</file>