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B6F3A" w14:textId="77777777" w:rsidR="00D53A5A"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688285                             </w:t>
      </w:r>
      <w:r>
        <w:rPr>
          <w:rFonts w:hAnsi="宋体"/>
          <w:bCs/>
          <w:iCs/>
          <w:color w:val="000000"/>
          <w:sz w:val="24"/>
        </w:rPr>
        <w:t>证券简称：</w:t>
      </w:r>
      <w:r>
        <w:rPr>
          <w:color w:val="000000"/>
          <w:sz w:val="24"/>
        </w:rPr>
        <w:t>高铁电气</w:t>
      </w:r>
    </w:p>
    <w:p w14:paraId="6B86D85D" w14:textId="77777777" w:rsidR="00D53A5A"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中铁高铁电气装备股份有限公司</w:t>
      </w:r>
      <w:r>
        <w:rPr>
          <w:rFonts w:ascii="宋体" w:hAnsi="宋体" w:hint="eastAsia"/>
          <w:b/>
          <w:bCs/>
          <w:iCs/>
          <w:color w:val="000000"/>
          <w:sz w:val="32"/>
          <w:szCs w:val="32"/>
        </w:rPr>
        <w:t>投资者关系活动记录表</w:t>
      </w:r>
    </w:p>
    <w:p w14:paraId="2F274EE3" w14:textId="419EB57D" w:rsidR="00D53A5A" w:rsidRDefault="00D53A5A">
      <w:pPr>
        <w:spacing w:line="40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D53A5A" w14:paraId="3DF4EC44" w14:textId="77777777">
        <w:tc>
          <w:tcPr>
            <w:tcW w:w="1908" w:type="dxa"/>
            <w:tcBorders>
              <w:top w:val="single" w:sz="4" w:space="0" w:color="auto"/>
              <w:left w:val="single" w:sz="4" w:space="0" w:color="auto"/>
              <w:bottom w:val="single" w:sz="4" w:space="0" w:color="auto"/>
              <w:right w:val="single" w:sz="4" w:space="0" w:color="auto"/>
            </w:tcBorders>
          </w:tcPr>
          <w:p w14:paraId="120A31E9" w14:textId="77777777" w:rsidR="00D53A5A" w:rsidRDefault="00000000">
            <w:pPr>
              <w:spacing w:line="420" w:lineRule="exact"/>
              <w:rPr>
                <w:bCs/>
                <w:iCs/>
                <w:color w:val="000000"/>
                <w:kern w:val="0"/>
                <w:sz w:val="24"/>
              </w:rPr>
            </w:pPr>
            <w:r>
              <w:rPr>
                <w:rFonts w:hAnsi="宋体"/>
                <w:bCs/>
                <w:iCs/>
                <w:color w:val="000000"/>
                <w:kern w:val="0"/>
                <w:sz w:val="24"/>
              </w:rPr>
              <w:t>投资者关系活动类别</w:t>
            </w:r>
          </w:p>
          <w:p w14:paraId="2C296A26" w14:textId="77777777" w:rsidR="00D53A5A" w:rsidRDefault="00D53A5A">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BD9F79D" w14:textId="77777777" w:rsidR="00D53A5A"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rPr>
              <w:t>☑</w:t>
            </w:r>
            <w:r>
              <w:rPr>
                <w:rFonts w:hint="eastAsia"/>
                <w:bCs/>
                <w:iCs/>
                <w:color w:val="000000"/>
                <w:kern w:val="0"/>
                <w:sz w:val="24"/>
              </w:rPr>
              <w:t xml:space="preserve"> </w:t>
            </w:r>
            <w:r>
              <w:rPr>
                <w:rFonts w:hAnsi="宋体"/>
                <w:kern w:val="0"/>
                <w:sz w:val="24"/>
              </w:rPr>
              <w:t>分析师会议</w:t>
            </w:r>
          </w:p>
          <w:p w14:paraId="03FD2AA4" w14:textId="77777777" w:rsidR="00D53A5A"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2597892" w14:textId="77777777" w:rsidR="00D53A5A"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D734C35" w14:textId="2CE68DA0" w:rsidR="00D53A5A" w:rsidRDefault="003F4482">
            <w:pPr>
              <w:tabs>
                <w:tab w:val="left" w:pos="3045"/>
                <w:tab w:val="center" w:pos="3199"/>
              </w:tabs>
              <w:spacing w:line="420" w:lineRule="exact"/>
              <w:rPr>
                <w:bCs/>
                <w:iCs/>
                <w:color w:val="000000"/>
                <w:kern w:val="0"/>
                <w:sz w:val="24"/>
              </w:rPr>
            </w:pPr>
            <w:r>
              <w:rPr>
                <w:rFonts w:hint="eastAsia"/>
                <w:bCs/>
                <w:iCs/>
                <w:color w:val="000000"/>
                <w:kern w:val="0"/>
                <w:sz w:val="24"/>
              </w:rPr>
              <w:t>☑</w:t>
            </w:r>
            <w:r w:rsidR="00000000">
              <w:rPr>
                <w:rFonts w:hint="eastAsia"/>
                <w:bCs/>
                <w:iCs/>
                <w:color w:val="000000"/>
                <w:kern w:val="0"/>
                <w:sz w:val="24"/>
              </w:rPr>
              <w:t xml:space="preserve"> </w:t>
            </w:r>
            <w:r w:rsidR="00000000">
              <w:rPr>
                <w:rFonts w:hAnsi="宋体"/>
                <w:kern w:val="0"/>
                <w:sz w:val="24"/>
              </w:rPr>
              <w:t>现场参观</w:t>
            </w:r>
            <w:r w:rsidR="00000000">
              <w:rPr>
                <w:bCs/>
                <w:iCs/>
                <w:color w:val="000000"/>
                <w:kern w:val="0"/>
                <w:sz w:val="24"/>
              </w:rPr>
              <w:tab/>
            </w:r>
          </w:p>
          <w:p w14:paraId="2B3F7EEC" w14:textId="77777777" w:rsidR="00D53A5A"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hint="eastAsia"/>
                <w:kern w:val="0"/>
                <w:sz w:val="24"/>
              </w:rPr>
              <w:t xml:space="preserve"> </w:t>
            </w:r>
            <w:r>
              <w:rPr>
                <w:rFonts w:hAnsi="宋体" w:hint="eastAsia"/>
                <w:kern w:val="0"/>
                <w:sz w:val="24"/>
                <w:u w:val="single"/>
              </w:rPr>
              <w:t xml:space="preserve">         </w:t>
            </w:r>
          </w:p>
        </w:tc>
      </w:tr>
      <w:tr w:rsidR="00D53A5A" w14:paraId="5C5DA8C8" w14:textId="77777777">
        <w:tc>
          <w:tcPr>
            <w:tcW w:w="1908" w:type="dxa"/>
            <w:tcBorders>
              <w:top w:val="single" w:sz="4" w:space="0" w:color="auto"/>
              <w:left w:val="single" w:sz="4" w:space="0" w:color="auto"/>
              <w:bottom w:val="single" w:sz="4" w:space="0" w:color="auto"/>
              <w:right w:val="single" w:sz="4" w:space="0" w:color="auto"/>
            </w:tcBorders>
          </w:tcPr>
          <w:p w14:paraId="7818BFF2" w14:textId="77777777" w:rsidR="00D53A5A"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1693FCE"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西部证券股份有限公司：宝鸡分公司总经理李卫强先生、首席分析师陈宏先生、个人投资者</w:t>
            </w:r>
          </w:p>
        </w:tc>
      </w:tr>
      <w:tr w:rsidR="00D53A5A" w14:paraId="1F057854" w14:textId="77777777">
        <w:tc>
          <w:tcPr>
            <w:tcW w:w="1908" w:type="dxa"/>
            <w:tcBorders>
              <w:top w:val="single" w:sz="4" w:space="0" w:color="auto"/>
              <w:left w:val="single" w:sz="4" w:space="0" w:color="auto"/>
              <w:bottom w:val="single" w:sz="4" w:space="0" w:color="auto"/>
              <w:right w:val="single" w:sz="4" w:space="0" w:color="auto"/>
            </w:tcBorders>
          </w:tcPr>
          <w:p w14:paraId="1020E237" w14:textId="77777777" w:rsidR="00D53A5A"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58931E7D"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2024年10月15日下午15:30</w:t>
            </w:r>
          </w:p>
        </w:tc>
      </w:tr>
      <w:tr w:rsidR="00D53A5A" w14:paraId="4EB26BF1" w14:textId="77777777">
        <w:tc>
          <w:tcPr>
            <w:tcW w:w="1908" w:type="dxa"/>
            <w:tcBorders>
              <w:top w:val="single" w:sz="4" w:space="0" w:color="auto"/>
              <w:left w:val="single" w:sz="4" w:space="0" w:color="auto"/>
              <w:bottom w:val="single" w:sz="4" w:space="0" w:color="auto"/>
              <w:right w:val="single" w:sz="4" w:space="0" w:color="auto"/>
            </w:tcBorders>
          </w:tcPr>
          <w:p w14:paraId="2FE5FCF8" w14:textId="77777777" w:rsidR="00D53A5A"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5267064"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中铁高铁电气装备股份有限公司6楼会议室</w:t>
            </w:r>
          </w:p>
        </w:tc>
      </w:tr>
      <w:tr w:rsidR="00D53A5A" w14:paraId="1A403C42" w14:textId="77777777">
        <w:tc>
          <w:tcPr>
            <w:tcW w:w="1908" w:type="dxa"/>
            <w:tcBorders>
              <w:top w:val="single" w:sz="4" w:space="0" w:color="auto"/>
              <w:left w:val="single" w:sz="4" w:space="0" w:color="auto"/>
              <w:bottom w:val="single" w:sz="4" w:space="0" w:color="auto"/>
              <w:right w:val="single" w:sz="4" w:space="0" w:color="auto"/>
            </w:tcBorders>
          </w:tcPr>
          <w:p w14:paraId="2DE3DE8F" w14:textId="77777777" w:rsidR="00D53A5A"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1ED5EE7"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陈敏华、王徐策、王舒平、袁晋洲</w:t>
            </w:r>
          </w:p>
        </w:tc>
      </w:tr>
      <w:tr w:rsidR="00D53A5A" w14:paraId="4DD26368" w14:textId="77777777">
        <w:tc>
          <w:tcPr>
            <w:tcW w:w="1908" w:type="dxa"/>
            <w:tcBorders>
              <w:top w:val="single" w:sz="4" w:space="0" w:color="auto"/>
              <w:left w:val="single" w:sz="4" w:space="0" w:color="auto"/>
              <w:bottom w:val="single" w:sz="4" w:space="0" w:color="auto"/>
              <w:right w:val="single" w:sz="4" w:space="0" w:color="auto"/>
            </w:tcBorders>
            <w:vAlign w:val="center"/>
          </w:tcPr>
          <w:p w14:paraId="2D5472BD" w14:textId="77777777" w:rsidR="00D53A5A" w:rsidRDefault="00000000">
            <w:pPr>
              <w:spacing w:line="420" w:lineRule="exact"/>
              <w:rPr>
                <w:bCs/>
                <w:iCs/>
                <w:color w:val="000000"/>
                <w:kern w:val="0"/>
                <w:sz w:val="24"/>
              </w:rPr>
            </w:pPr>
            <w:r>
              <w:rPr>
                <w:rFonts w:hAnsi="宋体"/>
                <w:bCs/>
                <w:iCs/>
                <w:color w:val="000000"/>
                <w:kern w:val="0"/>
                <w:sz w:val="24"/>
              </w:rPr>
              <w:t>投资者关系活动主要内容介绍</w:t>
            </w:r>
          </w:p>
          <w:p w14:paraId="1BC2906F" w14:textId="77777777" w:rsidR="00D53A5A" w:rsidRDefault="00D53A5A">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6455B75"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一、未来公司发展规划及经营方针</w:t>
            </w:r>
          </w:p>
          <w:p w14:paraId="146F03F6"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回复：公司旨在打造“以轨道交通供电装备为主导、发展与主营业务相通、工艺相近的非传统产品新领域”的产业格局。一是通过技术创新保持轨道交通供电装备的领先优势，依托科研成果产业化或资本运作，强链补链，实现“全制式、更高速、智能化、上下游”，由轨道交通供电装备制造向轨道交通供电装备集成和系统方案服务转型；二是对公司具备核心竞争力的新兴业务如铸造铝合金、高强度防松紧固件等产品实现扩能升级，从轨内走向轨外，开拓高附加值的轨外新市场；三是紧密围绕科创资本平台与产业创新政策，以资本运作为纽带，抓住轨道交通运维向数字化、智能化转型发展的窗口期，搭建产业化平台，加速智能建造和智能施工运维装备新兴产业落地；四是聚焦轨道交通储能、无网化等前沿技术研究与突破，为公司开拓绿色低碳装备新产业。最终实现“一业为主，相关多元，三大产业基地，四大产品体系”</w:t>
            </w:r>
            <w:r>
              <w:rPr>
                <w:rFonts w:ascii="宋体" w:hAnsi="宋体" w:hint="eastAsia"/>
                <w:bCs/>
                <w:iCs/>
                <w:color w:val="000000"/>
                <w:sz w:val="24"/>
              </w:rPr>
              <w:lastRenderedPageBreak/>
              <w:t>的产业发展格局，成为“轨道交通供电装备技术创新的引领者”“轨道交通智能施工运维的推动者”“绿色低碳发展的践行者”。</w:t>
            </w:r>
          </w:p>
          <w:p w14:paraId="0062783A"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二、公司如何进行市值管理及保护中小投资者权益</w:t>
            </w:r>
          </w:p>
          <w:p w14:paraId="76382136"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回复：市值管理方面，公司充分利用业绩说明会、上证E互动平台、电话及邮件等方式回复资本市场投资者问题，维护公司良好形象。利用舆情应对流程对媒体报道中的重大事件、热点问题及与投资者沟通过程中涉及不良舆情的信息与相关部门及时沟通确认信息的真实性，并向管理层反馈事件情况，制定解决方案并及时实施。同时，本着回报投资者的原则，自上市以来，公司每年均会实施股利分配，2024年，公司首次实施中期分红计划，进一步树立了回报股东的良好口碑。</w:t>
            </w:r>
          </w:p>
          <w:p w14:paraId="28382EA9"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公司董事会秘书为公司投资者关系管理负责人，董事会办公室为投资者关系管理职能部门，具体负责市值管理及公司投资者关系的日常管理工作。公司主要采取了以下措施切实做好投资者关系管理及保护工作：</w:t>
            </w:r>
          </w:p>
          <w:p w14:paraId="652E72BA"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1、确保咨询电话、传真和电子信箱等对外联系渠道畅通，保证咨询电话在工作时间有专人接听，并通过有效形式向投资者答复和反馈相关信息。</w:t>
            </w:r>
          </w:p>
          <w:p w14:paraId="6FDDD66C"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2、为中小股东参加股东大会以及发言、提问提供便利并根据相关的法律法规，向股东提供网络投票的渠道。同时也保障现场出席股东大会的中小投资者与公司董事、监事、高级管理人员有交流的时间。</w:t>
            </w:r>
          </w:p>
          <w:p w14:paraId="623DA0C3"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3、公司相关重大事项受到市场高度关注或质疑时，除应当按照有关法律法规和规范性文件及时履行信息披露义务外，公司通过现场、网络或其他方式召开说明会，介绍情况、解释原因，并回答相关问题。公司董事长、总经理、董事会秘书、财务负责人或其他责任人应当参加说明会。</w:t>
            </w:r>
          </w:p>
          <w:p w14:paraId="166E3808"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lastRenderedPageBreak/>
              <w:t>4、按照相关法律法规积极履行信息披露义务，确保投资者及时获取公司的最新经营状况和重大信息。公司在与投资者沟通时严格遵守有关信息披露制度的要求，避免投资者在沟通中知悉尚未披露的重大信息，确保投资者公平了解到公司信息。</w:t>
            </w:r>
          </w:p>
          <w:p w14:paraId="6A23E0D7"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三、近年来公司业绩下滑的主要原因是什么？</w:t>
            </w:r>
          </w:p>
          <w:p w14:paraId="2D1BF17D"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回复：公司业绩一方面受国家对轨道交通固定资产投资总额影响及各地方资金投入影响，导致整体市场规模逐年下降；另一方面受经济环境下行影响，地方债务风险加大，部分项目资金紧张导致施工进度放缓，短期内造成公司订单任务下降。为提升公司业绩，公司一是加大市场营销力度，紧盯市场形势变化，持续巩固并提升现有市场占有率；二是强化科技创新，提升技术支撑能力，提高产品竞争力。聚焦客户需求、行业前沿、技术痛点，下大力气攻克难点技术，大力推动技术成果转化；三是降本增效，严格费用支出，提升公司整体效益；四是加强内部管理，和客户保持积极联系，及时签认，清理发出商品，同时公司已制定并实施相应的奖惩办法，有效激励销售回款工作。</w:t>
            </w:r>
          </w:p>
          <w:p w14:paraId="47CE29A9"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四、公司未来市场份额及盈利预测情况</w:t>
            </w:r>
          </w:p>
          <w:p w14:paraId="3DB9DAA7" w14:textId="77777777" w:rsidR="00D53A5A" w:rsidRDefault="00000000">
            <w:pPr>
              <w:adjustRightInd w:val="0"/>
              <w:snapToGrid w:val="0"/>
              <w:spacing w:line="500" w:lineRule="exact"/>
              <w:rPr>
                <w:rFonts w:ascii="宋体" w:hAnsi="宋体" w:hint="eastAsia"/>
                <w:bCs/>
                <w:iCs/>
                <w:color w:val="000000"/>
                <w:sz w:val="24"/>
              </w:rPr>
            </w:pPr>
            <w:r>
              <w:rPr>
                <w:rFonts w:ascii="宋体" w:hAnsi="宋体" w:hint="eastAsia"/>
                <w:bCs/>
                <w:iCs/>
                <w:color w:val="000000"/>
                <w:sz w:val="24"/>
              </w:rPr>
              <w:t>回复：公司作为国内电气化铁路接触网产品及城市轨道交通供电设备的龙头企业，在电气化铁路接触网产品、城市轨道交通供电设备领域全面布局，具有完备的产品体系和经验丰富的技术研发团队。公司将持续主业产品的技术迭代研究，引进先进科技资源，不断融合新技术、新模式，进行产品轻量化、智能化、绿色化方面的研究，做实前沿技术储备；紧跟国家战略，不断探索新兴领域技术研究，为公司产业链延伸提供支撑，实现公司多元化发展，保持公司的竞争力。</w:t>
            </w:r>
          </w:p>
        </w:tc>
      </w:tr>
      <w:tr w:rsidR="00D53A5A" w14:paraId="69EBEC9A" w14:textId="77777777">
        <w:tc>
          <w:tcPr>
            <w:tcW w:w="1908" w:type="dxa"/>
            <w:tcBorders>
              <w:top w:val="single" w:sz="4" w:space="0" w:color="auto"/>
              <w:left w:val="single" w:sz="4" w:space="0" w:color="auto"/>
              <w:bottom w:val="single" w:sz="4" w:space="0" w:color="auto"/>
              <w:right w:val="single" w:sz="4" w:space="0" w:color="auto"/>
            </w:tcBorders>
            <w:vAlign w:val="center"/>
          </w:tcPr>
          <w:p w14:paraId="1B3C66B3" w14:textId="77777777" w:rsidR="00D53A5A"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773C934D" w14:textId="77777777" w:rsidR="00D53A5A" w:rsidRDefault="00D53A5A">
            <w:pPr>
              <w:spacing w:line="420" w:lineRule="exact"/>
              <w:rPr>
                <w:bCs/>
                <w:iCs/>
                <w:color w:val="000000"/>
                <w:sz w:val="24"/>
              </w:rPr>
            </w:pPr>
          </w:p>
        </w:tc>
      </w:tr>
      <w:tr w:rsidR="00D53A5A" w14:paraId="33A8D0E5" w14:textId="77777777">
        <w:tc>
          <w:tcPr>
            <w:tcW w:w="1908" w:type="dxa"/>
            <w:tcBorders>
              <w:top w:val="single" w:sz="4" w:space="0" w:color="auto"/>
              <w:left w:val="single" w:sz="4" w:space="0" w:color="auto"/>
              <w:bottom w:val="single" w:sz="4" w:space="0" w:color="auto"/>
              <w:right w:val="single" w:sz="4" w:space="0" w:color="auto"/>
            </w:tcBorders>
            <w:vAlign w:val="center"/>
          </w:tcPr>
          <w:p w14:paraId="1AE0C510" w14:textId="77777777" w:rsidR="00D53A5A"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BF4A69E" w14:textId="77777777" w:rsidR="00D53A5A" w:rsidRDefault="00000000">
            <w:pPr>
              <w:spacing w:line="420" w:lineRule="exact"/>
              <w:rPr>
                <w:bCs/>
                <w:iCs/>
                <w:color w:val="000000"/>
                <w:sz w:val="24"/>
              </w:rPr>
            </w:pPr>
            <w:r>
              <w:rPr>
                <w:rFonts w:ascii="宋体" w:hAnsi="宋体" w:hint="eastAsia"/>
                <w:bCs/>
                <w:iCs/>
                <w:color w:val="000000"/>
                <w:sz w:val="24"/>
              </w:rPr>
              <w:t>2024年10月15日</w:t>
            </w:r>
          </w:p>
        </w:tc>
      </w:tr>
    </w:tbl>
    <w:p w14:paraId="6E629E55" w14:textId="77777777" w:rsidR="00D53A5A" w:rsidRDefault="00D53A5A"/>
    <w:sectPr w:rsidR="00D53A5A">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CF07B" w14:textId="77777777" w:rsidR="00AB0F80" w:rsidRDefault="00AB0F80">
      <w:r>
        <w:separator/>
      </w:r>
    </w:p>
  </w:endnote>
  <w:endnote w:type="continuationSeparator" w:id="0">
    <w:p w14:paraId="4BE8B215" w14:textId="77777777" w:rsidR="00AB0F80" w:rsidRDefault="00AB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1575E" w14:textId="77777777" w:rsidR="00AB0F80" w:rsidRDefault="00AB0F80">
      <w:r>
        <w:separator/>
      </w:r>
    </w:p>
  </w:footnote>
  <w:footnote w:type="continuationSeparator" w:id="0">
    <w:p w14:paraId="3C0A7B2F" w14:textId="77777777" w:rsidR="00AB0F80" w:rsidRDefault="00AB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5591" w14:textId="77777777" w:rsidR="00D53A5A" w:rsidRDefault="00D53A5A">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U4NGI4NDM2NzQ4NGI2Mjg3NjY1Njc1ZTJmNDgxYjEifQ=="/>
  </w:docVars>
  <w:rsids>
    <w:rsidRoot w:val="006861C7"/>
    <w:rsid w:val="B7DDD54D"/>
    <w:rsid w:val="E3FFE6ED"/>
    <w:rsid w:val="F5DB8A63"/>
    <w:rsid w:val="F797912E"/>
    <w:rsid w:val="FE7B4896"/>
    <w:rsid w:val="00002235"/>
    <w:rsid w:val="000268C0"/>
    <w:rsid w:val="000363B5"/>
    <w:rsid w:val="000375D7"/>
    <w:rsid w:val="00043015"/>
    <w:rsid w:val="00046DDE"/>
    <w:rsid w:val="00047EB9"/>
    <w:rsid w:val="00060A74"/>
    <w:rsid w:val="00067110"/>
    <w:rsid w:val="0009298A"/>
    <w:rsid w:val="000A2808"/>
    <w:rsid w:val="000A3BAC"/>
    <w:rsid w:val="000C26FD"/>
    <w:rsid w:val="000C2D85"/>
    <w:rsid w:val="000D2450"/>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7760"/>
    <w:rsid w:val="003D18F1"/>
    <w:rsid w:val="003E001E"/>
    <w:rsid w:val="003F4482"/>
    <w:rsid w:val="003F706F"/>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005E"/>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5F2BB8"/>
    <w:rsid w:val="0060779A"/>
    <w:rsid w:val="00607C65"/>
    <w:rsid w:val="00622F13"/>
    <w:rsid w:val="00625503"/>
    <w:rsid w:val="0062662D"/>
    <w:rsid w:val="00632E78"/>
    <w:rsid w:val="006344F1"/>
    <w:rsid w:val="00637186"/>
    <w:rsid w:val="00640964"/>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21107"/>
    <w:rsid w:val="00736B35"/>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D27"/>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74FEE"/>
    <w:rsid w:val="00A8775A"/>
    <w:rsid w:val="00AA5998"/>
    <w:rsid w:val="00AB07E7"/>
    <w:rsid w:val="00AB0F80"/>
    <w:rsid w:val="00AD1BA8"/>
    <w:rsid w:val="00AF2AA7"/>
    <w:rsid w:val="00B02A29"/>
    <w:rsid w:val="00B03522"/>
    <w:rsid w:val="00B04AD6"/>
    <w:rsid w:val="00B14CAA"/>
    <w:rsid w:val="00B257CE"/>
    <w:rsid w:val="00B4746C"/>
    <w:rsid w:val="00B65354"/>
    <w:rsid w:val="00B71A0E"/>
    <w:rsid w:val="00B81765"/>
    <w:rsid w:val="00B832F5"/>
    <w:rsid w:val="00BA2FAB"/>
    <w:rsid w:val="00BB209A"/>
    <w:rsid w:val="00BB5E28"/>
    <w:rsid w:val="00BD15F3"/>
    <w:rsid w:val="00BD7986"/>
    <w:rsid w:val="00BD79D3"/>
    <w:rsid w:val="00BE39FB"/>
    <w:rsid w:val="00C04F82"/>
    <w:rsid w:val="00C15AC0"/>
    <w:rsid w:val="00C26030"/>
    <w:rsid w:val="00C41091"/>
    <w:rsid w:val="00C63056"/>
    <w:rsid w:val="00C661D1"/>
    <w:rsid w:val="00C73B3F"/>
    <w:rsid w:val="00C775BA"/>
    <w:rsid w:val="00C85331"/>
    <w:rsid w:val="00C85A50"/>
    <w:rsid w:val="00C907EA"/>
    <w:rsid w:val="00C94D46"/>
    <w:rsid w:val="00CA443A"/>
    <w:rsid w:val="00CB2461"/>
    <w:rsid w:val="00CB37FD"/>
    <w:rsid w:val="00CC4D65"/>
    <w:rsid w:val="00CC61E7"/>
    <w:rsid w:val="00CD25AD"/>
    <w:rsid w:val="00CD3FFC"/>
    <w:rsid w:val="00CF565C"/>
    <w:rsid w:val="00D016A3"/>
    <w:rsid w:val="00D21593"/>
    <w:rsid w:val="00D512E3"/>
    <w:rsid w:val="00D53A5A"/>
    <w:rsid w:val="00D602C9"/>
    <w:rsid w:val="00DA26A9"/>
    <w:rsid w:val="00DB01FF"/>
    <w:rsid w:val="00DC2AA1"/>
    <w:rsid w:val="00DC7778"/>
    <w:rsid w:val="00DE7391"/>
    <w:rsid w:val="00DF2DB5"/>
    <w:rsid w:val="00DF6560"/>
    <w:rsid w:val="00E04CC0"/>
    <w:rsid w:val="00E136FF"/>
    <w:rsid w:val="00E32528"/>
    <w:rsid w:val="00E35F26"/>
    <w:rsid w:val="00E53165"/>
    <w:rsid w:val="00E60F6D"/>
    <w:rsid w:val="00E61EF7"/>
    <w:rsid w:val="00E663B4"/>
    <w:rsid w:val="00E80CEB"/>
    <w:rsid w:val="00E8634C"/>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0BC6"/>
    <w:rsid w:val="00FE62F3"/>
    <w:rsid w:val="00FF71D2"/>
    <w:rsid w:val="016F044E"/>
    <w:rsid w:val="0397607D"/>
    <w:rsid w:val="056C1590"/>
    <w:rsid w:val="066044DB"/>
    <w:rsid w:val="078B414B"/>
    <w:rsid w:val="1807571C"/>
    <w:rsid w:val="18970C5D"/>
    <w:rsid w:val="19B12138"/>
    <w:rsid w:val="1B2418A5"/>
    <w:rsid w:val="1EBD29E4"/>
    <w:rsid w:val="1FBFC074"/>
    <w:rsid w:val="1FCC3172"/>
    <w:rsid w:val="1FE3647B"/>
    <w:rsid w:val="1FEC2952"/>
    <w:rsid w:val="200F7270"/>
    <w:rsid w:val="21512A3D"/>
    <w:rsid w:val="216C1859"/>
    <w:rsid w:val="25441769"/>
    <w:rsid w:val="25B037F2"/>
    <w:rsid w:val="25FF50AC"/>
    <w:rsid w:val="264117F9"/>
    <w:rsid w:val="2A89754D"/>
    <w:rsid w:val="2BE33587"/>
    <w:rsid w:val="2E9279E9"/>
    <w:rsid w:val="30ED53AB"/>
    <w:rsid w:val="337616F8"/>
    <w:rsid w:val="36280C33"/>
    <w:rsid w:val="36FB9E1F"/>
    <w:rsid w:val="3AA26B29"/>
    <w:rsid w:val="3BFA3B96"/>
    <w:rsid w:val="3CB16572"/>
    <w:rsid w:val="3CDD61A1"/>
    <w:rsid w:val="3CEF3472"/>
    <w:rsid w:val="3EFF16E9"/>
    <w:rsid w:val="3FF606C6"/>
    <w:rsid w:val="40EF5534"/>
    <w:rsid w:val="46786ECA"/>
    <w:rsid w:val="46880D11"/>
    <w:rsid w:val="4B1732F9"/>
    <w:rsid w:val="4B9C1A50"/>
    <w:rsid w:val="4C206A9D"/>
    <w:rsid w:val="4FA47125"/>
    <w:rsid w:val="52B34CCF"/>
    <w:rsid w:val="533802B0"/>
    <w:rsid w:val="58D22EC9"/>
    <w:rsid w:val="59DB7BE7"/>
    <w:rsid w:val="60A158F0"/>
    <w:rsid w:val="61DE6051"/>
    <w:rsid w:val="6209240B"/>
    <w:rsid w:val="65E66770"/>
    <w:rsid w:val="66DE4873"/>
    <w:rsid w:val="67DA4307"/>
    <w:rsid w:val="684F67CF"/>
    <w:rsid w:val="6D4260D6"/>
    <w:rsid w:val="6F9566CA"/>
    <w:rsid w:val="706835B3"/>
    <w:rsid w:val="712F289B"/>
    <w:rsid w:val="71900E5F"/>
    <w:rsid w:val="72571698"/>
    <w:rsid w:val="75F75951"/>
    <w:rsid w:val="77CF73AC"/>
    <w:rsid w:val="78FF0116"/>
    <w:rsid w:val="7D960BD1"/>
    <w:rsid w:val="7E26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999807-6EB8-4D31-B5CD-76E4FE1A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customStyle="1" w:styleId="1">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308</Words>
  <Characters>1756</Characters>
  <Application>Microsoft Office Word</Application>
  <DocSecurity>0</DocSecurity>
  <Lines>14</Lines>
  <Paragraphs>4</Paragraphs>
  <ScaleCrop>false</ScaleCrop>
  <Company>微软中国</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杨紫程</cp:lastModifiedBy>
  <cp:revision>270</cp:revision>
  <cp:lastPrinted>2024-08-05T05:50:00Z</cp:lastPrinted>
  <dcterms:created xsi:type="dcterms:W3CDTF">2012-09-09T08:59:00Z</dcterms:created>
  <dcterms:modified xsi:type="dcterms:W3CDTF">2024-10-16T08:42:00Z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3378DF92D5494EA79182626F58817F75</vt:lpwstr>
  </property>
</Properties>
</file>