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3A060" w14:textId="77777777" w:rsidR="00521AC9" w:rsidRPr="0038674A" w:rsidRDefault="00521AC9" w:rsidP="00521AC9">
      <w:pPr>
        <w:spacing w:afterLines="100" w:after="312" w:line="360" w:lineRule="auto"/>
        <w:jc w:val="center"/>
        <w:rPr>
          <w:rFonts w:ascii="黑体" w:eastAsia="黑体" w:hAnsi="黑体" w:cs="Times New Roman"/>
          <w:sz w:val="36"/>
          <w:szCs w:val="40"/>
        </w:rPr>
      </w:pPr>
      <w:r w:rsidRPr="0038674A">
        <w:rPr>
          <w:rFonts w:ascii="黑体" w:eastAsia="黑体" w:hAnsi="黑体" w:cs="Times New Roman"/>
          <w:b/>
          <w:bCs/>
          <w:sz w:val="36"/>
          <w:szCs w:val="36"/>
        </w:rPr>
        <w:t>投资者关系活动记录表</w:t>
      </w:r>
    </w:p>
    <w:p w14:paraId="257C7392" w14:textId="0BBC4673" w:rsidR="00521AC9" w:rsidRPr="0038674A" w:rsidRDefault="00521AC9" w:rsidP="00521AC9">
      <w:pPr>
        <w:widowControl/>
        <w:spacing w:afterLines="50" w:after="156"/>
        <w:rPr>
          <w:rFonts w:ascii="Times New Roman" w:eastAsia="宋体" w:hAnsi="Times New Roman" w:cs="Times New Roman"/>
          <w:sz w:val="24"/>
          <w:szCs w:val="24"/>
        </w:rPr>
      </w:pPr>
      <w:r w:rsidRPr="0038674A">
        <w:rPr>
          <w:rFonts w:ascii="Times New Roman" w:eastAsia="宋体" w:hAnsi="Times New Roman" w:cs="Times New Roman"/>
          <w:sz w:val="24"/>
          <w:szCs w:val="24"/>
        </w:rPr>
        <w:t>证券简称：华纳药厂</w:t>
      </w:r>
      <w:r w:rsidRPr="0038674A">
        <w:rPr>
          <w:rFonts w:ascii="Times New Roman" w:eastAsia="宋体" w:hAnsi="Times New Roman" w:cs="Times New Roman"/>
          <w:sz w:val="24"/>
          <w:szCs w:val="24"/>
        </w:rPr>
        <w:t xml:space="preserve">        </w:t>
      </w:r>
      <w:r w:rsidRPr="0038674A">
        <w:rPr>
          <w:rFonts w:ascii="Times New Roman" w:eastAsia="宋体" w:hAnsi="Times New Roman" w:cs="Times New Roman"/>
          <w:sz w:val="24"/>
          <w:szCs w:val="24"/>
        </w:rPr>
        <w:t>股票代码：</w:t>
      </w:r>
      <w:r w:rsidRPr="0038674A">
        <w:rPr>
          <w:rFonts w:ascii="Times New Roman" w:eastAsia="宋体" w:hAnsi="Times New Roman" w:cs="Times New Roman"/>
          <w:sz w:val="24"/>
          <w:szCs w:val="24"/>
        </w:rPr>
        <w:t xml:space="preserve">688799       </w:t>
      </w:r>
      <w:r w:rsidRPr="0038674A">
        <w:rPr>
          <w:rFonts w:ascii="Times New Roman" w:eastAsia="宋体" w:hAnsi="Times New Roman" w:cs="Times New Roman"/>
          <w:sz w:val="24"/>
          <w:szCs w:val="24"/>
        </w:rPr>
        <w:t>编码：</w:t>
      </w:r>
      <w:r w:rsidRPr="0038674A">
        <w:rPr>
          <w:rFonts w:ascii="Times New Roman" w:eastAsia="宋体" w:hAnsi="Times New Roman" w:cs="Times New Roman"/>
          <w:sz w:val="24"/>
          <w:szCs w:val="24"/>
        </w:rPr>
        <w:t>202</w:t>
      </w:r>
      <w:r w:rsidR="0007753E">
        <w:rPr>
          <w:rFonts w:ascii="Times New Roman" w:eastAsia="宋体" w:hAnsi="Times New Roman" w:cs="Times New Roman"/>
          <w:sz w:val="24"/>
          <w:szCs w:val="24"/>
        </w:rPr>
        <w:t>4-0</w:t>
      </w:r>
      <w:r w:rsidR="00B45047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72222E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tbl>
      <w:tblPr>
        <w:tblStyle w:val="a7"/>
        <w:tblW w:w="9587" w:type="dxa"/>
        <w:jc w:val="center"/>
        <w:tblLook w:val="04A0" w:firstRow="1" w:lastRow="0" w:firstColumn="1" w:lastColumn="0" w:noHBand="0" w:noVBand="1"/>
      </w:tblPr>
      <w:tblGrid>
        <w:gridCol w:w="2405"/>
        <w:gridCol w:w="7182"/>
      </w:tblGrid>
      <w:tr w:rsidR="00521AC9" w:rsidRPr="0038674A" w14:paraId="0318B53B" w14:textId="77777777" w:rsidTr="004929E2">
        <w:trPr>
          <w:jc w:val="center"/>
        </w:trPr>
        <w:tc>
          <w:tcPr>
            <w:tcW w:w="2405" w:type="dxa"/>
            <w:vAlign w:val="center"/>
          </w:tcPr>
          <w:p w14:paraId="326A62B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82" w:type="dxa"/>
          </w:tcPr>
          <w:p w14:paraId="36599C36" w14:textId="005F1C20" w:rsidR="00521AC9" w:rsidRPr="0038674A" w:rsidRDefault="005746CC" w:rsidP="004929E2">
            <w:pPr>
              <w:widowControl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521AC9" w:rsidRPr="0038674A">
              <w:rPr>
                <w:rFonts w:ascii="宋体" w:eastAsia="宋体" w:hAnsi="宋体" w:cs="Times New Roman"/>
                <w:sz w:val="24"/>
                <w:szCs w:val="24"/>
              </w:rPr>
              <w:t>特定对象调研；     □分析师会议；</w:t>
            </w:r>
          </w:p>
          <w:p w14:paraId="26CA9105" w14:textId="63E68111" w:rsidR="00521AC9" w:rsidRPr="0038674A" w:rsidRDefault="00521AC9" w:rsidP="004929E2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 xml:space="preserve">□媒体采访；         </w:t>
            </w:r>
            <w:r w:rsidR="00B45047" w:rsidRPr="0038674A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>业绩说明会；</w:t>
            </w:r>
          </w:p>
          <w:p w14:paraId="442A38A5" w14:textId="77777777" w:rsidR="00521AC9" w:rsidRPr="0038674A" w:rsidRDefault="00521AC9" w:rsidP="004929E2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>□新闻发布会；       □路演活动；</w:t>
            </w:r>
          </w:p>
          <w:p w14:paraId="22CBE4E4" w14:textId="1B7B258F" w:rsidR="00521AC9" w:rsidRPr="0038674A" w:rsidRDefault="00521AC9" w:rsidP="004929E2">
            <w:pPr>
              <w:widowControl/>
              <w:spacing w:afterLines="50" w:after="156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 xml:space="preserve">□现场参观；         </w:t>
            </w:r>
            <w:r w:rsidR="00B45047" w:rsidRPr="00B45047">
              <w:rPr>
                <w:rFonts w:ascii="宋体" w:eastAsia="宋体" w:hAnsi="宋体" w:cs="Times New Roman"/>
                <w:sz w:val="24"/>
                <w:szCs w:val="24"/>
              </w:rPr>
              <w:sym w:font="Wingdings 2" w:char="F052"/>
            </w:r>
            <w:r w:rsidR="00305903" w:rsidRPr="00F06597">
              <w:rPr>
                <w:rFonts w:ascii="宋体" w:eastAsia="宋体" w:hAnsi="宋体" w:cs="Times New Roman"/>
                <w:sz w:val="24"/>
                <w:szCs w:val="24"/>
              </w:rPr>
              <w:t>其</w:t>
            </w:r>
            <w:r w:rsidR="00305903" w:rsidRPr="00F06597">
              <w:rPr>
                <w:rFonts w:ascii="Times New Roman" w:eastAsia="宋体" w:hAnsi="Times New Roman" w:cs="Times New Roman"/>
                <w:sz w:val="24"/>
                <w:szCs w:val="24"/>
              </w:rPr>
              <w:t>他：</w:t>
            </w:r>
            <w:r w:rsidR="0072222E" w:rsidRPr="0072222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“我是股东”</w:t>
            </w:r>
            <w:r w:rsidR="0072222E" w:rsidRPr="0072222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——</w:t>
            </w:r>
            <w:r w:rsidR="0072222E" w:rsidRPr="0072222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走进华纳药厂活动</w:t>
            </w:r>
          </w:p>
        </w:tc>
      </w:tr>
      <w:tr w:rsidR="00521AC9" w:rsidRPr="0038674A" w14:paraId="4FDFF609" w14:textId="77777777" w:rsidTr="0033221A">
        <w:trPr>
          <w:jc w:val="center"/>
        </w:trPr>
        <w:tc>
          <w:tcPr>
            <w:tcW w:w="2405" w:type="dxa"/>
            <w:vAlign w:val="center"/>
          </w:tcPr>
          <w:p w14:paraId="65ED46F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</w:t>
            </w:r>
          </w:p>
        </w:tc>
        <w:tc>
          <w:tcPr>
            <w:tcW w:w="7182" w:type="dxa"/>
            <w:shd w:val="clear" w:color="auto" w:fill="auto"/>
          </w:tcPr>
          <w:p w14:paraId="5AC843DA" w14:textId="543686FF" w:rsidR="008B1492" w:rsidRPr="00E963CE" w:rsidRDefault="0072222E" w:rsidP="0033221A">
            <w:pPr>
              <w:widowControl/>
              <w:spacing w:beforeLines="50" w:before="156" w:afterLines="50" w:after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2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湖南省证券业协会</w:t>
            </w:r>
            <w:r w:rsidR="0063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63165A" w:rsidRPr="00722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湖南农业大学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722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财信证券股份有限公司</w:t>
            </w:r>
          </w:p>
        </w:tc>
      </w:tr>
      <w:tr w:rsidR="00521AC9" w:rsidRPr="0038674A" w14:paraId="094F4624" w14:textId="77777777" w:rsidTr="004929E2">
        <w:trPr>
          <w:jc w:val="center"/>
        </w:trPr>
        <w:tc>
          <w:tcPr>
            <w:tcW w:w="2405" w:type="dxa"/>
            <w:vAlign w:val="center"/>
          </w:tcPr>
          <w:p w14:paraId="5DEE8A10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182" w:type="dxa"/>
          </w:tcPr>
          <w:p w14:paraId="23337D01" w14:textId="49D7A81A" w:rsidR="00D26799" w:rsidRPr="0038674A" w:rsidRDefault="00521AC9" w:rsidP="00D26799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07753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38674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B450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Pr="0038674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B450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722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38674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5746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722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5746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:00-1</w:t>
            </w:r>
            <w:r w:rsidR="00722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5746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:00</w:t>
            </w:r>
          </w:p>
        </w:tc>
      </w:tr>
      <w:tr w:rsidR="00521AC9" w:rsidRPr="0038674A" w14:paraId="2D444AB9" w14:textId="77777777" w:rsidTr="004929E2">
        <w:trPr>
          <w:jc w:val="center"/>
        </w:trPr>
        <w:tc>
          <w:tcPr>
            <w:tcW w:w="2405" w:type="dxa"/>
            <w:vAlign w:val="center"/>
          </w:tcPr>
          <w:p w14:paraId="41427E1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82" w:type="dxa"/>
          </w:tcPr>
          <w:p w14:paraId="2EEBF5DF" w14:textId="71A053BD" w:rsidR="00D26799" w:rsidRPr="0038674A" w:rsidRDefault="0072222E" w:rsidP="00044EBD">
            <w:pPr>
              <w:widowControl/>
              <w:spacing w:beforeLines="50" w:before="156" w:afterLines="50" w:after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公司生产基地</w:t>
            </w:r>
          </w:p>
        </w:tc>
      </w:tr>
      <w:tr w:rsidR="00521AC9" w:rsidRPr="0038674A" w14:paraId="5442BAA8" w14:textId="77777777" w:rsidTr="004929E2">
        <w:trPr>
          <w:jc w:val="center"/>
        </w:trPr>
        <w:tc>
          <w:tcPr>
            <w:tcW w:w="2405" w:type="dxa"/>
            <w:vAlign w:val="center"/>
          </w:tcPr>
          <w:p w14:paraId="2FF3657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公司接待人员姓名</w:t>
            </w:r>
          </w:p>
        </w:tc>
        <w:tc>
          <w:tcPr>
            <w:tcW w:w="7182" w:type="dxa"/>
          </w:tcPr>
          <w:p w14:paraId="2DCBD92C" w14:textId="77777777" w:rsidR="005746CC" w:rsidRPr="0038674A" w:rsidRDefault="005746CC" w:rsidP="005746CC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董事会秘书、副总经理窦琳女士</w:t>
            </w:r>
          </w:p>
          <w:p w14:paraId="3023460A" w14:textId="2AC15251" w:rsidR="006E080A" w:rsidRPr="0038674A" w:rsidRDefault="005746CC" w:rsidP="005746CC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证券事务代表乔桥先生</w:t>
            </w:r>
          </w:p>
        </w:tc>
      </w:tr>
      <w:tr w:rsidR="00521AC9" w:rsidRPr="00F24F4F" w14:paraId="78AABB08" w14:textId="77777777" w:rsidTr="004929E2">
        <w:trPr>
          <w:jc w:val="center"/>
        </w:trPr>
        <w:tc>
          <w:tcPr>
            <w:tcW w:w="2405" w:type="dxa"/>
            <w:vAlign w:val="center"/>
          </w:tcPr>
          <w:p w14:paraId="1EFFB4BF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</w:t>
            </w: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br/>
            </w: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主要内容介绍</w:t>
            </w:r>
          </w:p>
        </w:tc>
        <w:tc>
          <w:tcPr>
            <w:tcW w:w="7182" w:type="dxa"/>
          </w:tcPr>
          <w:p w14:paraId="44B24D99" w14:textId="22A2891F" w:rsidR="0072222E" w:rsidRDefault="005746CC" w:rsidP="009E1886">
            <w:pPr>
              <w:widowControl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76E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一</w:t>
            </w:r>
            <w:r w:rsidR="00B4504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832C7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公司制剂生产线参观</w:t>
            </w:r>
          </w:p>
          <w:p w14:paraId="6A0E0A28" w14:textId="4C05CC74" w:rsidR="00106401" w:rsidRPr="00106401" w:rsidRDefault="00106401" w:rsidP="009E18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64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董事会秘书、副总经理窦琳女士及证券事务代表乔桥先生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陪同参与本次活动的人员参观公司制剂生产线。</w:t>
            </w:r>
          </w:p>
          <w:p w14:paraId="76DAB368" w14:textId="745C4E5F" w:rsidR="00832C7F" w:rsidRDefault="00832C7F" w:rsidP="009E1886">
            <w:pPr>
              <w:widowControl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二、公司基本情况介绍</w:t>
            </w:r>
          </w:p>
          <w:p w14:paraId="7F34DEBE" w14:textId="30F95C3E" w:rsidR="00106401" w:rsidRPr="00106401" w:rsidRDefault="00106401" w:rsidP="009E18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1064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证券事务代表乔桥先生从主营业务、研发情况、经营业绩表现等方面对公司作简要介绍。</w:t>
            </w:r>
          </w:p>
          <w:p w14:paraId="5C40DB4E" w14:textId="44911376" w:rsidR="003B0A68" w:rsidRDefault="00832C7F" w:rsidP="009E1886">
            <w:pPr>
              <w:widowControl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三</w:t>
            </w:r>
            <w:r w:rsidR="0072222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9E188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投资者互动问答</w:t>
            </w:r>
          </w:p>
          <w:p w14:paraId="7270625E" w14:textId="1A043EDC" w:rsidR="00832C7F" w:rsidRDefault="00832C7F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行业环保压力趋严，请问公司是如何应对的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？</w:t>
            </w:r>
          </w:p>
          <w:p w14:paraId="430872AB" w14:textId="5AAC6515" w:rsidR="00A3276B" w:rsidRDefault="00A3276B" w:rsidP="00AB35A7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327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严格</w:t>
            </w:r>
            <w:r w:rsidRPr="00A327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遵守国家和地方环境保护方面的法律法规，积极应对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各项要求。公司</w:t>
            </w:r>
            <w:r w:rsidRPr="00A327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建立了与生产规模相适应的环保硬件设备与人员管理体系，对污染物进行有组织的治理，主要污染物均得到了有效处理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；公司</w:t>
            </w:r>
            <w:r w:rsidRPr="00A327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定期委托第三方监测单位对公司生产排放污染物定期检测并出具《检测报告》，确保排放能够达到环保规定标准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A327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公司严格监控环保设备的日常运行，并制定了严格的废弃物处理操作规程，注重环境保护与生产质量管理相结合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A327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公司还根据环保部门的要求，</w:t>
            </w:r>
            <w:r w:rsidRPr="00A327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制定了环境污染事故应急预案和相应的安全管理</w:t>
            </w:r>
            <w:r w:rsidRPr="002476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规程。</w:t>
            </w:r>
            <w:r w:rsidR="00AB35A7" w:rsidRPr="00247670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="00AB35A7" w:rsidRPr="0024767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AB35A7" w:rsidRPr="00247670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AB35A7" w:rsidRPr="0024767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B35A7" w:rsidRPr="00247670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="00AB35A7" w:rsidRPr="00247670">
              <w:rPr>
                <w:rFonts w:ascii="Times New Roman" w:eastAsia="宋体" w:hAnsi="Times New Roman" w:cs="Times New Roman"/>
                <w:sz w:val="24"/>
                <w:szCs w:val="24"/>
              </w:rPr>
              <w:t>日，公司经湖南省工业和信息化厅认定</w:t>
            </w:r>
            <w:r w:rsidR="00AB35A7" w:rsidRPr="00247670">
              <w:rPr>
                <w:rFonts w:ascii="宋体" w:eastAsia="宋体" w:hAnsi="宋体" w:cs="Times New Roman"/>
                <w:sz w:val="24"/>
                <w:szCs w:val="24"/>
              </w:rPr>
              <w:t>为“绿色工厂”，</w:t>
            </w:r>
            <w:r w:rsidR="00AB35A7" w:rsidRPr="00247670">
              <w:rPr>
                <w:rFonts w:ascii="Times New Roman" w:eastAsia="宋体" w:hAnsi="Times New Roman" w:cs="Times New Roman"/>
                <w:sz w:val="24"/>
                <w:szCs w:val="24"/>
              </w:rPr>
              <w:t>公司对药材处理环</w:t>
            </w:r>
            <w:r w:rsidR="00AB35A7" w:rsidRPr="002476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节的单位能耗及废水排放的控制处于国内领先水平，中药渣循环处理等项目减轻了生产过程对环境的污染。</w:t>
            </w:r>
          </w:p>
          <w:p w14:paraId="5C7A94C7" w14:textId="3FFC0995" w:rsidR="00832C7F" w:rsidRDefault="00832C7F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、公司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年半年度营业收入相比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年同期有所增加，但净利润增长并不明显，请问这主要是什么原因导致的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？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公司在成本控制和盈利能力提升方面有哪些具体举措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？</w:t>
            </w:r>
          </w:p>
          <w:p w14:paraId="190A0BC0" w14:textId="2C8254E7" w:rsidR="00832C7F" w:rsidRPr="00832C7F" w:rsidRDefault="00315766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年上半年产品毛利率有所下降，同时研发投入、日常经营管理开支及相关税费增加，共同作用导致净利润较上年同期增幅较小。公司积极通过智能化车间建设以及技术改造、设备优化等多项措施，优化工艺流程，降本增效。</w:t>
            </w:r>
          </w:p>
          <w:p w14:paraId="65AA6E08" w14:textId="678534C3" w:rsidR="00832C7F" w:rsidRDefault="00832C7F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、随着创新药</w:t>
            </w:r>
            <w:r w:rsidRPr="00832C7F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ZG-001</w:t>
            </w:r>
            <w:r w:rsidRPr="00832C7F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的临床试验完成，具有全新结构的新型抗抑郁药诞生了，请问贵公司认为研发抗抑郁药的发展前景是怎样的？这个产品值得投资者们去投资吗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？</w:t>
            </w:r>
          </w:p>
          <w:p w14:paraId="512C3C4F" w14:textId="192ABB00" w:rsidR="00315766" w:rsidRDefault="00315766" w:rsidP="0031576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ZG-001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胶囊是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公司控股子公司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上海致根医药科技有限公司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自主开发的具有全新结构的新型抗抑郁药，属于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类新药。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ZG-001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拟用于治疗成人抑郁障碍，包括伴有自杀意念或行为的重性抑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郁障碍（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MDSI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）或难治性抑郁（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TRD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）或重性抑郁障碍（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MDD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）。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临床前研究</w:t>
            </w:r>
            <w:r w:rsidR="00F76C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结果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表明，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ZG-001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有望成为新一代安全性更高、疗效更好的新型抗抑郁药物。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ZG-001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胶囊</w:t>
            </w:r>
            <w:r w:rsidR="00F76C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于近期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完成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Ⅰ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，此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次临床研究结果表明，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ZG-001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安全性优异，未见超过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级不良反应，针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对氯胺酮相关副作用而设计的安全性量表（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CADSS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MOAA/S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PWC-20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），未见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氯胺酮相关的分离、镇静症状，停药未见戒断症状</w:t>
            </w:r>
            <w:r w:rsidR="00F76C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ZG-001</w:t>
            </w:r>
            <w:r w:rsidRPr="00315766">
              <w:rPr>
                <w:rFonts w:ascii="Times New Roman" w:eastAsia="宋体" w:hAnsi="Times New Roman" w:cs="Times New Roman"/>
                <w:sz w:val="24"/>
                <w:szCs w:val="24"/>
              </w:rPr>
              <w:t>的药代性能优异，吸收迅速，暴露量随给药剂量的增加而线性增加；</w:t>
            </w:r>
            <w:r w:rsidRPr="00315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无明显性别差异，无蓄积。</w:t>
            </w:r>
          </w:p>
          <w:p w14:paraId="564C1DA5" w14:textId="3AB27F57" w:rsidR="00832C7F" w:rsidRDefault="00832C7F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、公司的分红情况如何？</w:t>
            </w:r>
          </w:p>
          <w:p w14:paraId="30F3A569" w14:textId="43D3F303" w:rsidR="00832C7F" w:rsidRPr="00832C7F" w:rsidRDefault="006878EB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878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年度利润分配预案</w:t>
            </w:r>
            <w:r w:rsidR="008D1D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已经公司</w:t>
            </w:r>
            <w:r w:rsidR="008D1D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8D1D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年第二次临时股东大会审议通过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，公司</w:t>
            </w:r>
            <w:r w:rsidR="008D1D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将于近期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向全体股东每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股派发现金红利人民币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9.00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元（含税）。截至公司利润分配公告披露日，公司总股本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93,800,000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股，以此计算合计拟派发现金红利人民币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84,420,000.00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元（含税）。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年度公司现金分红占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年度实现归属于上市公司股东净利润的比例为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39.95%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。如在公司利润分配公告披露之日起至实施权益分派股权登记日期间，因可转债转股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回购股份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股权激励授予股份回购注销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6878EB">
              <w:rPr>
                <w:rFonts w:ascii="Times New Roman" w:eastAsia="宋体" w:hAnsi="Times New Roman" w:cs="Times New Roman"/>
                <w:sz w:val="24"/>
                <w:szCs w:val="24"/>
              </w:rPr>
              <w:t>重大资产重组股份回购注销等致使公司总股本发生变动的</w:t>
            </w:r>
            <w:r w:rsidRPr="006878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，公司拟维持分配总额不变，相应调整每股分配比例。如后续总股本发生变化，将另行公告具体调整情况。</w:t>
            </w:r>
          </w:p>
          <w:p w14:paraId="411A1CA1" w14:textId="0E1D8D5B" w:rsidR="00832C7F" w:rsidRDefault="00832C7F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、公司在吸引和留住人才方面是如何考虑的？</w:t>
            </w:r>
          </w:p>
          <w:p w14:paraId="7710BD70" w14:textId="6F64D001" w:rsidR="00832C7F" w:rsidRPr="00832C7F" w:rsidRDefault="008D1D93" w:rsidP="008D1D9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D1D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持续通过多种渠道，从国内外引入优秀的研发、技术、销售和管理人才，不断完善公司人才培养体系建设，持续提高公司研发团队、生产团队、营销团队和管理团队的综合能力，全面提高公司的整体实力。同时，公司将不断完善激励机制建设，通过多种方式调动员工工作的积极性和创造性，建设员工与企业共同发展的组织氛围，推动公司高水平发展和经营业绩的实现。</w:t>
            </w:r>
          </w:p>
          <w:p w14:paraId="63121338" w14:textId="77777777" w:rsidR="00B45047" w:rsidRDefault="00832C7F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832C7F">
              <w:rPr>
                <w:rFonts w:ascii="Times New Roman" w:eastAsia="宋体" w:hAnsi="Times New Roman" w:cs="Times New Roman"/>
                <w:sz w:val="24"/>
                <w:szCs w:val="24"/>
              </w:rPr>
              <w:t>、创新药物研发面临着投入高、周期长、成功率低的状况，公司是如何应对的？</w:t>
            </w:r>
          </w:p>
          <w:p w14:paraId="485825B0" w14:textId="32B0B80A" w:rsidR="00832C7F" w:rsidRPr="00832C7F" w:rsidRDefault="008D1D93" w:rsidP="00832C7F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D1D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研发周期长、成功率低以及研发费用高，在整个药物研发的庞大工作中，为了合理利用专业资源，提高研发效率，公司通过自主研发、合作研发、投资孵化等多种模式，持续加大公司在新技术、新产品等领域的投入，持续提高公司的核心竞争力，为公司长足发展奠定基础。</w:t>
            </w:r>
          </w:p>
        </w:tc>
      </w:tr>
      <w:tr w:rsidR="00521AC9" w:rsidRPr="00F06597" w14:paraId="68A5E55B" w14:textId="77777777" w:rsidTr="004929E2">
        <w:trPr>
          <w:jc w:val="center"/>
        </w:trPr>
        <w:tc>
          <w:tcPr>
            <w:tcW w:w="2405" w:type="dxa"/>
            <w:vAlign w:val="center"/>
          </w:tcPr>
          <w:p w14:paraId="48D629E7" w14:textId="77777777" w:rsidR="00521AC9" w:rsidRPr="00F06597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82" w:type="dxa"/>
          </w:tcPr>
          <w:p w14:paraId="5B125078" w14:textId="77777777" w:rsidR="00521AC9" w:rsidRPr="00F06597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09E1C30" w14:textId="77777777" w:rsidR="00266ED2" w:rsidRDefault="00266ED2" w:rsidP="002B6357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26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AD16" w14:textId="77777777" w:rsidR="001305ED" w:rsidRDefault="001305ED" w:rsidP="00E9729A">
      <w:r>
        <w:separator/>
      </w:r>
    </w:p>
  </w:endnote>
  <w:endnote w:type="continuationSeparator" w:id="0">
    <w:p w14:paraId="1BFEE710" w14:textId="77777777" w:rsidR="001305ED" w:rsidRDefault="001305ED" w:rsidP="00E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9635F" w14:textId="77777777" w:rsidR="001305ED" w:rsidRDefault="001305ED" w:rsidP="00E9729A">
      <w:r>
        <w:separator/>
      </w:r>
    </w:p>
  </w:footnote>
  <w:footnote w:type="continuationSeparator" w:id="0">
    <w:p w14:paraId="49A086CB" w14:textId="77777777" w:rsidR="001305ED" w:rsidRDefault="001305ED" w:rsidP="00E9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74"/>
    <w:rsid w:val="00003AA5"/>
    <w:rsid w:val="000133EF"/>
    <w:rsid w:val="00021114"/>
    <w:rsid w:val="00022C68"/>
    <w:rsid w:val="00023023"/>
    <w:rsid w:val="000252F7"/>
    <w:rsid w:val="0003074F"/>
    <w:rsid w:val="0004381B"/>
    <w:rsid w:val="00044EBD"/>
    <w:rsid w:val="00044EBF"/>
    <w:rsid w:val="00051BBB"/>
    <w:rsid w:val="00054E4B"/>
    <w:rsid w:val="00055D8E"/>
    <w:rsid w:val="00070D1B"/>
    <w:rsid w:val="000756BF"/>
    <w:rsid w:val="00076ED9"/>
    <w:rsid w:val="0007753E"/>
    <w:rsid w:val="00082836"/>
    <w:rsid w:val="00082AE3"/>
    <w:rsid w:val="00087611"/>
    <w:rsid w:val="00097BCF"/>
    <w:rsid w:val="000A4E7B"/>
    <w:rsid w:val="000A57C8"/>
    <w:rsid w:val="000A59FF"/>
    <w:rsid w:val="000B4C5A"/>
    <w:rsid w:val="000B6FF9"/>
    <w:rsid w:val="000C184C"/>
    <w:rsid w:val="000D0453"/>
    <w:rsid w:val="000D1834"/>
    <w:rsid w:val="000D1E75"/>
    <w:rsid w:val="000E2B43"/>
    <w:rsid w:val="000E46E2"/>
    <w:rsid w:val="000E48BF"/>
    <w:rsid w:val="000E6063"/>
    <w:rsid w:val="000F4956"/>
    <w:rsid w:val="000F4986"/>
    <w:rsid w:val="00104392"/>
    <w:rsid w:val="00104978"/>
    <w:rsid w:val="00104E8D"/>
    <w:rsid w:val="00106401"/>
    <w:rsid w:val="001074E3"/>
    <w:rsid w:val="00125883"/>
    <w:rsid w:val="00127998"/>
    <w:rsid w:val="001305ED"/>
    <w:rsid w:val="00130926"/>
    <w:rsid w:val="00135E34"/>
    <w:rsid w:val="001411C9"/>
    <w:rsid w:val="001413C4"/>
    <w:rsid w:val="00143F17"/>
    <w:rsid w:val="00153182"/>
    <w:rsid w:val="00153D13"/>
    <w:rsid w:val="001625E0"/>
    <w:rsid w:val="001636C6"/>
    <w:rsid w:val="00170A4F"/>
    <w:rsid w:val="001712F2"/>
    <w:rsid w:val="0017602E"/>
    <w:rsid w:val="0018111E"/>
    <w:rsid w:val="00187EF2"/>
    <w:rsid w:val="001903B7"/>
    <w:rsid w:val="0019577B"/>
    <w:rsid w:val="00195E9E"/>
    <w:rsid w:val="001A7904"/>
    <w:rsid w:val="001B2C64"/>
    <w:rsid w:val="001B6140"/>
    <w:rsid w:val="001B68D8"/>
    <w:rsid w:val="001C0D3C"/>
    <w:rsid w:val="001C6202"/>
    <w:rsid w:val="001D3004"/>
    <w:rsid w:val="001D52C4"/>
    <w:rsid w:val="001E04B3"/>
    <w:rsid w:val="001E3DC5"/>
    <w:rsid w:val="001E4CC3"/>
    <w:rsid w:val="001E790B"/>
    <w:rsid w:val="00200394"/>
    <w:rsid w:val="002004EB"/>
    <w:rsid w:val="002030E4"/>
    <w:rsid w:val="00204534"/>
    <w:rsid w:val="00205734"/>
    <w:rsid w:val="0021575B"/>
    <w:rsid w:val="00224C80"/>
    <w:rsid w:val="00224FFB"/>
    <w:rsid w:val="002268B0"/>
    <w:rsid w:val="00227DFE"/>
    <w:rsid w:val="00232750"/>
    <w:rsid w:val="00232EAB"/>
    <w:rsid w:val="00236E0F"/>
    <w:rsid w:val="0023712C"/>
    <w:rsid w:val="00237480"/>
    <w:rsid w:val="00245CE6"/>
    <w:rsid w:val="00246EE1"/>
    <w:rsid w:val="00247275"/>
    <w:rsid w:val="00247670"/>
    <w:rsid w:val="002544B8"/>
    <w:rsid w:val="0026574A"/>
    <w:rsid w:val="00266ED2"/>
    <w:rsid w:val="00267F95"/>
    <w:rsid w:val="002738A2"/>
    <w:rsid w:val="002739D7"/>
    <w:rsid w:val="00275680"/>
    <w:rsid w:val="00277497"/>
    <w:rsid w:val="00280408"/>
    <w:rsid w:val="00282481"/>
    <w:rsid w:val="00285510"/>
    <w:rsid w:val="00286282"/>
    <w:rsid w:val="0028671B"/>
    <w:rsid w:val="00292CAB"/>
    <w:rsid w:val="00293574"/>
    <w:rsid w:val="00297369"/>
    <w:rsid w:val="002A09ED"/>
    <w:rsid w:val="002A1AC6"/>
    <w:rsid w:val="002A62F2"/>
    <w:rsid w:val="002A7383"/>
    <w:rsid w:val="002B1517"/>
    <w:rsid w:val="002B3206"/>
    <w:rsid w:val="002B5488"/>
    <w:rsid w:val="002B6357"/>
    <w:rsid w:val="002B74DB"/>
    <w:rsid w:val="002C2DBF"/>
    <w:rsid w:val="002C3D29"/>
    <w:rsid w:val="002C6AC6"/>
    <w:rsid w:val="002C7D88"/>
    <w:rsid w:val="002D24B3"/>
    <w:rsid w:val="002D75D1"/>
    <w:rsid w:val="002D76B1"/>
    <w:rsid w:val="002E1F6E"/>
    <w:rsid w:val="002E78C2"/>
    <w:rsid w:val="002E7C09"/>
    <w:rsid w:val="002F0F24"/>
    <w:rsid w:val="002F4A0F"/>
    <w:rsid w:val="002F4E64"/>
    <w:rsid w:val="00305903"/>
    <w:rsid w:val="003109C0"/>
    <w:rsid w:val="00315766"/>
    <w:rsid w:val="00326947"/>
    <w:rsid w:val="00330209"/>
    <w:rsid w:val="00331B48"/>
    <w:rsid w:val="003321C1"/>
    <w:rsid w:val="0033221A"/>
    <w:rsid w:val="00332B79"/>
    <w:rsid w:val="003424C7"/>
    <w:rsid w:val="00343ADD"/>
    <w:rsid w:val="00344EAA"/>
    <w:rsid w:val="0034731F"/>
    <w:rsid w:val="00352439"/>
    <w:rsid w:val="0035671D"/>
    <w:rsid w:val="00357065"/>
    <w:rsid w:val="00357CED"/>
    <w:rsid w:val="003602C5"/>
    <w:rsid w:val="003619E7"/>
    <w:rsid w:val="003708B4"/>
    <w:rsid w:val="003758B8"/>
    <w:rsid w:val="00377198"/>
    <w:rsid w:val="00377B48"/>
    <w:rsid w:val="0038674A"/>
    <w:rsid w:val="0039023E"/>
    <w:rsid w:val="003B0323"/>
    <w:rsid w:val="003B0409"/>
    <w:rsid w:val="003B0A68"/>
    <w:rsid w:val="003B2253"/>
    <w:rsid w:val="003B4F76"/>
    <w:rsid w:val="003B5914"/>
    <w:rsid w:val="003C3136"/>
    <w:rsid w:val="003C7C5E"/>
    <w:rsid w:val="003D1FEB"/>
    <w:rsid w:val="003E08F5"/>
    <w:rsid w:val="003E0C76"/>
    <w:rsid w:val="003E171A"/>
    <w:rsid w:val="003E223C"/>
    <w:rsid w:val="003E7123"/>
    <w:rsid w:val="003F04C2"/>
    <w:rsid w:val="00401338"/>
    <w:rsid w:val="00404060"/>
    <w:rsid w:val="00410397"/>
    <w:rsid w:val="00417F13"/>
    <w:rsid w:val="00420D46"/>
    <w:rsid w:val="00424E6A"/>
    <w:rsid w:val="00430C10"/>
    <w:rsid w:val="004344FC"/>
    <w:rsid w:val="00441968"/>
    <w:rsid w:val="004533C5"/>
    <w:rsid w:val="00453FA8"/>
    <w:rsid w:val="00455A9E"/>
    <w:rsid w:val="00456558"/>
    <w:rsid w:val="00460BC5"/>
    <w:rsid w:val="0046223C"/>
    <w:rsid w:val="00464901"/>
    <w:rsid w:val="00473283"/>
    <w:rsid w:val="00475D45"/>
    <w:rsid w:val="00480075"/>
    <w:rsid w:val="00480783"/>
    <w:rsid w:val="00480DED"/>
    <w:rsid w:val="004836BE"/>
    <w:rsid w:val="00485329"/>
    <w:rsid w:val="00487CB0"/>
    <w:rsid w:val="00490693"/>
    <w:rsid w:val="004954F5"/>
    <w:rsid w:val="0049753A"/>
    <w:rsid w:val="004A4B25"/>
    <w:rsid w:val="004A5B4F"/>
    <w:rsid w:val="004B297E"/>
    <w:rsid w:val="004B3017"/>
    <w:rsid w:val="004B6AA5"/>
    <w:rsid w:val="004C267B"/>
    <w:rsid w:val="004C6AFD"/>
    <w:rsid w:val="004D2089"/>
    <w:rsid w:val="004D3D25"/>
    <w:rsid w:val="004D7E32"/>
    <w:rsid w:val="004E0786"/>
    <w:rsid w:val="004E1C6F"/>
    <w:rsid w:val="004E77E1"/>
    <w:rsid w:val="004F31C6"/>
    <w:rsid w:val="004F6C94"/>
    <w:rsid w:val="00510919"/>
    <w:rsid w:val="00512870"/>
    <w:rsid w:val="00513374"/>
    <w:rsid w:val="00515A84"/>
    <w:rsid w:val="0051625E"/>
    <w:rsid w:val="00521AC9"/>
    <w:rsid w:val="00530B74"/>
    <w:rsid w:val="00530FC4"/>
    <w:rsid w:val="00536C9B"/>
    <w:rsid w:val="00537991"/>
    <w:rsid w:val="00546D09"/>
    <w:rsid w:val="0054737A"/>
    <w:rsid w:val="00560670"/>
    <w:rsid w:val="00565819"/>
    <w:rsid w:val="00566C75"/>
    <w:rsid w:val="005700D6"/>
    <w:rsid w:val="00570BC4"/>
    <w:rsid w:val="005746CC"/>
    <w:rsid w:val="00582E2D"/>
    <w:rsid w:val="005846C4"/>
    <w:rsid w:val="00586EA3"/>
    <w:rsid w:val="00587021"/>
    <w:rsid w:val="00587E2E"/>
    <w:rsid w:val="00591490"/>
    <w:rsid w:val="00593FCC"/>
    <w:rsid w:val="005A111E"/>
    <w:rsid w:val="005A6197"/>
    <w:rsid w:val="005B1B72"/>
    <w:rsid w:val="005B3A1C"/>
    <w:rsid w:val="005C2410"/>
    <w:rsid w:val="005C3A2C"/>
    <w:rsid w:val="005C4EA4"/>
    <w:rsid w:val="005C4F8D"/>
    <w:rsid w:val="005D5552"/>
    <w:rsid w:val="005D6221"/>
    <w:rsid w:val="005D6685"/>
    <w:rsid w:val="005D7AF1"/>
    <w:rsid w:val="005F02B2"/>
    <w:rsid w:val="005F2C8C"/>
    <w:rsid w:val="00600DF0"/>
    <w:rsid w:val="00606F02"/>
    <w:rsid w:val="006226D3"/>
    <w:rsid w:val="00623D08"/>
    <w:rsid w:val="00623DEC"/>
    <w:rsid w:val="00626E7C"/>
    <w:rsid w:val="006305C8"/>
    <w:rsid w:val="0063165A"/>
    <w:rsid w:val="00632BD7"/>
    <w:rsid w:val="006347BF"/>
    <w:rsid w:val="006452D8"/>
    <w:rsid w:val="0064757D"/>
    <w:rsid w:val="00647630"/>
    <w:rsid w:val="0065408E"/>
    <w:rsid w:val="00654849"/>
    <w:rsid w:val="0066010A"/>
    <w:rsid w:val="006607EB"/>
    <w:rsid w:val="00666345"/>
    <w:rsid w:val="0067245C"/>
    <w:rsid w:val="00672B8F"/>
    <w:rsid w:val="00673149"/>
    <w:rsid w:val="00673653"/>
    <w:rsid w:val="00675116"/>
    <w:rsid w:val="006816EA"/>
    <w:rsid w:val="00685DF4"/>
    <w:rsid w:val="006878EB"/>
    <w:rsid w:val="00697E82"/>
    <w:rsid w:val="006A0C92"/>
    <w:rsid w:val="006A3F80"/>
    <w:rsid w:val="006A645D"/>
    <w:rsid w:val="006B275A"/>
    <w:rsid w:val="006B69CE"/>
    <w:rsid w:val="006D15B7"/>
    <w:rsid w:val="006D37B3"/>
    <w:rsid w:val="006E080A"/>
    <w:rsid w:val="006E0C5C"/>
    <w:rsid w:val="006E36C9"/>
    <w:rsid w:val="006E3E22"/>
    <w:rsid w:val="006E68F6"/>
    <w:rsid w:val="006F3EAA"/>
    <w:rsid w:val="006F5BAF"/>
    <w:rsid w:val="00701C78"/>
    <w:rsid w:val="00707BD5"/>
    <w:rsid w:val="0072222E"/>
    <w:rsid w:val="0072249C"/>
    <w:rsid w:val="00724D5E"/>
    <w:rsid w:val="00724DDC"/>
    <w:rsid w:val="007345C1"/>
    <w:rsid w:val="007346B9"/>
    <w:rsid w:val="007361DA"/>
    <w:rsid w:val="007369EC"/>
    <w:rsid w:val="007432C5"/>
    <w:rsid w:val="0074656C"/>
    <w:rsid w:val="00747DD2"/>
    <w:rsid w:val="00756E83"/>
    <w:rsid w:val="00763615"/>
    <w:rsid w:val="00766C89"/>
    <w:rsid w:val="00766D17"/>
    <w:rsid w:val="00772886"/>
    <w:rsid w:val="00776F5B"/>
    <w:rsid w:val="007778D2"/>
    <w:rsid w:val="00784E26"/>
    <w:rsid w:val="0079313B"/>
    <w:rsid w:val="00795DFA"/>
    <w:rsid w:val="007B3B11"/>
    <w:rsid w:val="007B4A29"/>
    <w:rsid w:val="007D0D16"/>
    <w:rsid w:val="007D12E5"/>
    <w:rsid w:val="007E0A44"/>
    <w:rsid w:val="007E0C4D"/>
    <w:rsid w:val="007E2615"/>
    <w:rsid w:val="007F0B98"/>
    <w:rsid w:val="007F0C1C"/>
    <w:rsid w:val="007F2976"/>
    <w:rsid w:val="00802421"/>
    <w:rsid w:val="00806495"/>
    <w:rsid w:val="0081316A"/>
    <w:rsid w:val="008132F4"/>
    <w:rsid w:val="00814EBB"/>
    <w:rsid w:val="00817988"/>
    <w:rsid w:val="0082042F"/>
    <w:rsid w:val="008320E9"/>
    <w:rsid w:val="00832C7F"/>
    <w:rsid w:val="008370DD"/>
    <w:rsid w:val="008416B7"/>
    <w:rsid w:val="00843265"/>
    <w:rsid w:val="00850AD3"/>
    <w:rsid w:val="00850D38"/>
    <w:rsid w:val="008512C2"/>
    <w:rsid w:val="008642E8"/>
    <w:rsid w:val="00865738"/>
    <w:rsid w:val="008770FF"/>
    <w:rsid w:val="008771EF"/>
    <w:rsid w:val="00881A3E"/>
    <w:rsid w:val="008926FE"/>
    <w:rsid w:val="00893131"/>
    <w:rsid w:val="00894976"/>
    <w:rsid w:val="0089683B"/>
    <w:rsid w:val="00896FA3"/>
    <w:rsid w:val="0089770B"/>
    <w:rsid w:val="008B1492"/>
    <w:rsid w:val="008B2B3F"/>
    <w:rsid w:val="008B2C4A"/>
    <w:rsid w:val="008B7B40"/>
    <w:rsid w:val="008D1D93"/>
    <w:rsid w:val="008E25A7"/>
    <w:rsid w:val="008E52AF"/>
    <w:rsid w:val="008E5F8D"/>
    <w:rsid w:val="008E6217"/>
    <w:rsid w:val="008F3218"/>
    <w:rsid w:val="008F3A58"/>
    <w:rsid w:val="008F7015"/>
    <w:rsid w:val="00901FEF"/>
    <w:rsid w:val="00903642"/>
    <w:rsid w:val="009038DD"/>
    <w:rsid w:val="009128C8"/>
    <w:rsid w:val="0091420A"/>
    <w:rsid w:val="00916EB4"/>
    <w:rsid w:val="009259DD"/>
    <w:rsid w:val="00932304"/>
    <w:rsid w:val="0094334C"/>
    <w:rsid w:val="00945D4E"/>
    <w:rsid w:val="00960159"/>
    <w:rsid w:val="009632F4"/>
    <w:rsid w:val="0096613F"/>
    <w:rsid w:val="00974EAA"/>
    <w:rsid w:val="009761BE"/>
    <w:rsid w:val="00980095"/>
    <w:rsid w:val="00982913"/>
    <w:rsid w:val="00985AAF"/>
    <w:rsid w:val="009871C2"/>
    <w:rsid w:val="00992740"/>
    <w:rsid w:val="009961EC"/>
    <w:rsid w:val="00996E86"/>
    <w:rsid w:val="009A505D"/>
    <w:rsid w:val="009A6367"/>
    <w:rsid w:val="009B0EB9"/>
    <w:rsid w:val="009B2544"/>
    <w:rsid w:val="009B5895"/>
    <w:rsid w:val="009E1886"/>
    <w:rsid w:val="009F3A9F"/>
    <w:rsid w:val="00A0109D"/>
    <w:rsid w:val="00A01595"/>
    <w:rsid w:val="00A051A8"/>
    <w:rsid w:val="00A1236B"/>
    <w:rsid w:val="00A15912"/>
    <w:rsid w:val="00A2302E"/>
    <w:rsid w:val="00A26127"/>
    <w:rsid w:val="00A3276B"/>
    <w:rsid w:val="00A32B4F"/>
    <w:rsid w:val="00A3355C"/>
    <w:rsid w:val="00A3531E"/>
    <w:rsid w:val="00A423DB"/>
    <w:rsid w:val="00A44CB5"/>
    <w:rsid w:val="00A5115E"/>
    <w:rsid w:val="00A51909"/>
    <w:rsid w:val="00A5619A"/>
    <w:rsid w:val="00A577D8"/>
    <w:rsid w:val="00A63E2D"/>
    <w:rsid w:val="00A65452"/>
    <w:rsid w:val="00A827C4"/>
    <w:rsid w:val="00A83B3F"/>
    <w:rsid w:val="00A90262"/>
    <w:rsid w:val="00A90BFA"/>
    <w:rsid w:val="00A95120"/>
    <w:rsid w:val="00AA4929"/>
    <w:rsid w:val="00AA7FB6"/>
    <w:rsid w:val="00AB0897"/>
    <w:rsid w:val="00AB0F7D"/>
    <w:rsid w:val="00AB0F84"/>
    <w:rsid w:val="00AB0FEE"/>
    <w:rsid w:val="00AB2AEB"/>
    <w:rsid w:val="00AB35A7"/>
    <w:rsid w:val="00AB3ABA"/>
    <w:rsid w:val="00AC0664"/>
    <w:rsid w:val="00AC7573"/>
    <w:rsid w:val="00AC789F"/>
    <w:rsid w:val="00AD39EE"/>
    <w:rsid w:val="00AE01FD"/>
    <w:rsid w:val="00AE2D8D"/>
    <w:rsid w:val="00AF18A6"/>
    <w:rsid w:val="00AF209B"/>
    <w:rsid w:val="00AF29C0"/>
    <w:rsid w:val="00AF4AD1"/>
    <w:rsid w:val="00AF6662"/>
    <w:rsid w:val="00AF7021"/>
    <w:rsid w:val="00B05A0D"/>
    <w:rsid w:val="00B05A95"/>
    <w:rsid w:val="00B151AA"/>
    <w:rsid w:val="00B16ACB"/>
    <w:rsid w:val="00B22BEE"/>
    <w:rsid w:val="00B26353"/>
    <w:rsid w:val="00B3079C"/>
    <w:rsid w:val="00B41AC7"/>
    <w:rsid w:val="00B45047"/>
    <w:rsid w:val="00B4725B"/>
    <w:rsid w:val="00B514F5"/>
    <w:rsid w:val="00B5764D"/>
    <w:rsid w:val="00B57892"/>
    <w:rsid w:val="00B6520A"/>
    <w:rsid w:val="00B73ADC"/>
    <w:rsid w:val="00B75A1D"/>
    <w:rsid w:val="00B7752B"/>
    <w:rsid w:val="00B807E9"/>
    <w:rsid w:val="00B80C68"/>
    <w:rsid w:val="00B812A7"/>
    <w:rsid w:val="00B84E44"/>
    <w:rsid w:val="00B87677"/>
    <w:rsid w:val="00B91FAB"/>
    <w:rsid w:val="00B962AE"/>
    <w:rsid w:val="00BA0946"/>
    <w:rsid w:val="00BA10B5"/>
    <w:rsid w:val="00BA2BFB"/>
    <w:rsid w:val="00BA3834"/>
    <w:rsid w:val="00BA7D9E"/>
    <w:rsid w:val="00BB4751"/>
    <w:rsid w:val="00BB58AB"/>
    <w:rsid w:val="00BB6515"/>
    <w:rsid w:val="00BC11D2"/>
    <w:rsid w:val="00BC409C"/>
    <w:rsid w:val="00BC59C3"/>
    <w:rsid w:val="00BC5DF5"/>
    <w:rsid w:val="00BC75FE"/>
    <w:rsid w:val="00BD0786"/>
    <w:rsid w:val="00BD159C"/>
    <w:rsid w:val="00BD4912"/>
    <w:rsid w:val="00BD661C"/>
    <w:rsid w:val="00BE0DB7"/>
    <w:rsid w:val="00BE0FA6"/>
    <w:rsid w:val="00BE282E"/>
    <w:rsid w:val="00BF385C"/>
    <w:rsid w:val="00BF398F"/>
    <w:rsid w:val="00BF3E37"/>
    <w:rsid w:val="00C05F57"/>
    <w:rsid w:val="00C15A77"/>
    <w:rsid w:val="00C16BA8"/>
    <w:rsid w:val="00C27D04"/>
    <w:rsid w:val="00C32A06"/>
    <w:rsid w:val="00C368CB"/>
    <w:rsid w:val="00C369EF"/>
    <w:rsid w:val="00C41786"/>
    <w:rsid w:val="00C46DF3"/>
    <w:rsid w:val="00C508D5"/>
    <w:rsid w:val="00C50D84"/>
    <w:rsid w:val="00C61AD0"/>
    <w:rsid w:val="00C6240B"/>
    <w:rsid w:val="00C63099"/>
    <w:rsid w:val="00C65907"/>
    <w:rsid w:val="00C676BC"/>
    <w:rsid w:val="00C7139C"/>
    <w:rsid w:val="00C747AE"/>
    <w:rsid w:val="00C87487"/>
    <w:rsid w:val="00C87DC3"/>
    <w:rsid w:val="00C97A0D"/>
    <w:rsid w:val="00C97C69"/>
    <w:rsid w:val="00CA0636"/>
    <w:rsid w:val="00CA4310"/>
    <w:rsid w:val="00CA7B2D"/>
    <w:rsid w:val="00CB1A52"/>
    <w:rsid w:val="00CB3858"/>
    <w:rsid w:val="00CB57CA"/>
    <w:rsid w:val="00CB7B71"/>
    <w:rsid w:val="00CC4B39"/>
    <w:rsid w:val="00CC6255"/>
    <w:rsid w:val="00CC6A9E"/>
    <w:rsid w:val="00CC6DDF"/>
    <w:rsid w:val="00CD3D13"/>
    <w:rsid w:val="00CD66D4"/>
    <w:rsid w:val="00CE2675"/>
    <w:rsid w:val="00CE54F1"/>
    <w:rsid w:val="00D0081F"/>
    <w:rsid w:val="00D13274"/>
    <w:rsid w:val="00D151F4"/>
    <w:rsid w:val="00D20BF5"/>
    <w:rsid w:val="00D21B63"/>
    <w:rsid w:val="00D22C6F"/>
    <w:rsid w:val="00D2381D"/>
    <w:rsid w:val="00D250A1"/>
    <w:rsid w:val="00D26799"/>
    <w:rsid w:val="00D3255F"/>
    <w:rsid w:val="00D32E7F"/>
    <w:rsid w:val="00D33B69"/>
    <w:rsid w:val="00D356F3"/>
    <w:rsid w:val="00D5149E"/>
    <w:rsid w:val="00D52879"/>
    <w:rsid w:val="00D53B99"/>
    <w:rsid w:val="00D54AEE"/>
    <w:rsid w:val="00D62B0D"/>
    <w:rsid w:val="00D6538C"/>
    <w:rsid w:val="00D66217"/>
    <w:rsid w:val="00D663AA"/>
    <w:rsid w:val="00D701D5"/>
    <w:rsid w:val="00D72A87"/>
    <w:rsid w:val="00D757B8"/>
    <w:rsid w:val="00D809F3"/>
    <w:rsid w:val="00D85BCB"/>
    <w:rsid w:val="00D96433"/>
    <w:rsid w:val="00D96AFC"/>
    <w:rsid w:val="00D970B0"/>
    <w:rsid w:val="00DA033E"/>
    <w:rsid w:val="00DA33BE"/>
    <w:rsid w:val="00DA3852"/>
    <w:rsid w:val="00DB0169"/>
    <w:rsid w:val="00DC0B04"/>
    <w:rsid w:val="00DD2144"/>
    <w:rsid w:val="00DD3D66"/>
    <w:rsid w:val="00DD6126"/>
    <w:rsid w:val="00DD7BE9"/>
    <w:rsid w:val="00DE302D"/>
    <w:rsid w:val="00DE7B3E"/>
    <w:rsid w:val="00DF725C"/>
    <w:rsid w:val="00DF793B"/>
    <w:rsid w:val="00E04484"/>
    <w:rsid w:val="00E06F22"/>
    <w:rsid w:val="00E16B26"/>
    <w:rsid w:val="00E22FEC"/>
    <w:rsid w:val="00E2622E"/>
    <w:rsid w:val="00E27D9B"/>
    <w:rsid w:val="00E30208"/>
    <w:rsid w:val="00E33D0C"/>
    <w:rsid w:val="00E42B47"/>
    <w:rsid w:val="00E43997"/>
    <w:rsid w:val="00E52E4C"/>
    <w:rsid w:val="00E53565"/>
    <w:rsid w:val="00E603F6"/>
    <w:rsid w:val="00E609C0"/>
    <w:rsid w:val="00E60B88"/>
    <w:rsid w:val="00E61769"/>
    <w:rsid w:val="00E637BB"/>
    <w:rsid w:val="00E676BC"/>
    <w:rsid w:val="00E67F81"/>
    <w:rsid w:val="00E74C8D"/>
    <w:rsid w:val="00E75FEF"/>
    <w:rsid w:val="00E83A3E"/>
    <w:rsid w:val="00E91027"/>
    <w:rsid w:val="00E91EB4"/>
    <w:rsid w:val="00E922BC"/>
    <w:rsid w:val="00E92F01"/>
    <w:rsid w:val="00E963CE"/>
    <w:rsid w:val="00E9729A"/>
    <w:rsid w:val="00EA0E21"/>
    <w:rsid w:val="00EA2407"/>
    <w:rsid w:val="00EA7117"/>
    <w:rsid w:val="00EC12AE"/>
    <w:rsid w:val="00ED417D"/>
    <w:rsid w:val="00EF1984"/>
    <w:rsid w:val="00F003C4"/>
    <w:rsid w:val="00F01151"/>
    <w:rsid w:val="00F0602B"/>
    <w:rsid w:val="00F06597"/>
    <w:rsid w:val="00F10453"/>
    <w:rsid w:val="00F143C1"/>
    <w:rsid w:val="00F16DFC"/>
    <w:rsid w:val="00F1750A"/>
    <w:rsid w:val="00F227BC"/>
    <w:rsid w:val="00F24F4F"/>
    <w:rsid w:val="00F27917"/>
    <w:rsid w:val="00F32E11"/>
    <w:rsid w:val="00F37448"/>
    <w:rsid w:val="00F431C3"/>
    <w:rsid w:val="00F45508"/>
    <w:rsid w:val="00F5424A"/>
    <w:rsid w:val="00F633E3"/>
    <w:rsid w:val="00F63F60"/>
    <w:rsid w:val="00F76C00"/>
    <w:rsid w:val="00F81DBA"/>
    <w:rsid w:val="00F82B08"/>
    <w:rsid w:val="00F838D3"/>
    <w:rsid w:val="00F84F86"/>
    <w:rsid w:val="00F94EE9"/>
    <w:rsid w:val="00F9756C"/>
    <w:rsid w:val="00FA0CB2"/>
    <w:rsid w:val="00FA35F4"/>
    <w:rsid w:val="00FA3FC4"/>
    <w:rsid w:val="00FA4300"/>
    <w:rsid w:val="00FA7E86"/>
    <w:rsid w:val="00FB20ED"/>
    <w:rsid w:val="00FB48C3"/>
    <w:rsid w:val="00FB51F1"/>
    <w:rsid w:val="00FC0C13"/>
    <w:rsid w:val="00FC2184"/>
    <w:rsid w:val="00FC33F1"/>
    <w:rsid w:val="00FD108E"/>
    <w:rsid w:val="00FD2A06"/>
    <w:rsid w:val="00FE0BF6"/>
    <w:rsid w:val="00FE6ABA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9C880"/>
  <w15:chartTrackingRefBased/>
  <w15:docId w15:val="{67C4BA00-981B-4974-958B-62EB165C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29A"/>
    <w:rPr>
      <w:sz w:val="18"/>
      <w:szCs w:val="18"/>
    </w:rPr>
  </w:style>
  <w:style w:type="table" w:styleId="a7">
    <w:name w:val="Table Grid"/>
    <w:basedOn w:val="a1"/>
    <w:uiPriority w:val="39"/>
    <w:rsid w:val="00E9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--">
    <w:name w:val="A4-纵向-文档模板"/>
    <w:basedOn w:val="a"/>
    <w:link w:val="A4--0"/>
    <w:qFormat/>
    <w:rsid w:val="00E9729A"/>
    <w:pPr>
      <w:ind w:leftChars="-809" w:left="-1275" w:hangingChars="202" w:hanging="424"/>
    </w:pPr>
    <w:rPr>
      <w:noProof/>
    </w:rPr>
  </w:style>
  <w:style w:type="character" w:customStyle="1" w:styleId="A4--0">
    <w:name w:val="A4-纵向-文档模板 字符"/>
    <w:basedOn w:val="a0"/>
    <w:link w:val="A4--"/>
    <w:rsid w:val="00E9729A"/>
    <w:rPr>
      <w:noProof/>
    </w:rPr>
  </w:style>
  <w:style w:type="paragraph" w:styleId="a8">
    <w:name w:val="Revision"/>
    <w:hidden/>
    <w:uiPriority w:val="99"/>
    <w:semiHidden/>
    <w:rsid w:val="00F37448"/>
  </w:style>
  <w:style w:type="character" w:styleId="a9">
    <w:name w:val="annotation reference"/>
    <w:basedOn w:val="a0"/>
    <w:uiPriority w:val="99"/>
    <w:semiHidden/>
    <w:unhideWhenUsed/>
    <w:rsid w:val="00CC4B3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4B3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4B3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4B3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4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pantrever</dc:creator>
  <cp:keywords/>
  <dc:description/>
  <cp:lastModifiedBy>A L</cp:lastModifiedBy>
  <cp:revision>53</cp:revision>
  <cp:lastPrinted>2023-06-30T03:23:00Z</cp:lastPrinted>
  <dcterms:created xsi:type="dcterms:W3CDTF">2024-03-28T09:04:00Z</dcterms:created>
  <dcterms:modified xsi:type="dcterms:W3CDTF">2024-10-16T02:08:00Z</dcterms:modified>
</cp:coreProperties>
</file>