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8A6DF" w14:textId="77777777" w:rsidR="008A3D90" w:rsidRDefault="00000000">
      <w:pPr>
        <w:jc w:val="center"/>
        <w:rPr>
          <w:rFonts w:ascii="宋体" w:eastAsia="宋体" w:hAnsi="宋体" w:cs="宋体" w:hint="eastAsia"/>
          <w:b/>
          <w:bCs/>
          <w:sz w:val="30"/>
          <w:szCs w:val="30"/>
        </w:rPr>
      </w:pPr>
      <w:r>
        <w:rPr>
          <w:rFonts w:ascii="宋体" w:eastAsia="宋体" w:hAnsi="宋体" w:cs="宋体" w:hint="eastAsia"/>
          <w:b/>
          <w:bCs/>
          <w:sz w:val="30"/>
          <w:szCs w:val="30"/>
        </w:rPr>
        <w:t>天津美腾科技股份有限公司</w:t>
      </w:r>
    </w:p>
    <w:p w14:paraId="6596879C" w14:textId="77777777" w:rsidR="008A3D90" w:rsidRDefault="00000000">
      <w:pPr>
        <w:jc w:val="center"/>
        <w:rPr>
          <w:rFonts w:ascii="宋体" w:eastAsia="宋体" w:hAnsi="宋体" w:cs="宋体" w:hint="eastAsia"/>
          <w:b/>
          <w:bCs/>
          <w:sz w:val="30"/>
          <w:szCs w:val="30"/>
        </w:rPr>
      </w:pPr>
      <w:r>
        <w:rPr>
          <w:rFonts w:ascii="宋体" w:eastAsia="宋体" w:hAnsi="宋体" w:cs="宋体" w:hint="eastAsia"/>
          <w:b/>
          <w:bCs/>
          <w:sz w:val="30"/>
          <w:szCs w:val="30"/>
        </w:rPr>
        <w:t>投资者关系活动记录表</w:t>
      </w:r>
    </w:p>
    <w:p w14:paraId="5ADD5A44" w14:textId="77777777" w:rsidR="008A3D90" w:rsidRDefault="00000000">
      <w:pPr>
        <w:jc w:val="center"/>
        <w:rPr>
          <w:rFonts w:ascii="宋体" w:eastAsia="宋体" w:hAnsi="宋体" w:cs="宋体" w:hint="eastAsia"/>
          <w:b/>
          <w:bCs/>
          <w:sz w:val="30"/>
          <w:szCs w:val="30"/>
        </w:rPr>
      </w:pPr>
      <w:r>
        <w:rPr>
          <w:rFonts w:ascii="宋体" w:eastAsia="宋体" w:hAnsi="宋体" w:cs="宋体" w:hint="eastAsia"/>
          <w:b/>
          <w:bCs/>
          <w:sz w:val="30"/>
          <w:szCs w:val="30"/>
        </w:rPr>
        <w:t>（2024年10月17日）</w:t>
      </w:r>
    </w:p>
    <w:p w14:paraId="78DCC06F" w14:textId="77777777" w:rsidR="008A3D90" w:rsidRDefault="00000000">
      <w:pPr>
        <w:rPr>
          <w:rFonts w:ascii="宋体" w:eastAsia="宋体" w:hAnsi="宋体" w:cs="宋体" w:hint="eastAsia"/>
          <w:b/>
          <w:bCs/>
          <w:szCs w:val="21"/>
        </w:rPr>
      </w:pPr>
      <w:r>
        <w:rPr>
          <w:rFonts w:ascii="宋体" w:eastAsia="宋体" w:hAnsi="宋体" w:cs="宋体" w:hint="eastAsia"/>
          <w:b/>
          <w:bCs/>
          <w:szCs w:val="21"/>
        </w:rPr>
        <w:t>编号：2024-004</w:t>
      </w:r>
    </w:p>
    <w:tbl>
      <w:tblPr>
        <w:tblStyle w:val="ac"/>
        <w:tblW w:w="0" w:type="auto"/>
        <w:tblLayout w:type="fixed"/>
        <w:tblLook w:val="04A0" w:firstRow="1" w:lastRow="0" w:firstColumn="1" w:lastColumn="0" w:noHBand="0" w:noVBand="1"/>
      </w:tblPr>
      <w:tblGrid>
        <w:gridCol w:w="1102"/>
        <w:gridCol w:w="7370"/>
      </w:tblGrid>
      <w:tr w:rsidR="008A3D90" w14:paraId="414ED007" w14:textId="77777777" w:rsidTr="00EC08A7">
        <w:trPr>
          <w:trHeight w:val="1618"/>
        </w:trPr>
        <w:tc>
          <w:tcPr>
            <w:tcW w:w="1102" w:type="dxa"/>
            <w:vAlign w:val="center"/>
          </w:tcPr>
          <w:p w14:paraId="47CF6B71" w14:textId="77777777" w:rsidR="008A3D90" w:rsidRDefault="00000000">
            <w:pPr>
              <w:wordWrap w:val="0"/>
              <w:topLinePunct/>
              <w:spacing w:line="240" w:lineRule="atLeast"/>
              <w:jc w:val="center"/>
              <w:rPr>
                <w:rFonts w:ascii="宋体" w:eastAsia="宋体" w:hAnsi="宋体" w:cs="宋体" w:hint="eastAsia"/>
                <w:b/>
                <w:bCs/>
                <w:szCs w:val="21"/>
              </w:rPr>
            </w:pPr>
            <w:r>
              <w:rPr>
                <w:rFonts w:ascii="宋体" w:eastAsia="宋体" w:hAnsi="宋体" w:cs="宋体" w:hint="eastAsia"/>
                <w:b/>
                <w:bCs/>
                <w:szCs w:val="21"/>
              </w:rPr>
              <w:t>投资者关系活动类别</w:t>
            </w:r>
          </w:p>
        </w:tc>
        <w:tc>
          <w:tcPr>
            <w:tcW w:w="7370" w:type="dxa"/>
          </w:tcPr>
          <w:p w14:paraId="7B59B779" w14:textId="77777777" w:rsidR="008A3D90" w:rsidRDefault="00000000">
            <w:pPr>
              <w:wordWrap w:val="0"/>
              <w:topLinePunct/>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sym w:font="Wingdings" w:char="00FE"/>
            </w:r>
            <w:r>
              <w:rPr>
                <w:rFonts w:ascii="宋体" w:eastAsia="宋体" w:hAnsi="宋体" w:cs="宋体" w:hint="eastAsia"/>
                <w:szCs w:val="21"/>
                <w:shd w:val="clear" w:color="auto" w:fill="FFFFFF"/>
              </w:rPr>
              <w:t xml:space="preserve">特定对象调研                       </w:t>
            </w:r>
            <w:r>
              <w:rPr>
                <w:rFonts w:ascii="宋体" w:eastAsia="宋体" w:hAnsi="宋体" w:cs="宋体" w:hint="eastAsia"/>
                <w:szCs w:val="21"/>
                <w:shd w:val="clear" w:color="auto" w:fill="FFFFFF"/>
              </w:rPr>
              <w:sym w:font="Wingdings" w:char="00A8"/>
            </w:r>
            <w:r>
              <w:rPr>
                <w:rFonts w:ascii="宋体" w:eastAsia="宋体" w:hAnsi="宋体" w:cs="宋体" w:hint="eastAsia"/>
                <w:szCs w:val="21"/>
                <w:shd w:val="clear" w:color="auto" w:fill="FFFFFF"/>
              </w:rPr>
              <w:t>分析师会议</w:t>
            </w:r>
          </w:p>
          <w:p w14:paraId="3BE08C9A" w14:textId="77777777" w:rsidR="008A3D90" w:rsidRDefault="00000000">
            <w:pPr>
              <w:wordWrap w:val="0"/>
              <w:topLinePunct/>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sym w:font="Wingdings" w:char="00A8"/>
            </w:r>
            <w:r>
              <w:rPr>
                <w:rFonts w:ascii="宋体" w:eastAsia="宋体" w:hAnsi="宋体" w:cs="宋体" w:hint="eastAsia"/>
                <w:szCs w:val="21"/>
                <w:shd w:val="clear" w:color="auto" w:fill="FFFFFF"/>
              </w:rPr>
              <w:t xml:space="preserve">媒体采访                            </w:t>
            </w:r>
            <w:r>
              <w:rPr>
                <w:rFonts w:ascii="宋体" w:eastAsia="宋体" w:hAnsi="宋体" w:cs="宋体" w:hint="eastAsia"/>
                <w:szCs w:val="21"/>
                <w:shd w:val="clear" w:color="auto" w:fill="FFFFFF"/>
              </w:rPr>
              <w:sym w:font="Wingdings" w:char="00A8"/>
            </w:r>
            <w:r>
              <w:rPr>
                <w:rFonts w:ascii="宋体" w:eastAsia="宋体" w:hAnsi="宋体" w:cs="宋体" w:hint="eastAsia"/>
                <w:szCs w:val="21"/>
                <w:shd w:val="clear" w:color="auto" w:fill="FFFFFF"/>
              </w:rPr>
              <w:t>业绩说明会</w:t>
            </w:r>
          </w:p>
          <w:p w14:paraId="307EBC4C" w14:textId="77777777" w:rsidR="008A3D90" w:rsidRDefault="00000000">
            <w:pPr>
              <w:wordWrap w:val="0"/>
              <w:topLinePunct/>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sym w:font="Wingdings" w:char="00A8"/>
            </w:r>
            <w:r>
              <w:rPr>
                <w:rFonts w:ascii="宋体" w:eastAsia="宋体" w:hAnsi="宋体" w:cs="宋体" w:hint="eastAsia"/>
                <w:szCs w:val="21"/>
                <w:shd w:val="clear" w:color="auto" w:fill="FFFFFF"/>
              </w:rPr>
              <w:t xml:space="preserve">新闻发布会                          </w:t>
            </w:r>
            <w:r>
              <w:rPr>
                <w:rFonts w:ascii="宋体" w:eastAsia="宋体" w:hAnsi="宋体" w:cs="宋体" w:hint="eastAsia"/>
                <w:szCs w:val="21"/>
                <w:shd w:val="clear" w:color="auto" w:fill="FFFFFF"/>
              </w:rPr>
              <w:sym w:font="Wingdings" w:char="00A8"/>
            </w:r>
            <w:r>
              <w:rPr>
                <w:rFonts w:ascii="宋体" w:eastAsia="宋体" w:hAnsi="宋体" w:cs="宋体" w:hint="eastAsia"/>
                <w:szCs w:val="21"/>
                <w:shd w:val="clear" w:color="auto" w:fill="FFFFFF"/>
              </w:rPr>
              <w:t>路演活动</w:t>
            </w:r>
          </w:p>
          <w:p w14:paraId="090A8CF9" w14:textId="77777777" w:rsidR="008A3D90" w:rsidRDefault="00000000">
            <w:pPr>
              <w:wordWrap w:val="0"/>
              <w:topLinePunct/>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sym w:font="Wingdings" w:char="00A8"/>
            </w:r>
            <w:r>
              <w:rPr>
                <w:rFonts w:ascii="宋体" w:eastAsia="宋体" w:hAnsi="宋体" w:cs="宋体" w:hint="eastAsia"/>
                <w:szCs w:val="21"/>
                <w:shd w:val="clear" w:color="auto" w:fill="FFFFFF"/>
              </w:rPr>
              <w:t xml:space="preserve">专场机构交流会                      </w:t>
            </w:r>
            <w:r>
              <w:rPr>
                <w:rFonts w:ascii="宋体" w:eastAsia="宋体" w:hAnsi="宋体" w:cs="宋体" w:hint="eastAsia"/>
                <w:szCs w:val="21"/>
                <w:shd w:val="clear" w:color="auto" w:fill="FFFFFF"/>
              </w:rPr>
              <w:sym w:font="Wingdings" w:char="00A8"/>
            </w:r>
            <w:r>
              <w:rPr>
                <w:rFonts w:ascii="宋体" w:eastAsia="宋体" w:hAnsi="宋体" w:cs="宋体" w:hint="eastAsia"/>
                <w:szCs w:val="21"/>
                <w:shd w:val="clear" w:color="auto" w:fill="FFFFFF"/>
              </w:rPr>
              <w:t>现场参观</w:t>
            </w:r>
          </w:p>
          <w:p w14:paraId="74CEEC5E" w14:textId="77777777" w:rsidR="008A3D90" w:rsidRDefault="00000000">
            <w:pPr>
              <w:wordWrap w:val="0"/>
              <w:topLinePunct/>
              <w:rPr>
                <w:rFonts w:ascii="宋体" w:eastAsia="宋体" w:hAnsi="宋体" w:cs="宋体" w:hint="eastAsia"/>
                <w:szCs w:val="21"/>
              </w:rPr>
            </w:pPr>
            <w:r>
              <w:rPr>
                <w:rFonts w:ascii="宋体" w:eastAsia="宋体" w:hAnsi="宋体" w:cs="宋体" w:hint="eastAsia"/>
                <w:szCs w:val="21"/>
                <w:shd w:val="clear" w:color="auto" w:fill="FFFFFF"/>
              </w:rPr>
              <w:sym w:font="Wingdings" w:char="00A8"/>
            </w:r>
            <w:r>
              <w:rPr>
                <w:rFonts w:ascii="宋体" w:eastAsia="宋体" w:hAnsi="宋体" w:cs="宋体" w:hint="eastAsia"/>
                <w:szCs w:val="21"/>
                <w:shd w:val="clear" w:color="auto" w:fill="FFFFFF"/>
              </w:rPr>
              <w:t xml:space="preserve">其他 </w:t>
            </w:r>
          </w:p>
        </w:tc>
      </w:tr>
      <w:tr w:rsidR="008A3D90" w14:paraId="62FDF112" w14:textId="77777777" w:rsidTr="00EC08A7">
        <w:trPr>
          <w:trHeight w:val="1045"/>
        </w:trPr>
        <w:tc>
          <w:tcPr>
            <w:tcW w:w="1102" w:type="dxa"/>
            <w:vAlign w:val="center"/>
          </w:tcPr>
          <w:p w14:paraId="078F7C61" w14:textId="77777777" w:rsidR="008A3D90" w:rsidRDefault="00000000">
            <w:pPr>
              <w:wordWrap w:val="0"/>
              <w:topLinePunct/>
              <w:jc w:val="center"/>
              <w:rPr>
                <w:rFonts w:ascii="宋体" w:eastAsia="宋体" w:hAnsi="宋体" w:cs="宋体" w:hint="eastAsia"/>
                <w:b/>
                <w:bCs/>
                <w:szCs w:val="21"/>
              </w:rPr>
            </w:pPr>
            <w:r>
              <w:rPr>
                <w:rFonts w:ascii="宋体" w:eastAsia="宋体" w:hAnsi="宋体" w:cs="宋体" w:hint="eastAsia"/>
                <w:b/>
                <w:bCs/>
                <w:szCs w:val="21"/>
              </w:rPr>
              <w:t>参与单位名称及人员姓名</w:t>
            </w:r>
          </w:p>
        </w:tc>
        <w:tc>
          <w:tcPr>
            <w:tcW w:w="7370" w:type="dxa"/>
            <w:vAlign w:val="center"/>
          </w:tcPr>
          <w:p w14:paraId="26A354EE" w14:textId="77777777" w:rsidR="008A3D90" w:rsidRDefault="00000000">
            <w:pPr>
              <w:wordWrap w:val="0"/>
              <w:topLinePunct/>
              <w:rPr>
                <w:rFonts w:ascii="宋体" w:eastAsia="宋体" w:hAnsi="宋体" w:cs="宋体" w:hint="eastAsia"/>
                <w:szCs w:val="21"/>
              </w:rPr>
            </w:pPr>
            <w:r>
              <w:rPr>
                <w:rFonts w:ascii="宋体" w:eastAsia="宋体" w:hAnsi="宋体" w:cs="宋体" w:hint="eastAsia"/>
                <w:szCs w:val="21"/>
              </w:rPr>
              <w:t>上海证券、万和证券、渤海证券、国泰君安证券、北京量化投资、中科达资本、</w:t>
            </w:r>
            <w:proofErr w:type="gramStart"/>
            <w:r>
              <w:rPr>
                <w:rFonts w:ascii="宋体" w:eastAsia="宋体" w:hAnsi="宋体" w:cs="宋体" w:hint="eastAsia"/>
                <w:szCs w:val="21"/>
              </w:rPr>
              <w:t>鹏瑞利</w:t>
            </w:r>
            <w:proofErr w:type="gramEnd"/>
            <w:r>
              <w:rPr>
                <w:rFonts w:ascii="宋体" w:eastAsia="宋体" w:hAnsi="宋体" w:cs="宋体" w:hint="eastAsia"/>
                <w:szCs w:val="21"/>
              </w:rPr>
              <w:t>、薪富阳投资、中</w:t>
            </w:r>
            <w:proofErr w:type="gramStart"/>
            <w:r>
              <w:rPr>
                <w:rFonts w:ascii="宋体" w:eastAsia="宋体" w:hAnsi="宋体" w:cs="宋体" w:hint="eastAsia"/>
                <w:szCs w:val="21"/>
              </w:rPr>
              <w:t>信建投证券</w:t>
            </w:r>
            <w:proofErr w:type="gramEnd"/>
            <w:r>
              <w:rPr>
                <w:rFonts w:ascii="宋体" w:eastAsia="宋体" w:hAnsi="宋体" w:cs="宋体" w:hint="eastAsia"/>
                <w:szCs w:val="21"/>
              </w:rPr>
              <w:t>、</w:t>
            </w:r>
            <w:proofErr w:type="gramStart"/>
            <w:r>
              <w:rPr>
                <w:rFonts w:ascii="宋体" w:eastAsia="宋体" w:hAnsi="宋体" w:cs="宋体" w:hint="eastAsia"/>
                <w:szCs w:val="21"/>
              </w:rPr>
              <w:t>华软资本</w:t>
            </w:r>
            <w:proofErr w:type="gramEnd"/>
            <w:r>
              <w:rPr>
                <w:rFonts w:ascii="宋体" w:eastAsia="宋体" w:hAnsi="宋体" w:cs="宋体" w:hint="eastAsia"/>
                <w:szCs w:val="21"/>
              </w:rPr>
              <w:t>、东方财富证券</w:t>
            </w:r>
          </w:p>
        </w:tc>
      </w:tr>
      <w:tr w:rsidR="008A3D90" w14:paraId="30AD6E3F" w14:textId="77777777" w:rsidTr="00EC08A7">
        <w:trPr>
          <w:trHeight w:val="519"/>
        </w:trPr>
        <w:tc>
          <w:tcPr>
            <w:tcW w:w="1102" w:type="dxa"/>
            <w:vAlign w:val="center"/>
          </w:tcPr>
          <w:p w14:paraId="43162BBC" w14:textId="77777777" w:rsidR="008A3D90" w:rsidRDefault="00000000">
            <w:pPr>
              <w:wordWrap w:val="0"/>
              <w:topLinePunct/>
              <w:jc w:val="center"/>
              <w:rPr>
                <w:rFonts w:ascii="宋体" w:eastAsia="宋体" w:hAnsi="宋体" w:cs="宋体" w:hint="eastAsia"/>
                <w:b/>
                <w:bCs/>
                <w:szCs w:val="21"/>
              </w:rPr>
            </w:pPr>
            <w:r>
              <w:rPr>
                <w:rFonts w:ascii="宋体" w:eastAsia="宋体" w:hAnsi="宋体" w:cs="宋体" w:hint="eastAsia"/>
                <w:b/>
                <w:bCs/>
                <w:szCs w:val="21"/>
              </w:rPr>
              <w:t>会议时间</w:t>
            </w:r>
          </w:p>
        </w:tc>
        <w:tc>
          <w:tcPr>
            <w:tcW w:w="7370" w:type="dxa"/>
            <w:vAlign w:val="center"/>
          </w:tcPr>
          <w:p w14:paraId="4498B03A" w14:textId="77777777" w:rsidR="008A3D90" w:rsidRDefault="00000000">
            <w:pPr>
              <w:wordWrap w:val="0"/>
              <w:topLinePunct/>
              <w:spacing w:line="360" w:lineRule="auto"/>
              <w:rPr>
                <w:rFonts w:ascii="宋体" w:eastAsia="宋体" w:hAnsi="宋体" w:cs="宋体" w:hint="eastAsia"/>
                <w:szCs w:val="21"/>
              </w:rPr>
            </w:pPr>
            <w:r>
              <w:rPr>
                <w:rFonts w:ascii="宋体" w:eastAsia="宋体" w:hAnsi="宋体" w:cs="宋体" w:hint="eastAsia"/>
                <w:szCs w:val="21"/>
              </w:rPr>
              <w:t>2024年10月17日</w:t>
            </w:r>
          </w:p>
        </w:tc>
      </w:tr>
      <w:tr w:rsidR="008A3D90" w14:paraId="5E40B7E2" w14:textId="77777777" w:rsidTr="00EC08A7">
        <w:trPr>
          <w:trHeight w:val="597"/>
        </w:trPr>
        <w:tc>
          <w:tcPr>
            <w:tcW w:w="1102" w:type="dxa"/>
            <w:vAlign w:val="center"/>
          </w:tcPr>
          <w:p w14:paraId="086B442D" w14:textId="77777777" w:rsidR="008A3D90" w:rsidRDefault="00000000">
            <w:pPr>
              <w:wordWrap w:val="0"/>
              <w:topLinePunct/>
              <w:jc w:val="center"/>
              <w:rPr>
                <w:rFonts w:ascii="宋体" w:eastAsia="宋体" w:hAnsi="宋体" w:cs="宋体" w:hint="eastAsia"/>
                <w:b/>
                <w:bCs/>
                <w:szCs w:val="21"/>
              </w:rPr>
            </w:pPr>
            <w:r>
              <w:rPr>
                <w:rFonts w:ascii="宋体" w:eastAsia="宋体" w:hAnsi="宋体" w:cs="宋体" w:hint="eastAsia"/>
                <w:b/>
                <w:bCs/>
                <w:szCs w:val="21"/>
              </w:rPr>
              <w:t>会议地点</w:t>
            </w:r>
          </w:p>
        </w:tc>
        <w:tc>
          <w:tcPr>
            <w:tcW w:w="7370" w:type="dxa"/>
            <w:vAlign w:val="center"/>
          </w:tcPr>
          <w:p w14:paraId="16232B4C" w14:textId="77777777" w:rsidR="008A3D90" w:rsidRDefault="00000000">
            <w:pPr>
              <w:wordWrap w:val="0"/>
              <w:topLinePunct/>
              <w:spacing w:line="360" w:lineRule="auto"/>
              <w:rPr>
                <w:rFonts w:ascii="宋体" w:eastAsia="宋体" w:hAnsi="宋体" w:cs="宋体" w:hint="eastAsia"/>
                <w:szCs w:val="21"/>
              </w:rPr>
            </w:pPr>
            <w:r>
              <w:rPr>
                <w:rFonts w:ascii="宋体" w:eastAsia="宋体" w:hAnsi="宋体" w:cs="宋体" w:hint="eastAsia"/>
                <w:szCs w:val="21"/>
              </w:rPr>
              <w:t>公司会议室</w:t>
            </w:r>
          </w:p>
        </w:tc>
      </w:tr>
      <w:tr w:rsidR="008A3D90" w14:paraId="1942E163" w14:textId="77777777" w:rsidTr="00EC08A7">
        <w:trPr>
          <w:trHeight w:val="1682"/>
        </w:trPr>
        <w:tc>
          <w:tcPr>
            <w:tcW w:w="1102" w:type="dxa"/>
            <w:vAlign w:val="center"/>
          </w:tcPr>
          <w:p w14:paraId="73DB388F" w14:textId="77777777" w:rsidR="008A3D90" w:rsidRDefault="00000000">
            <w:pPr>
              <w:wordWrap w:val="0"/>
              <w:topLinePunct/>
              <w:jc w:val="center"/>
              <w:rPr>
                <w:rFonts w:ascii="宋体" w:eastAsia="宋体" w:hAnsi="宋体" w:cs="宋体" w:hint="eastAsia"/>
                <w:b/>
                <w:bCs/>
                <w:szCs w:val="21"/>
              </w:rPr>
            </w:pPr>
            <w:r>
              <w:rPr>
                <w:rFonts w:ascii="宋体" w:eastAsia="宋体" w:hAnsi="宋体" w:cs="宋体" w:hint="eastAsia"/>
                <w:b/>
                <w:bCs/>
                <w:szCs w:val="21"/>
              </w:rPr>
              <w:t>上市公司接待人员姓名</w:t>
            </w:r>
          </w:p>
        </w:tc>
        <w:tc>
          <w:tcPr>
            <w:tcW w:w="7370" w:type="dxa"/>
            <w:vAlign w:val="center"/>
          </w:tcPr>
          <w:p w14:paraId="3C15AF86" w14:textId="77777777" w:rsidR="008A3D90" w:rsidRDefault="00000000">
            <w:pPr>
              <w:wordWrap w:val="0"/>
              <w:topLinePunct/>
              <w:rPr>
                <w:rFonts w:ascii="宋体" w:eastAsia="宋体" w:hAnsi="宋体" w:cs="宋体" w:hint="eastAsia"/>
                <w:szCs w:val="21"/>
              </w:rPr>
            </w:pPr>
            <w:r>
              <w:rPr>
                <w:rFonts w:ascii="宋体" w:eastAsia="宋体" w:hAnsi="宋体" w:cs="宋体" w:hint="eastAsia"/>
                <w:szCs w:val="21"/>
              </w:rPr>
              <w:t>证券事务代表：杨正玲</w:t>
            </w:r>
          </w:p>
          <w:p w14:paraId="26FB7EF9" w14:textId="77777777" w:rsidR="008A3D90" w:rsidRDefault="00000000">
            <w:pPr>
              <w:wordWrap w:val="0"/>
              <w:topLinePunct/>
              <w:rPr>
                <w:rFonts w:ascii="宋体" w:eastAsia="宋体" w:hAnsi="宋体" w:cs="宋体" w:hint="eastAsia"/>
                <w:szCs w:val="21"/>
              </w:rPr>
            </w:pPr>
            <w:r>
              <w:rPr>
                <w:rFonts w:ascii="宋体" w:eastAsia="宋体" w:hAnsi="宋体" w:cs="宋体" w:hint="eastAsia"/>
                <w:szCs w:val="21"/>
              </w:rPr>
              <w:t>信息披露经理：李薇</w:t>
            </w:r>
          </w:p>
        </w:tc>
      </w:tr>
      <w:tr w:rsidR="008A3D90" w14:paraId="57CBF962" w14:textId="77777777" w:rsidTr="00EC08A7">
        <w:trPr>
          <w:trHeight w:val="2948"/>
        </w:trPr>
        <w:tc>
          <w:tcPr>
            <w:tcW w:w="1102" w:type="dxa"/>
            <w:vAlign w:val="center"/>
          </w:tcPr>
          <w:p w14:paraId="35CD5F05" w14:textId="77777777" w:rsidR="008A3D90" w:rsidRDefault="00000000">
            <w:pPr>
              <w:wordWrap w:val="0"/>
              <w:topLinePunct/>
              <w:jc w:val="center"/>
              <w:rPr>
                <w:rFonts w:ascii="宋体" w:eastAsia="宋体" w:hAnsi="宋体" w:cs="宋体" w:hint="eastAsia"/>
                <w:b/>
                <w:bCs/>
                <w:szCs w:val="21"/>
              </w:rPr>
            </w:pPr>
            <w:r>
              <w:rPr>
                <w:rFonts w:ascii="宋体" w:eastAsia="宋体" w:hAnsi="宋体" w:cs="宋体" w:hint="eastAsia"/>
                <w:b/>
                <w:bCs/>
                <w:szCs w:val="21"/>
              </w:rPr>
              <w:t>投资者关系活动主要内容介绍</w:t>
            </w:r>
          </w:p>
        </w:tc>
        <w:tc>
          <w:tcPr>
            <w:tcW w:w="7370" w:type="dxa"/>
          </w:tcPr>
          <w:p w14:paraId="22C3044E" w14:textId="67A9BD8D" w:rsidR="008A3D90" w:rsidRDefault="00000000">
            <w:pPr>
              <w:spacing w:line="360" w:lineRule="auto"/>
              <w:rPr>
                <w:rFonts w:asciiTheme="minorEastAsia" w:hAnsiTheme="minorEastAsia" w:hint="eastAsia"/>
                <w:b/>
                <w:bCs/>
              </w:rPr>
            </w:pPr>
            <w:r>
              <w:rPr>
                <w:rFonts w:asciiTheme="minorEastAsia" w:hAnsiTheme="minorEastAsia" w:hint="eastAsia"/>
                <w:b/>
                <w:bCs/>
              </w:rPr>
              <w:t>Q1：公司的营收是否主要来自海外市场？海外市场开拓情况如何？开拓海外市场的明显感受是什么？</w:t>
            </w:r>
          </w:p>
          <w:p w14:paraId="2E88F4BC" w14:textId="4793F5B7" w:rsidR="008A3D90" w:rsidRDefault="00000000">
            <w:pPr>
              <w:spacing w:line="360" w:lineRule="auto"/>
              <w:rPr>
                <w:rFonts w:asciiTheme="minorEastAsia" w:hAnsiTheme="minorEastAsia" w:hint="eastAsia"/>
              </w:rPr>
            </w:pPr>
            <w:r>
              <w:rPr>
                <w:rFonts w:asciiTheme="minorEastAsia" w:hAnsiTheme="minorEastAsia" w:hint="eastAsia"/>
              </w:rPr>
              <w:t>A1：公司目前主要营收来自国内市场。2022年底公司建立了国际市场部，进行海外市场布局；2023年，公司开拓海外市场，成功取得海外订单；2024年公司海外市场开拓将持续发力，重点开发印度尼西亚、澳大利亚、蒙古、南非、中亚等地区的煤炭及矿业分选和智能化领域的市场。海外市场客户更注重实际运用案例，上半年，公司通过参加国际市场展会、重点客户的拜访、开发代理渠道等方式进行市场开拓工作，今年1月份，公司TGS正式出海，历时4个月，成功带煤运行，解决了客户因煤质差而销售不畅的问题；同时，公司在上半年取得了首个国外大型铅锌矿光电分选项目，标志着公司在国际矿业市场的重大进展。未来，公司将继续夯实国内基础市场，进一步开拓国际市场，加强海外市场团队建设，加强产品宣传，建设海外样板工程，提升公司国际品牌知名度，做大做强市场份额，争取实现规模突破。</w:t>
            </w:r>
          </w:p>
          <w:p w14:paraId="5721A650" w14:textId="77777777" w:rsidR="008A3D90" w:rsidRDefault="00000000">
            <w:pPr>
              <w:widowControl/>
              <w:spacing w:afterLines="50" w:after="156" w:line="360" w:lineRule="auto"/>
              <w:rPr>
                <w:rFonts w:ascii="Times New Roman" w:eastAsia="宋体" w:hAnsi="Times New Roman"/>
                <w:b/>
                <w:bCs/>
                <w:szCs w:val="21"/>
              </w:rPr>
            </w:pPr>
            <w:r>
              <w:rPr>
                <w:rFonts w:ascii="Times New Roman" w:eastAsia="宋体" w:hAnsi="Times New Roman" w:hint="eastAsia"/>
                <w:b/>
                <w:bCs/>
                <w:szCs w:val="21"/>
              </w:rPr>
              <w:lastRenderedPageBreak/>
              <w:t>Q2</w:t>
            </w:r>
            <w:r>
              <w:rPr>
                <w:rFonts w:ascii="Times New Roman" w:eastAsia="宋体" w:hAnsi="Times New Roman" w:hint="eastAsia"/>
                <w:b/>
                <w:bCs/>
                <w:szCs w:val="21"/>
              </w:rPr>
              <w:t>：目前干法选煤技术渗透率仍处于较低水平的原因？</w:t>
            </w:r>
          </w:p>
          <w:p w14:paraId="40F638FC" w14:textId="73A0BAFE" w:rsidR="008A3D90" w:rsidRDefault="00000000">
            <w:pPr>
              <w:spacing w:line="360" w:lineRule="auto"/>
              <w:rPr>
                <w:rFonts w:asciiTheme="minorEastAsia" w:hAnsiTheme="minorEastAsia" w:hint="eastAsia"/>
              </w:rPr>
            </w:pPr>
            <w:r>
              <w:rPr>
                <w:rFonts w:asciiTheme="minorEastAsia" w:hAnsiTheme="minorEastAsia" w:hint="eastAsia"/>
              </w:rPr>
              <w:t>A2：煤</w:t>
            </w:r>
            <w:proofErr w:type="gramStart"/>
            <w:r>
              <w:rPr>
                <w:rFonts w:asciiTheme="minorEastAsia" w:hAnsiTheme="minorEastAsia" w:hint="eastAsia"/>
              </w:rPr>
              <w:t>矸</w:t>
            </w:r>
            <w:proofErr w:type="gramEnd"/>
            <w:r>
              <w:rPr>
                <w:rFonts w:asciiTheme="minorEastAsia" w:hAnsiTheme="minorEastAsia" w:hint="eastAsia"/>
              </w:rPr>
              <w:t>分选可以分为湿选、</w:t>
            </w:r>
            <w:proofErr w:type="gramStart"/>
            <w:r>
              <w:rPr>
                <w:rFonts w:asciiTheme="minorEastAsia" w:hAnsiTheme="minorEastAsia" w:hint="eastAsia"/>
              </w:rPr>
              <w:t>干选两种</w:t>
            </w:r>
            <w:proofErr w:type="gramEnd"/>
            <w:r>
              <w:rPr>
                <w:rFonts w:asciiTheme="minorEastAsia" w:hAnsiTheme="minorEastAsia" w:hint="eastAsia"/>
              </w:rPr>
              <w:t>，其中湿法主流技术路线为重</w:t>
            </w:r>
            <w:proofErr w:type="gramStart"/>
            <w:r>
              <w:rPr>
                <w:rFonts w:asciiTheme="minorEastAsia" w:hAnsiTheme="minorEastAsia" w:hint="eastAsia"/>
              </w:rPr>
              <w:t>介</w:t>
            </w:r>
            <w:proofErr w:type="gramEnd"/>
            <w:r>
              <w:rPr>
                <w:rFonts w:asciiTheme="minorEastAsia" w:hAnsiTheme="minorEastAsia" w:hint="eastAsia"/>
              </w:rPr>
              <w:t>分选。在干法选煤出现之前，湿法选煤是最常用分选方式，干法分选作为一种新技术，下游客户对于新技术</w:t>
            </w:r>
            <w:r w:rsidR="00BF75C4">
              <w:rPr>
                <w:rFonts w:asciiTheme="minorEastAsia" w:hAnsiTheme="minorEastAsia" w:hint="eastAsia"/>
              </w:rPr>
              <w:t>的接受通常</w:t>
            </w:r>
            <w:r>
              <w:rPr>
                <w:rFonts w:asciiTheme="minorEastAsia" w:hAnsiTheme="minorEastAsia" w:hint="eastAsia"/>
              </w:rPr>
              <w:t>需要</w:t>
            </w:r>
            <w:r w:rsidR="00BF75C4">
              <w:rPr>
                <w:rFonts w:asciiTheme="minorEastAsia" w:hAnsiTheme="minorEastAsia" w:hint="eastAsia"/>
              </w:rPr>
              <w:t>大量的</w:t>
            </w:r>
            <w:r>
              <w:rPr>
                <w:rFonts w:asciiTheme="minorEastAsia" w:hAnsiTheme="minorEastAsia" w:hint="eastAsia"/>
              </w:rPr>
              <w:t>应用案例</w:t>
            </w:r>
            <w:r w:rsidR="00BF75C4">
              <w:rPr>
                <w:rFonts w:asciiTheme="minorEastAsia" w:hAnsiTheme="minorEastAsia" w:hint="eastAsia"/>
              </w:rPr>
              <w:t>以及足够的</w:t>
            </w:r>
            <w:r>
              <w:rPr>
                <w:rFonts w:asciiTheme="minorEastAsia" w:hAnsiTheme="minorEastAsia" w:hint="eastAsia"/>
              </w:rPr>
              <w:t>时间。此外，</w:t>
            </w:r>
            <w:r>
              <w:rPr>
                <w:rFonts w:ascii="Times New Roman" w:eastAsia="宋体" w:hAnsi="Times New Roman" w:hint="eastAsia"/>
                <w:lang w:val="en"/>
              </w:rPr>
              <w:t>煤炭分选装备的使用</w:t>
            </w:r>
            <w:r>
              <w:rPr>
                <w:rFonts w:ascii="Times New Roman" w:eastAsia="宋体" w:hAnsi="Times New Roman" w:hint="eastAsia"/>
              </w:rPr>
              <w:t>整体</w:t>
            </w:r>
            <w:r>
              <w:rPr>
                <w:rFonts w:ascii="Times New Roman" w:eastAsia="宋体" w:hAnsi="Times New Roman" w:hint="eastAsia"/>
                <w:lang w:val="en"/>
              </w:rPr>
              <w:t>寿命一般在</w:t>
            </w:r>
            <w:r>
              <w:rPr>
                <w:rFonts w:ascii="Times New Roman" w:eastAsia="宋体" w:hAnsi="Times New Roman" w:hint="eastAsia"/>
                <w:lang w:val="en"/>
              </w:rPr>
              <w:t>10-15</w:t>
            </w:r>
            <w:r>
              <w:rPr>
                <w:rFonts w:ascii="Times New Roman" w:eastAsia="宋体" w:hAnsi="Times New Roman" w:hint="eastAsia"/>
                <w:lang w:val="en"/>
              </w:rPr>
              <w:t>年左右，下游客户针对存量湿法分选设备的更新替换，受原有设备</w:t>
            </w:r>
            <w:r>
              <w:rPr>
                <w:rFonts w:ascii="Times New Roman" w:eastAsia="宋体" w:hAnsi="Times New Roman" w:hint="eastAsia"/>
              </w:rPr>
              <w:t>生命周期</w:t>
            </w:r>
            <w:r>
              <w:rPr>
                <w:rFonts w:ascii="Times New Roman" w:eastAsia="宋体" w:hAnsi="Times New Roman" w:hint="eastAsia"/>
                <w:lang w:val="en"/>
              </w:rPr>
              <w:t>的限制，替换过程存在逐步替换的情况。</w:t>
            </w:r>
          </w:p>
          <w:p w14:paraId="40F4E0EE" w14:textId="77777777" w:rsidR="008A3D90" w:rsidRDefault="00000000">
            <w:pPr>
              <w:spacing w:line="360" w:lineRule="auto"/>
              <w:ind w:firstLineChars="200" w:firstLine="420"/>
              <w:rPr>
                <w:rFonts w:asciiTheme="minorEastAsia" w:hAnsiTheme="minorEastAsia" w:hint="eastAsia"/>
              </w:rPr>
            </w:pPr>
            <w:r>
              <w:rPr>
                <w:rFonts w:asciiTheme="minorEastAsia" w:hAnsiTheme="minorEastAsia" w:hint="eastAsia"/>
              </w:rPr>
              <w:t>随着干法分选技术在国内进行成熟工业应用，其更具经济环保和成本投入低等优势，干法选煤也已经成为并且将长期作为重要的选煤方式，且随着国家相关煤炭高效清洁利用政策的相继出台，干法选煤技术未来的整体情况趋于乐观。</w:t>
            </w:r>
          </w:p>
          <w:p w14:paraId="0D65EBF2" w14:textId="77777777" w:rsidR="008A3D90" w:rsidRDefault="00000000">
            <w:pPr>
              <w:spacing w:line="360" w:lineRule="auto"/>
              <w:rPr>
                <w:rFonts w:asciiTheme="minorEastAsia" w:hAnsiTheme="minorEastAsia" w:hint="eastAsia"/>
                <w:b/>
                <w:bCs/>
              </w:rPr>
            </w:pPr>
            <w:r>
              <w:rPr>
                <w:rFonts w:asciiTheme="minorEastAsia" w:hAnsiTheme="minorEastAsia" w:hint="eastAsia"/>
                <w:b/>
                <w:bCs/>
              </w:rPr>
              <w:t>Q3：如何看待公司毛利率下降？</w:t>
            </w:r>
          </w:p>
          <w:p w14:paraId="1A196275" w14:textId="77777777" w:rsidR="008A3D90" w:rsidRDefault="00000000">
            <w:pPr>
              <w:spacing w:line="360" w:lineRule="auto"/>
              <w:rPr>
                <w:rFonts w:asciiTheme="minorEastAsia" w:hAnsiTheme="minorEastAsia" w:hint="eastAsia"/>
              </w:rPr>
            </w:pPr>
            <w:r>
              <w:rPr>
                <w:rFonts w:asciiTheme="minorEastAsia" w:hAnsiTheme="minorEastAsia" w:hint="eastAsia"/>
              </w:rPr>
              <w:t>A3：2024年1-6月，公司综合毛利率为36.72%，公司按《企业会计准则应用指南汇编2024》规定，将报告期内计提保证类质保费用追溯调整，关于保证类质保费用计入主营业务成本，扣除该调整对毛利率的影响，上半年综合毛利率为40.43%，相较以往呈下降趋势，但仍处于较高水平且基本趋于平稳。</w:t>
            </w:r>
          </w:p>
          <w:p w14:paraId="5AE2D72D" w14:textId="74C35809" w:rsidR="008A3D90" w:rsidRDefault="00000000">
            <w:pPr>
              <w:spacing w:line="360" w:lineRule="auto"/>
              <w:ind w:firstLineChars="200" w:firstLine="420"/>
              <w:rPr>
                <w:rFonts w:asciiTheme="minorEastAsia" w:hAnsiTheme="minorEastAsia" w:hint="eastAsia"/>
              </w:rPr>
            </w:pPr>
            <w:r>
              <w:rPr>
                <w:rFonts w:asciiTheme="minorEastAsia" w:hAnsiTheme="minorEastAsia" w:hint="eastAsia"/>
              </w:rPr>
              <w:t>从新产品发展规律看，高毛利势必吸引竞争对手通过低价、加大市场营销等方式参与竞争，在市场竞争不断加剧的形势下，公司积极应对，通过不断推出有竞争力的新产品，丰富产品矩阵，为客户提供全面的解决方案；同时加强成本管控，严格控制产品成本与费用，降本增效，提升营运水平，保证公司在毛利率水平降低的同时能够有较高的盈利能力；除此之外，公司</w:t>
            </w:r>
            <w:r w:rsidR="009B7DB1">
              <w:rPr>
                <w:rFonts w:asciiTheme="minorEastAsia" w:hAnsiTheme="minorEastAsia" w:hint="eastAsia"/>
              </w:rPr>
              <w:t>将</w:t>
            </w:r>
            <w:r>
              <w:rPr>
                <w:rFonts w:asciiTheme="minorEastAsia" w:hAnsiTheme="minorEastAsia" w:hint="eastAsia"/>
              </w:rPr>
              <w:t>通过应用场景的拓展</w:t>
            </w:r>
            <w:r w:rsidR="009B7DB1">
              <w:rPr>
                <w:rFonts w:asciiTheme="minorEastAsia" w:hAnsiTheme="minorEastAsia" w:hint="eastAsia"/>
              </w:rPr>
              <w:t>、</w:t>
            </w:r>
            <w:r>
              <w:rPr>
                <w:rFonts w:asciiTheme="minorEastAsia" w:hAnsiTheme="minorEastAsia" w:hint="eastAsia"/>
              </w:rPr>
              <w:t>大型能源集团的合作</w:t>
            </w:r>
            <w:r w:rsidR="009B7DB1">
              <w:rPr>
                <w:rFonts w:asciiTheme="minorEastAsia" w:hAnsiTheme="minorEastAsia" w:hint="eastAsia"/>
              </w:rPr>
              <w:t>、</w:t>
            </w:r>
            <w:r>
              <w:rPr>
                <w:rFonts w:asciiTheme="minorEastAsia" w:hAnsiTheme="minorEastAsia" w:hint="eastAsia"/>
              </w:rPr>
              <w:t>海外市场的拓展</w:t>
            </w:r>
            <w:r w:rsidR="009B7DB1">
              <w:rPr>
                <w:rFonts w:asciiTheme="minorEastAsia" w:hAnsiTheme="minorEastAsia" w:hint="eastAsia"/>
              </w:rPr>
              <w:t>、</w:t>
            </w:r>
            <w:r>
              <w:rPr>
                <w:rFonts w:asciiTheme="minorEastAsia" w:hAnsiTheme="minorEastAsia" w:hint="eastAsia"/>
              </w:rPr>
              <w:t>新业务模式开展</w:t>
            </w:r>
            <w:r w:rsidR="009B7DB1">
              <w:rPr>
                <w:rFonts w:asciiTheme="minorEastAsia" w:hAnsiTheme="minorEastAsia" w:hint="eastAsia"/>
              </w:rPr>
              <w:t>等多个方面的开拓</w:t>
            </w:r>
            <w:r>
              <w:rPr>
                <w:rFonts w:asciiTheme="minorEastAsia" w:hAnsiTheme="minorEastAsia" w:hint="eastAsia"/>
              </w:rPr>
              <w:t>，实现规模突破。毛利率的下降不会对公司未来的经营产生重大不利影响。</w:t>
            </w:r>
          </w:p>
          <w:p w14:paraId="4B65CDC9" w14:textId="77777777" w:rsidR="008A3D90" w:rsidRDefault="00000000">
            <w:pPr>
              <w:spacing w:line="360" w:lineRule="auto"/>
              <w:rPr>
                <w:rFonts w:asciiTheme="minorEastAsia" w:hAnsiTheme="minorEastAsia" w:hint="eastAsia"/>
                <w:b/>
                <w:bCs/>
              </w:rPr>
            </w:pPr>
            <w:r>
              <w:rPr>
                <w:rFonts w:asciiTheme="minorEastAsia" w:hAnsiTheme="minorEastAsia" w:hint="eastAsia"/>
                <w:b/>
                <w:bCs/>
              </w:rPr>
              <w:t>Q4：公司的销售模式是直销还是经销？</w:t>
            </w:r>
          </w:p>
          <w:p w14:paraId="1B947C34" w14:textId="5C4D7B38" w:rsidR="008A3D90" w:rsidRDefault="00000000">
            <w:pPr>
              <w:spacing w:line="360" w:lineRule="auto"/>
              <w:rPr>
                <w:rFonts w:asciiTheme="minorEastAsia" w:hAnsiTheme="minorEastAsia" w:hint="eastAsia"/>
              </w:rPr>
            </w:pPr>
            <w:r>
              <w:rPr>
                <w:rFonts w:asciiTheme="minorEastAsia" w:hAnsiTheme="minorEastAsia" w:hint="eastAsia"/>
              </w:rPr>
              <w:t>A4：公司采取直销方式为主，经销方式为辅的销售模式。其中，公司备件及少量仪器采用经销模式，其余设备和系统均采用直销模式。</w:t>
            </w:r>
          </w:p>
          <w:p w14:paraId="2A6D84C0" w14:textId="77777777" w:rsidR="008A3D90" w:rsidRDefault="00000000">
            <w:pPr>
              <w:spacing w:line="360" w:lineRule="auto"/>
              <w:rPr>
                <w:rFonts w:asciiTheme="minorEastAsia" w:hAnsiTheme="minorEastAsia" w:hint="eastAsia"/>
                <w:b/>
                <w:bCs/>
              </w:rPr>
            </w:pPr>
            <w:r>
              <w:rPr>
                <w:rFonts w:asciiTheme="minorEastAsia" w:hAnsiTheme="minorEastAsia" w:hint="eastAsia"/>
                <w:b/>
                <w:bCs/>
              </w:rPr>
              <w:t>Q5：公司与山东能源集团的合作情况？</w:t>
            </w:r>
          </w:p>
          <w:p w14:paraId="3A88E03B" w14:textId="051544D0" w:rsidR="008A3D90" w:rsidRDefault="00000000" w:rsidP="000B0177">
            <w:pPr>
              <w:spacing w:line="360" w:lineRule="auto"/>
              <w:rPr>
                <w:rFonts w:asciiTheme="minorEastAsia" w:hAnsiTheme="minorEastAsia" w:hint="eastAsia"/>
              </w:rPr>
            </w:pPr>
            <w:r>
              <w:rPr>
                <w:rFonts w:asciiTheme="minorEastAsia" w:hAnsiTheme="minorEastAsia" w:hint="eastAsia"/>
              </w:rPr>
              <w:t>A5：公司一直以来积极推进与大型能源集团的合作，2024年1月，公司与山东</w:t>
            </w:r>
            <w:r>
              <w:rPr>
                <w:rFonts w:asciiTheme="minorEastAsia" w:hAnsiTheme="minorEastAsia" w:hint="eastAsia"/>
              </w:rPr>
              <w:lastRenderedPageBreak/>
              <w:t>能源集团控股子公司山东能源集团装备制造（集团）有限公司成立</w:t>
            </w:r>
            <w:r w:rsidR="009B7DB1" w:rsidRPr="009B7DB1">
              <w:rPr>
                <w:rFonts w:asciiTheme="minorEastAsia" w:hAnsiTheme="minorEastAsia" w:hint="eastAsia"/>
              </w:rPr>
              <w:t>山东莱芜煤机智</w:t>
            </w:r>
            <w:proofErr w:type="gramStart"/>
            <w:r w:rsidR="009B7DB1" w:rsidRPr="009B7DB1">
              <w:rPr>
                <w:rFonts w:asciiTheme="minorEastAsia" w:hAnsiTheme="minorEastAsia" w:hint="eastAsia"/>
              </w:rPr>
              <w:t>能科技</w:t>
            </w:r>
            <w:proofErr w:type="gramEnd"/>
            <w:r w:rsidR="009B7DB1" w:rsidRPr="009B7DB1">
              <w:rPr>
                <w:rFonts w:asciiTheme="minorEastAsia" w:hAnsiTheme="minorEastAsia" w:hint="eastAsia"/>
              </w:rPr>
              <w:t>有限公司</w:t>
            </w:r>
            <w:r>
              <w:rPr>
                <w:rFonts w:asciiTheme="minorEastAsia" w:hAnsiTheme="minorEastAsia" w:hint="eastAsia"/>
              </w:rPr>
              <w:t>（</w:t>
            </w:r>
            <w:r w:rsidR="009B7DB1">
              <w:rPr>
                <w:rFonts w:asciiTheme="minorEastAsia" w:hAnsiTheme="minorEastAsia" w:hint="eastAsia"/>
              </w:rPr>
              <w:t>以下简称</w:t>
            </w:r>
            <w:r>
              <w:rPr>
                <w:rFonts w:asciiTheme="minorEastAsia" w:hAnsiTheme="minorEastAsia" w:hint="eastAsia"/>
              </w:rPr>
              <w:t>“莱煤智能”），由</w:t>
            </w:r>
            <w:proofErr w:type="gramStart"/>
            <w:r>
              <w:rPr>
                <w:rFonts w:asciiTheme="minorEastAsia" w:hAnsiTheme="minorEastAsia" w:hint="eastAsia"/>
              </w:rPr>
              <w:t>美腾科技</w:t>
            </w:r>
            <w:proofErr w:type="gramEnd"/>
            <w:r>
              <w:rPr>
                <w:rFonts w:asciiTheme="minorEastAsia" w:hAnsiTheme="minorEastAsia" w:hint="eastAsia"/>
              </w:rPr>
              <w:t>控股，</w:t>
            </w:r>
            <w:proofErr w:type="gramStart"/>
            <w:r w:rsidR="006423F0">
              <w:rPr>
                <w:rFonts w:asciiTheme="minorEastAsia" w:hAnsiTheme="minorEastAsia" w:hint="eastAsia"/>
              </w:rPr>
              <w:t>莱</w:t>
            </w:r>
            <w:proofErr w:type="gramEnd"/>
            <w:r w:rsidR="006423F0">
              <w:rPr>
                <w:rFonts w:asciiTheme="minorEastAsia" w:hAnsiTheme="minorEastAsia" w:hint="eastAsia"/>
              </w:rPr>
              <w:t>煤智能</w:t>
            </w:r>
            <w:r>
              <w:rPr>
                <w:rFonts w:asciiTheme="minorEastAsia" w:hAnsiTheme="minorEastAsia" w:hint="eastAsia"/>
              </w:rPr>
              <w:t>承接原山东能源装备集团莱芜装备制造有限公司的业务，具备强大的加工制造能力。在公司的产品布局上，公司研发的筛分系统和</w:t>
            </w:r>
            <w:proofErr w:type="gramStart"/>
            <w:r>
              <w:rPr>
                <w:rFonts w:asciiTheme="minorEastAsia" w:hAnsiTheme="minorEastAsia" w:hint="eastAsia"/>
              </w:rPr>
              <w:t>莱</w:t>
            </w:r>
            <w:proofErr w:type="gramEnd"/>
            <w:r>
              <w:rPr>
                <w:rFonts w:asciiTheme="minorEastAsia" w:hAnsiTheme="minorEastAsia" w:hint="eastAsia"/>
              </w:rPr>
              <w:t>煤智能破碎系统进行整合优化升级，形成筛分破碎产品线；公司的智能化系统配合</w:t>
            </w:r>
            <w:proofErr w:type="gramStart"/>
            <w:r>
              <w:rPr>
                <w:rFonts w:asciiTheme="minorEastAsia" w:hAnsiTheme="minorEastAsia" w:hint="eastAsia"/>
              </w:rPr>
              <w:t>莱</w:t>
            </w:r>
            <w:proofErr w:type="gramEnd"/>
            <w:r>
              <w:rPr>
                <w:rFonts w:asciiTheme="minorEastAsia" w:hAnsiTheme="minorEastAsia" w:hint="eastAsia"/>
              </w:rPr>
              <w:t>煤智能原有的加压过滤系统，形成了智能加压过滤脱水产品线；故此，在产品端，</w:t>
            </w:r>
            <w:proofErr w:type="gramStart"/>
            <w:r>
              <w:rPr>
                <w:rFonts w:asciiTheme="minorEastAsia" w:hAnsiTheme="minorEastAsia" w:hint="eastAsia"/>
              </w:rPr>
              <w:t>莱</w:t>
            </w:r>
            <w:proofErr w:type="gramEnd"/>
            <w:r>
              <w:rPr>
                <w:rFonts w:asciiTheme="minorEastAsia" w:hAnsiTheme="minorEastAsia" w:hint="eastAsia"/>
              </w:rPr>
              <w:t>煤智能打造了一个从破碎筛分到加压脱水新的业务产线，公司在湿法选煤领域又打造了一个新的业务增长点。除此之外，为充分利用</w:t>
            </w:r>
            <w:proofErr w:type="gramStart"/>
            <w:r>
              <w:rPr>
                <w:rFonts w:asciiTheme="minorEastAsia" w:hAnsiTheme="minorEastAsia" w:hint="eastAsia"/>
              </w:rPr>
              <w:t>莱</w:t>
            </w:r>
            <w:proofErr w:type="gramEnd"/>
            <w:r>
              <w:rPr>
                <w:rFonts w:asciiTheme="minorEastAsia" w:hAnsiTheme="minorEastAsia" w:hint="eastAsia"/>
              </w:rPr>
              <w:t>煤智能的加工制造能力，降低产品成本，</w:t>
            </w:r>
            <w:proofErr w:type="gramStart"/>
            <w:r>
              <w:rPr>
                <w:rFonts w:asciiTheme="minorEastAsia" w:hAnsiTheme="minorEastAsia" w:hint="eastAsia"/>
              </w:rPr>
              <w:t>美腾科技</w:t>
            </w:r>
            <w:proofErr w:type="gramEnd"/>
            <w:r>
              <w:rPr>
                <w:rFonts w:asciiTheme="minorEastAsia" w:hAnsiTheme="minorEastAsia" w:hint="eastAsia"/>
              </w:rPr>
              <w:t>原有</w:t>
            </w:r>
            <w:r w:rsidR="006423F0">
              <w:rPr>
                <w:rFonts w:asciiTheme="minorEastAsia" w:hAnsiTheme="minorEastAsia" w:hint="eastAsia"/>
              </w:rPr>
              <w:t>部分</w:t>
            </w:r>
            <w:r>
              <w:rPr>
                <w:rFonts w:asciiTheme="minorEastAsia" w:hAnsiTheme="minorEastAsia" w:hint="eastAsia"/>
              </w:rPr>
              <w:t>委托加工制造的外</w:t>
            </w:r>
            <w:proofErr w:type="gramStart"/>
            <w:r>
              <w:rPr>
                <w:rFonts w:asciiTheme="minorEastAsia" w:hAnsiTheme="minorEastAsia" w:hint="eastAsia"/>
              </w:rPr>
              <w:t>委业务</w:t>
            </w:r>
            <w:proofErr w:type="gramEnd"/>
            <w:r>
              <w:rPr>
                <w:rFonts w:asciiTheme="minorEastAsia" w:hAnsiTheme="minorEastAsia" w:hint="eastAsia"/>
              </w:rPr>
              <w:t>将由</w:t>
            </w:r>
            <w:proofErr w:type="gramStart"/>
            <w:r>
              <w:rPr>
                <w:rFonts w:asciiTheme="minorEastAsia" w:hAnsiTheme="minorEastAsia" w:hint="eastAsia"/>
              </w:rPr>
              <w:t>莱</w:t>
            </w:r>
            <w:proofErr w:type="gramEnd"/>
            <w:r>
              <w:rPr>
                <w:rFonts w:asciiTheme="minorEastAsia" w:hAnsiTheme="minorEastAsia" w:hint="eastAsia"/>
              </w:rPr>
              <w:t>煤智能承接，装备制造能力明显提升，并实现产品利润的最大化。上半年，</w:t>
            </w:r>
            <w:proofErr w:type="gramStart"/>
            <w:r>
              <w:rPr>
                <w:rFonts w:asciiTheme="minorEastAsia" w:hAnsiTheme="minorEastAsia" w:hint="eastAsia"/>
              </w:rPr>
              <w:t>莱</w:t>
            </w:r>
            <w:proofErr w:type="gramEnd"/>
            <w:r>
              <w:rPr>
                <w:rFonts w:asciiTheme="minorEastAsia" w:hAnsiTheme="minorEastAsia" w:hint="eastAsia"/>
              </w:rPr>
              <w:t>煤智能合计取得订单1.16亿元（含已中标尚未签订合同的项目），在起步阶段取得较好的成绩。</w:t>
            </w:r>
          </w:p>
          <w:p w14:paraId="300EFEC4" w14:textId="77777777" w:rsidR="008A3D90" w:rsidRDefault="00000000">
            <w:pPr>
              <w:spacing w:line="360" w:lineRule="auto"/>
              <w:rPr>
                <w:rFonts w:asciiTheme="minorEastAsia" w:hAnsiTheme="minorEastAsia" w:hint="eastAsia"/>
                <w:b/>
                <w:bCs/>
              </w:rPr>
            </w:pPr>
            <w:r>
              <w:rPr>
                <w:rFonts w:asciiTheme="minorEastAsia" w:hAnsiTheme="minorEastAsia" w:hint="eastAsia"/>
                <w:b/>
                <w:bCs/>
              </w:rPr>
              <w:t>Q6：公司产品的交付周期是多久？</w:t>
            </w:r>
          </w:p>
          <w:p w14:paraId="4A507C0B" w14:textId="29B7D169" w:rsidR="008A3D90" w:rsidRDefault="00000000">
            <w:pPr>
              <w:spacing w:line="360" w:lineRule="auto"/>
              <w:rPr>
                <w:rFonts w:asciiTheme="minorEastAsia" w:hAnsiTheme="minorEastAsia" w:hint="eastAsia"/>
              </w:rPr>
            </w:pPr>
            <w:r>
              <w:rPr>
                <w:rFonts w:asciiTheme="minorEastAsia" w:hAnsiTheme="minorEastAsia" w:hint="eastAsia"/>
              </w:rPr>
              <w:t>A6：公司主要产品具有一定的非标准化及定制化特点，从签订合同到交付验收通常需要6-12个月，个别安装调试复杂的TDS产品、大型智能化项目甚至需要1-2年。后续在</w:t>
            </w:r>
            <w:proofErr w:type="gramStart"/>
            <w:r>
              <w:rPr>
                <w:rFonts w:asciiTheme="minorEastAsia" w:hAnsiTheme="minorEastAsia" w:hint="eastAsia"/>
              </w:rPr>
              <w:t>智能干选机</w:t>
            </w:r>
            <w:proofErr w:type="gramEnd"/>
            <w:r>
              <w:rPr>
                <w:rFonts w:asciiTheme="minorEastAsia" w:hAnsiTheme="minorEastAsia" w:hint="eastAsia"/>
              </w:rPr>
              <w:t>方面，公司通过模块化设计生产，优化交付流程，提高效率。</w:t>
            </w:r>
          </w:p>
          <w:p w14:paraId="0CB39FD8" w14:textId="77777777" w:rsidR="008A3D90" w:rsidRDefault="00000000">
            <w:pPr>
              <w:spacing w:line="360" w:lineRule="auto"/>
              <w:rPr>
                <w:rFonts w:asciiTheme="minorEastAsia" w:hAnsiTheme="minorEastAsia" w:hint="eastAsia"/>
                <w:b/>
                <w:bCs/>
              </w:rPr>
            </w:pPr>
            <w:r>
              <w:rPr>
                <w:rFonts w:asciiTheme="minorEastAsia" w:hAnsiTheme="minorEastAsia" w:hint="eastAsia"/>
                <w:b/>
                <w:bCs/>
              </w:rPr>
              <w:t>Q7：未来，公司在煤炭、矿业、再生资源三大业务线的潜能如何？</w:t>
            </w:r>
          </w:p>
          <w:p w14:paraId="6207DFE2" w14:textId="1BFD96A3" w:rsidR="008A3D90" w:rsidRDefault="00000000">
            <w:pPr>
              <w:widowControl/>
              <w:spacing w:afterLines="50" w:after="156" w:line="360" w:lineRule="auto"/>
              <w:rPr>
                <w:rFonts w:ascii="Times New Roman" w:eastAsia="宋体" w:hAnsi="Times New Roman"/>
                <w:szCs w:val="21"/>
              </w:rPr>
            </w:pPr>
            <w:r>
              <w:rPr>
                <w:rFonts w:asciiTheme="minorEastAsia" w:hAnsiTheme="minorEastAsia" w:hint="eastAsia"/>
              </w:rPr>
              <w:t>A7：未来，</w:t>
            </w:r>
            <w:r>
              <w:rPr>
                <w:rFonts w:ascii="Times New Roman" w:eastAsia="宋体" w:hAnsi="Times New Roman" w:hint="eastAsia"/>
                <w:szCs w:val="21"/>
              </w:rPr>
              <w:t>公司将继续秉承“精耕煤炭、进入矿业、打通工业”的发展战略，持续扩大公司在行业内的品牌影响力，</w:t>
            </w:r>
            <w:proofErr w:type="gramStart"/>
            <w:r>
              <w:rPr>
                <w:rFonts w:ascii="Times New Roman" w:eastAsia="宋体" w:hAnsi="Times New Roman" w:hint="eastAsia"/>
                <w:szCs w:val="21"/>
              </w:rPr>
              <w:t>干选设备</w:t>
            </w:r>
            <w:proofErr w:type="gramEnd"/>
            <w:r>
              <w:rPr>
                <w:rFonts w:ascii="Times New Roman" w:eastAsia="宋体" w:hAnsi="Times New Roman" w:hint="eastAsia"/>
                <w:szCs w:val="21"/>
              </w:rPr>
              <w:t>保持煤炭市场</w:t>
            </w:r>
            <w:r w:rsidR="006423F0">
              <w:rPr>
                <w:rFonts w:ascii="Times New Roman" w:eastAsia="宋体" w:hAnsi="Times New Roman" w:hint="eastAsia"/>
                <w:szCs w:val="21"/>
              </w:rPr>
              <w:t>的领先地位</w:t>
            </w:r>
            <w:r>
              <w:rPr>
                <w:rFonts w:ascii="Times New Roman" w:eastAsia="宋体" w:hAnsi="Times New Roman" w:hint="eastAsia"/>
                <w:szCs w:val="21"/>
              </w:rPr>
              <w:t>，进一步拓展非煤矿业分选市场；同时延伸应用领域，包括煤矸石综合利用、其他矿物分选、再生资源回收利用等，拓展产品应用场景，整体市场空间广阔。</w:t>
            </w:r>
          </w:p>
          <w:p w14:paraId="6324C6B4" w14:textId="77777777" w:rsidR="008A3D90" w:rsidRDefault="00000000">
            <w:pPr>
              <w:widowControl/>
              <w:spacing w:afterLines="50" w:after="156" w:line="360" w:lineRule="auto"/>
              <w:rPr>
                <w:rFonts w:ascii="Times New Roman" w:eastAsia="宋体" w:hAnsi="Times New Roman"/>
                <w:b/>
                <w:bCs/>
                <w:szCs w:val="21"/>
              </w:rPr>
            </w:pPr>
            <w:r>
              <w:rPr>
                <w:rFonts w:ascii="Times New Roman" w:eastAsia="宋体" w:hAnsi="Times New Roman" w:hint="eastAsia"/>
                <w:b/>
                <w:bCs/>
                <w:szCs w:val="21"/>
              </w:rPr>
              <w:t>Q8:</w:t>
            </w:r>
            <w:r>
              <w:rPr>
                <w:rFonts w:ascii="Times New Roman" w:eastAsia="宋体" w:hAnsi="Times New Roman" w:hint="eastAsia"/>
                <w:b/>
                <w:bCs/>
                <w:szCs w:val="21"/>
              </w:rPr>
              <w:t>相较竞争对手，公司的主要竞争优势何在？</w:t>
            </w:r>
          </w:p>
          <w:p w14:paraId="14E7CCEC" w14:textId="32C739E1" w:rsidR="008A3D90" w:rsidRDefault="00000000">
            <w:pPr>
              <w:spacing w:line="360" w:lineRule="auto"/>
              <w:rPr>
                <w:rFonts w:asciiTheme="minorEastAsia" w:hAnsiTheme="minorEastAsia" w:hint="eastAsia"/>
              </w:rPr>
            </w:pPr>
            <w:r>
              <w:rPr>
                <w:rFonts w:asciiTheme="minorEastAsia" w:hAnsiTheme="minorEastAsia" w:hint="eastAsia"/>
              </w:rPr>
              <w:t>A8：公司目前主要客户为国内的大中型煤炭及矿业生产企业或选矿厂等，公司面向客户提供软硬件结合的智能装备及系统仪器，具有一定的非标准化及定制化特点。与标准化产品相比，定制化产品要求供应</w:t>
            </w:r>
            <w:proofErr w:type="gramStart"/>
            <w:r>
              <w:rPr>
                <w:rFonts w:asciiTheme="minorEastAsia" w:hAnsiTheme="minorEastAsia" w:hint="eastAsia"/>
              </w:rPr>
              <w:t>商更加</w:t>
            </w:r>
            <w:proofErr w:type="gramEnd"/>
            <w:r>
              <w:rPr>
                <w:rFonts w:asciiTheme="minorEastAsia" w:hAnsiTheme="minorEastAsia" w:hint="eastAsia"/>
              </w:rPr>
              <w:t>深入理解客户的业务需求，更加贴近客户的业务流程，对企业的服务能力提出了较高的要求。公司注重持续自主研发创新，成立至今，研发投入累计超过3亿元，在智能装备业务及智能系统与仪器业务形成多项核心技术，有丰富的技术储备；公司深耕智</w:t>
            </w:r>
            <w:r>
              <w:rPr>
                <w:rFonts w:asciiTheme="minorEastAsia" w:hAnsiTheme="minorEastAsia" w:hint="eastAsia"/>
              </w:rPr>
              <w:lastRenderedPageBreak/>
              <w:t>能装备和智能系统业务多年，对煤炭及矿业等下游行业有深刻的理解和大量优质客户的积累，优秀的产品研发设计能力和对客户需求的把握及服务能力是公司主要竞争优势。同时，富有经验的管理团队和稳定的核心技术人员，为公司后续稳定发展奠定了坚实的基础。</w:t>
            </w:r>
          </w:p>
          <w:p w14:paraId="1BAD31EF" w14:textId="77777777" w:rsidR="008A3D90" w:rsidRDefault="00000000">
            <w:pPr>
              <w:spacing w:line="360" w:lineRule="auto"/>
              <w:rPr>
                <w:rFonts w:asciiTheme="minorEastAsia" w:hAnsiTheme="minorEastAsia" w:hint="eastAsia"/>
                <w:b/>
                <w:bCs/>
              </w:rPr>
            </w:pPr>
            <w:r>
              <w:rPr>
                <w:rFonts w:asciiTheme="minorEastAsia" w:hAnsiTheme="minorEastAsia" w:hint="eastAsia"/>
                <w:b/>
                <w:bCs/>
              </w:rPr>
              <w:t>Q9：公司有无并购计划？</w:t>
            </w:r>
          </w:p>
          <w:p w14:paraId="5E615A24" w14:textId="5BB3345D" w:rsidR="008A3D90" w:rsidRDefault="00000000">
            <w:pPr>
              <w:spacing w:line="360" w:lineRule="auto"/>
              <w:rPr>
                <w:rFonts w:asciiTheme="minorEastAsia" w:hAnsiTheme="minorEastAsia" w:hint="eastAsia"/>
              </w:rPr>
            </w:pPr>
            <w:r>
              <w:rPr>
                <w:rFonts w:asciiTheme="minorEastAsia" w:hAnsiTheme="minorEastAsia" w:hint="eastAsia"/>
              </w:rPr>
              <w:t>A9：公司积极地在寻找产业链上能与公司在技术、产品或市场上优势互补的优质标的，未来将结合行业现状和公司发展战略、业务或技术</w:t>
            </w:r>
            <w:proofErr w:type="gramStart"/>
            <w:r>
              <w:rPr>
                <w:rFonts w:asciiTheme="minorEastAsia" w:hAnsiTheme="minorEastAsia" w:hint="eastAsia"/>
              </w:rPr>
              <w:t>锲</w:t>
            </w:r>
            <w:proofErr w:type="gramEnd"/>
            <w:r>
              <w:rPr>
                <w:rFonts w:asciiTheme="minorEastAsia" w:hAnsiTheme="minorEastAsia" w:hint="eastAsia"/>
              </w:rPr>
              <w:t>合度等因素综合考虑开展投资或并购计划。</w:t>
            </w:r>
          </w:p>
        </w:tc>
      </w:tr>
      <w:tr w:rsidR="008A3D90" w14:paraId="6BC0EF1A" w14:textId="77777777">
        <w:trPr>
          <w:trHeight w:val="450"/>
        </w:trPr>
        <w:tc>
          <w:tcPr>
            <w:tcW w:w="1102" w:type="dxa"/>
            <w:vAlign w:val="center"/>
          </w:tcPr>
          <w:p w14:paraId="472B0A6E" w14:textId="77777777" w:rsidR="008A3D90" w:rsidRDefault="00000000">
            <w:pPr>
              <w:wordWrap w:val="0"/>
              <w:topLinePunct/>
              <w:jc w:val="center"/>
              <w:rPr>
                <w:rFonts w:ascii="宋体" w:eastAsia="宋体" w:hAnsi="宋体" w:cs="宋体" w:hint="eastAsia"/>
                <w:b/>
                <w:bCs/>
                <w:szCs w:val="21"/>
              </w:rPr>
            </w:pPr>
            <w:r>
              <w:rPr>
                <w:rFonts w:ascii="宋体" w:eastAsia="宋体" w:hAnsi="宋体" w:cs="宋体" w:hint="eastAsia"/>
                <w:b/>
                <w:bCs/>
                <w:szCs w:val="21"/>
              </w:rPr>
              <w:lastRenderedPageBreak/>
              <w:t>附件清单</w:t>
            </w:r>
          </w:p>
        </w:tc>
        <w:tc>
          <w:tcPr>
            <w:tcW w:w="7370" w:type="dxa"/>
            <w:vAlign w:val="center"/>
          </w:tcPr>
          <w:p w14:paraId="593BF207" w14:textId="77777777" w:rsidR="008A3D90" w:rsidRDefault="00000000">
            <w:pPr>
              <w:wordWrap w:val="0"/>
              <w:topLinePunct/>
              <w:rPr>
                <w:rFonts w:ascii="宋体" w:eastAsia="宋体" w:hAnsi="宋体" w:cs="宋体" w:hint="eastAsia"/>
                <w:szCs w:val="21"/>
              </w:rPr>
            </w:pPr>
            <w:r>
              <w:rPr>
                <w:rFonts w:ascii="宋体" w:eastAsia="宋体" w:hAnsi="宋体" w:cs="宋体" w:hint="eastAsia"/>
                <w:szCs w:val="21"/>
              </w:rPr>
              <w:t>无</w:t>
            </w:r>
          </w:p>
        </w:tc>
      </w:tr>
      <w:tr w:rsidR="008A3D90" w14:paraId="34BC50A6" w14:textId="77777777">
        <w:trPr>
          <w:trHeight w:val="555"/>
        </w:trPr>
        <w:tc>
          <w:tcPr>
            <w:tcW w:w="1102" w:type="dxa"/>
            <w:vAlign w:val="center"/>
          </w:tcPr>
          <w:p w14:paraId="63A19C3F" w14:textId="77777777" w:rsidR="008A3D90" w:rsidRDefault="00000000">
            <w:pPr>
              <w:wordWrap w:val="0"/>
              <w:topLinePunct/>
              <w:jc w:val="center"/>
              <w:rPr>
                <w:rFonts w:ascii="宋体" w:eastAsia="宋体" w:hAnsi="宋体" w:cs="宋体" w:hint="eastAsia"/>
                <w:b/>
                <w:bCs/>
                <w:szCs w:val="21"/>
              </w:rPr>
            </w:pPr>
            <w:r>
              <w:rPr>
                <w:rFonts w:ascii="宋体" w:eastAsia="宋体" w:hAnsi="宋体" w:cs="宋体" w:hint="eastAsia"/>
                <w:b/>
                <w:bCs/>
                <w:szCs w:val="21"/>
              </w:rPr>
              <w:t>日期</w:t>
            </w:r>
          </w:p>
        </w:tc>
        <w:tc>
          <w:tcPr>
            <w:tcW w:w="7370" w:type="dxa"/>
            <w:vAlign w:val="center"/>
          </w:tcPr>
          <w:p w14:paraId="49F41AFE" w14:textId="77777777" w:rsidR="008A3D90" w:rsidRDefault="00000000">
            <w:pPr>
              <w:wordWrap w:val="0"/>
              <w:topLinePunct/>
              <w:rPr>
                <w:rFonts w:ascii="宋体" w:eastAsia="宋体" w:hAnsi="宋体" w:cs="宋体" w:hint="eastAsia"/>
                <w:szCs w:val="21"/>
              </w:rPr>
            </w:pPr>
            <w:r>
              <w:rPr>
                <w:rFonts w:ascii="宋体" w:eastAsia="宋体" w:hAnsi="宋体" w:cs="宋体" w:hint="eastAsia"/>
                <w:szCs w:val="21"/>
              </w:rPr>
              <w:t>2024年10月17日</w:t>
            </w:r>
          </w:p>
        </w:tc>
      </w:tr>
      <w:tr w:rsidR="008A3D90" w14:paraId="551CC124" w14:textId="77777777" w:rsidTr="00EC08A7">
        <w:trPr>
          <w:trHeight w:val="1374"/>
        </w:trPr>
        <w:tc>
          <w:tcPr>
            <w:tcW w:w="1102" w:type="dxa"/>
            <w:vAlign w:val="center"/>
          </w:tcPr>
          <w:p w14:paraId="376EC9FF" w14:textId="77777777" w:rsidR="008A3D90" w:rsidRDefault="00000000">
            <w:pPr>
              <w:wordWrap w:val="0"/>
              <w:topLinePunct/>
              <w:jc w:val="center"/>
              <w:rPr>
                <w:rFonts w:ascii="宋体" w:eastAsia="宋体" w:hAnsi="宋体" w:cs="宋体" w:hint="eastAsia"/>
                <w:b/>
                <w:bCs/>
                <w:szCs w:val="21"/>
              </w:rPr>
            </w:pPr>
            <w:r>
              <w:rPr>
                <w:rFonts w:ascii="宋体" w:eastAsia="宋体" w:hAnsi="宋体" w:cs="宋体" w:hint="eastAsia"/>
                <w:b/>
                <w:bCs/>
                <w:szCs w:val="21"/>
              </w:rPr>
              <w:t>备注</w:t>
            </w:r>
          </w:p>
        </w:tc>
        <w:tc>
          <w:tcPr>
            <w:tcW w:w="7370" w:type="dxa"/>
            <w:vAlign w:val="center"/>
          </w:tcPr>
          <w:p w14:paraId="3047FF60" w14:textId="77777777" w:rsidR="008A3D90" w:rsidRDefault="00000000">
            <w:pPr>
              <w:wordWrap w:val="0"/>
              <w:topLinePunct/>
              <w:rPr>
                <w:rFonts w:ascii="宋体" w:eastAsia="宋体" w:hAnsi="宋体" w:cs="宋体" w:hint="eastAsia"/>
                <w:szCs w:val="21"/>
              </w:rPr>
            </w:pPr>
            <w:r>
              <w:rPr>
                <w:rFonts w:ascii="宋体" w:eastAsia="宋体" w:hAnsi="宋体" w:cs="宋体" w:hint="eastAsia"/>
                <w:szCs w:val="21"/>
              </w:rPr>
              <w:t>公司与投资者进行了充分的交流与沟通，并严格按照公司《信息披露管理制度》等规定，保证信息披露的真实、准确、完整、及时、公平，没有出现未公开重大信息披露等情况。</w:t>
            </w:r>
          </w:p>
        </w:tc>
      </w:tr>
    </w:tbl>
    <w:p w14:paraId="4B2A75EB" w14:textId="77777777" w:rsidR="008A3D90" w:rsidRDefault="008A3D90">
      <w:pPr>
        <w:rPr>
          <w:rFonts w:ascii="宋体" w:eastAsia="宋体" w:hAnsi="宋体" w:cs="宋体" w:hint="eastAsia"/>
          <w:sz w:val="24"/>
        </w:rPr>
      </w:pPr>
    </w:p>
    <w:sectPr w:rsidR="008A3D90">
      <w:headerReference w:type="default" r:id="rId7"/>
      <w:footerReference w:type="default" r:id="rId8"/>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B6F20" w14:textId="77777777" w:rsidR="006D7E5A" w:rsidRDefault="006D7E5A">
      <w:r>
        <w:separator/>
      </w:r>
    </w:p>
  </w:endnote>
  <w:endnote w:type="continuationSeparator" w:id="0">
    <w:p w14:paraId="2BD86E17" w14:textId="77777777" w:rsidR="006D7E5A" w:rsidRDefault="006D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1366E" w14:textId="77777777" w:rsidR="008A3D90" w:rsidRDefault="00000000">
    <w:pPr>
      <w:pStyle w:val="a7"/>
      <w:tabs>
        <w:tab w:val="clear" w:pos="4153"/>
        <w:tab w:val="clear" w:pos="8306"/>
        <w:tab w:val="center" w:pos="4156"/>
      </w:tabs>
    </w:pPr>
    <w:r>
      <w:rPr>
        <w:noProof/>
      </w:rPr>
      <mc:AlternateContent>
        <mc:Choice Requires="wps">
          <w:drawing>
            <wp:anchor distT="0" distB="0" distL="114300" distR="114300" simplePos="0" relativeHeight="251659264" behindDoc="0" locked="0" layoutInCell="1" allowOverlap="1" wp14:anchorId="2512B836" wp14:editId="5A31B87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36875777"/>
                          </w:sdtPr>
                          <w:sdtContent>
                            <w:p w14:paraId="407DDC88" w14:textId="77777777" w:rsidR="008A3D90" w:rsidRDefault="00000000">
                              <w:pPr>
                                <w:pStyle w:val="a7"/>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A3D90">
                                  <w:t>4</w:t>
                                </w:r>
                              </w:fldSimple>
                              <w:r>
                                <w:rPr>
                                  <w:rFonts w:hint="eastAsia"/>
                                </w:rPr>
                                <w:t xml:space="preserve"> </w:t>
                              </w:r>
                              <w:r>
                                <w:rPr>
                                  <w:rFonts w:hint="eastAsia"/>
                                </w:rPr>
                                <w:t>页</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136875777"/>
                    </w:sdtPr>
                    <w:sdtContent>
                      <w:p w14:paraId="3553D5D2">
                        <w:pPr>
                          <w:pStyle w:val="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sdtContent>
                  </w:sdt>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F2165" w14:textId="77777777" w:rsidR="006D7E5A" w:rsidRDefault="006D7E5A">
      <w:r>
        <w:separator/>
      </w:r>
    </w:p>
  </w:footnote>
  <w:footnote w:type="continuationSeparator" w:id="0">
    <w:p w14:paraId="43486CE1" w14:textId="77777777" w:rsidR="006D7E5A" w:rsidRDefault="006D7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B7EF8" w14:textId="77777777" w:rsidR="008A3D90" w:rsidRDefault="00000000">
    <w:pPr>
      <w:jc w:val="distribute"/>
      <w:rPr>
        <w:rFonts w:ascii="Times New Roman" w:eastAsia="宋体" w:hAnsi="Times New Roman" w:cs="宋体"/>
        <w:szCs w:val="21"/>
      </w:rPr>
    </w:pPr>
    <w:r>
      <w:rPr>
        <w:rFonts w:ascii="Times New Roman" w:eastAsia="宋体" w:hAnsi="Times New Roman" w:cs="宋体" w:hint="eastAsia"/>
        <w:szCs w:val="21"/>
      </w:rPr>
      <w:t>证券代码：</w:t>
    </w:r>
    <w:r>
      <w:rPr>
        <w:rFonts w:ascii="Times New Roman" w:eastAsia="宋体" w:hAnsi="Times New Roman" w:cs="宋体" w:hint="eastAsia"/>
        <w:szCs w:val="21"/>
      </w:rPr>
      <w:t xml:space="preserve">688420                                       </w:t>
    </w:r>
    <w:r>
      <w:rPr>
        <w:rFonts w:ascii="Times New Roman" w:eastAsia="宋体" w:hAnsi="Times New Roman" w:cs="宋体" w:hint="eastAsia"/>
        <w:szCs w:val="21"/>
      </w:rPr>
      <w:t>证券简称：</w:t>
    </w:r>
    <w:proofErr w:type="gramStart"/>
    <w:r>
      <w:rPr>
        <w:rFonts w:ascii="Times New Roman" w:eastAsia="宋体" w:hAnsi="Times New Roman" w:cs="宋体" w:hint="eastAsia"/>
        <w:szCs w:val="21"/>
      </w:rPr>
      <w:t>美腾科技</w:t>
    </w:r>
    <w:proofErr w:type="gramEnd"/>
  </w:p>
  <w:p w14:paraId="3D72C5E3" w14:textId="77777777" w:rsidR="008A3D90" w:rsidRDefault="008A3D9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EyYmI1OWFhM2RkYjUwYzg2N2MyYTI4OTFhMzBiNTQifQ=="/>
  </w:docVars>
  <w:rsids>
    <w:rsidRoot w:val="6AC1576E"/>
    <w:rsid w:val="00017ABF"/>
    <w:rsid w:val="00033E70"/>
    <w:rsid w:val="000454EF"/>
    <w:rsid w:val="00063163"/>
    <w:rsid w:val="00087F25"/>
    <w:rsid w:val="000902DF"/>
    <w:rsid w:val="000958B8"/>
    <w:rsid w:val="000A2EC5"/>
    <w:rsid w:val="000B0177"/>
    <w:rsid w:val="000B23DE"/>
    <w:rsid w:val="0013159A"/>
    <w:rsid w:val="00151F20"/>
    <w:rsid w:val="00154202"/>
    <w:rsid w:val="00171BB5"/>
    <w:rsid w:val="001A68E7"/>
    <w:rsid w:val="001E1195"/>
    <w:rsid w:val="001E4784"/>
    <w:rsid w:val="0024599E"/>
    <w:rsid w:val="0026746B"/>
    <w:rsid w:val="002D2F8A"/>
    <w:rsid w:val="00300CF8"/>
    <w:rsid w:val="00325FCC"/>
    <w:rsid w:val="003268B8"/>
    <w:rsid w:val="00342211"/>
    <w:rsid w:val="003871B3"/>
    <w:rsid w:val="0039656C"/>
    <w:rsid w:val="003B2919"/>
    <w:rsid w:val="0041405D"/>
    <w:rsid w:val="00422E89"/>
    <w:rsid w:val="004255DF"/>
    <w:rsid w:val="00433CB0"/>
    <w:rsid w:val="00435795"/>
    <w:rsid w:val="0043687E"/>
    <w:rsid w:val="004408A9"/>
    <w:rsid w:val="004559D4"/>
    <w:rsid w:val="004E587C"/>
    <w:rsid w:val="004F630C"/>
    <w:rsid w:val="00520A7F"/>
    <w:rsid w:val="005239DA"/>
    <w:rsid w:val="00523EE6"/>
    <w:rsid w:val="0053006D"/>
    <w:rsid w:val="00541984"/>
    <w:rsid w:val="00581B10"/>
    <w:rsid w:val="00586A33"/>
    <w:rsid w:val="005A31F7"/>
    <w:rsid w:val="005B13E7"/>
    <w:rsid w:val="005B1F10"/>
    <w:rsid w:val="005D60A6"/>
    <w:rsid w:val="005E453D"/>
    <w:rsid w:val="00610236"/>
    <w:rsid w:val="00634D65"/>
    <w:rsid w:val="006423F0"/>
    <w:rsid w:val="00647485"/>
    <w:rsid w:val="00674635"/>
    <w:rsid w:val="006769B5"/>
    <w:rsid w:val="006A23A6"/>
    <w:rsid w:val="006D7E5A"/>
    <w:rsid w:val="007269AF"/>
    <w:rsid w:val="007572FF"/>
    <w:rsid w:val="00787E3A"/>
    <w:rsid w:val="007A7B52"/>
    <w:rsid w:val="007B19A7"/>
    <w:rsid w:val="007F2EDB"/>
    <w:rsid w:val="007F392B"/>
    <w:rsid w:val="00801652"/>
    <w:rsid w:val="00816DA4"/>
    <w:rsid w:val="00826EF1"/>
    <w:rsid w:val="008273A5"/>
    <w:rsid w:val="0082768B"/>
    <w:rsid w:val="00830326"/>
    <w:rsid w:val="00834568"/>
    <w:rsid w:val="00841B25"/>
    <w:rsid w:val="00846520"/>
    <w:rsid w:val="00867575"/>
    <w:rsid w:val="00870F04"/>
    <w:rsid w:val="00875166"/>
    <w:rsid w:val="00897280"/>
    <w:rsid w:val="0089760B"/>
    <w:rsid w:val="008A3D90"/>
    <w:rsid w:val="008B2850"/>
    <w:rsid w:val="008B2E0A"/>
    <w:rsid w:val="008C55B6"/>
    <w:rsid w:val="008D5351"/>
    <w:rsid w:val="008E0D8D"/>
    <w:rsid w:val="00901C82"/>
    <w:rsid w:val="00954B22"/>
    <w:rsid w:val="00961829"/>
    <w:rsid w:val="009B7DB1"/>
    <w:rsid w:val="009F53B4"/>
    <w:rsid w:val="00A016AF"/>
    <w:rsid w:val="00A314FD"/>
    <w:rsid w:val="00A43D7D"/>
    <w:rsid w:val="00A43E6C"/>
    <w:rsid w:val="00A4430A"/>
    <w:rsid w:val="00A67B3A"/>
    <w:rsid w:val="00A71752"/>
    <w:rsid w:val="00A84C1D"/>
    <w:rsid w:val="00AC4E5F"/>
    <w:rsid w:val="00AC58CD"/>
    <w:rsid w:val="00AD11B2"/>
    <w:rsid w:val="00AF6D4D"/>
    <w:rsid w:val="00B41030"/>
    <w:rsid w:val="00B413E5"/>
    <w:rsid w:val="00B67292"/>
    <w:rsid w:val="00B74846"/>
    <w:rsid w:val="00B903A1"/>
    <w:rsid w:val="00BA6D61"/>
    <w:rsid w:val="00BA74AA"/>
    <w:rsid w:val="00BD2925"/>
    <w:rsid w:val="00BF75C4"/>
    <w:rsid w:val="00C000CB"/>
    <w:rsid w:val="00C0372B"/>
    <w:rsid w:val="00C34ECB"/>
    <w:rsid w:val="00C415D0"/>
    <w:rsid w:val="00C43EA2"/>
    <w:rsid w:val="00C44C8A"/>
    <w:rsid w:val="00C80489"/>
    <w:rsid w:val="00C840BF"/>
    <w:rsid w:val="00C93E94"/>
    <w:rsid w:val="00C9673E"/>
    <w:rsid w:val="00CA7C67"/>
    <w:rsid w:val="00CC7C3F"/>
    <w:rsid w:val="00CE7F52"/>
    <w:rsid w:val="00D131F5"/>
    <w:rsid w:val="00D34A6B"/>
    <w:rsid w:val="00D51FD9"/>
    <w:rsid w:val="00D579B8"/>
    <w:rsid w:val="00D610CB"/>
    <w:rsid w:val="00D8136F"/>
    <w:rsid w:val="00DE51FC"/>
    <w:rsid w:val="00DF16C8"/>
    <w:rsid w:val="00DF3401"/>
    <w:rsid w:val="00E256E5"/>
    <w:rsid w:val="00E26FB6"/>
    <w:rsid w:val="00E673E0"/>
    <w:rsid w:val="00E761EC"/>
    <w:rsid w:val="00E93332"/>
    <w:rsid w:val="00E9754D"/>
    <w:rsid w:val="00EA4E78"/>
    <w:rsid w:val="00EC08A7"/>
    <w:rsid w:val="00EC4F72"/>
    <w:rsid w:val="00ED3E4E"/>
    <w:rsid w:val="00EE4C33"/>
    <w:rsid w:val="00EF62ED"/>
    <w:rsid w:val="00F052AC"/>
    <w:rsid w:val="00F06490"/>
    <w:rsid w:val="00F067D8"/>
    <w:rsid w:val="00F4235A"/>
    <w:rsid w:val="00F66EF1"/>
    <w:rsid w:val="00FD3080"/>
    <w:rsid w:val="00FD58AC"/>
    <w:rsid w:val="00FE7C36"/>
    <w:rsid w:val="0576341B"/>
    <w:rsid w:val="082609BC"/>
    <w:rsid w:val="1D61352C"/>
    <w:rsid w:val="21E819AE"/>
    <w:rsid w:val="25801AC3"/>
    <w:rsid w:val="25970151"/>
    <w:rsid w:val="283F090E"/>
    <w:rsid w:val="2C3B19B2"/>
    <w:rsid w:val="3599471C"/>
    <w:rsid w:val="3D2C0875"/>
    <w:rsid w:val="3EC407F0"/>
    <w:rsid w:val="45427A17"/>
    <w:rsid w:val="47190850"/>
    <w:rsid w:val="4D077BC8"/>
    <w:rsid w:val="50706ABC"/>
    <w:rsid w:val="51EF0845"/>
    <w:rsid w:val="59466CC8"/>
    <w:rsid w:val="5A63604A"/>
    <w:rsid w:val="5ABD56B1"/>
    <w:rsid w:val="603F0141"/>
    <w:rsid w:val="699D4A74"/>
    <w:rsid w:val="6AC1576E"/>
    <w:rsid w:val="6BA16D20"/>
    <w:rsid w:val="6BF223C4"/>
    <w:rsid w:val="6D216903"/>
    <w:rsid w:val="780B4948"/>
    <w:rsid w:val="7A7F272C"/>
    <w:rsid w:val="7D2F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1619C"/>
  <w15:docId w15:val="{4F531C0C-CED0-48A6-8DFA-96B645ED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qFormat/>
    <w:rPr>
      <w:color w:val="0563C1" w:themeColor="hyperlink"/>
      <w:u w:val="single"/>
    </w:rPr>
  </w:style>
  <w:style w:type="character" w:styleId="ae">
    <w:name w:val="annotation reference"/>
    <w:basedOn w:val="a0"/>
    <w:qFormat/>
    <w:rPr>
      <w:sz w:val="21"/>
      <w:szCs w:val="21"/>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24"/>
    </w:rPr>
  </w:style>
  <w:style w:type="character" w:customStyle="1" w:styleId="HTML0">
    <w:name w:val="HTML 预设格式 字符"/>
    <w:basedOn w:val="a0"/>
    <w:link w:val="HTML"/>
    <w:uiPriority w:val="99"/>
    <w:qFormat/>
    <w:rPr>
      <w:rFonts w:ascii="宋体" w:hAnsi="宋体" w:cs="宋体"/>
      <w:sz w:val="24"/>
      <w:szCs w:val="24"/>
    </w:rPr>
  </w:style>
  <w:style w:type="character" w:customStyle="1" w:styleId="10">
    <w:name w:val="未处理的提及1"/>
    <w:basedOn w:val="a0"/>
    <w:uiPriority w:val="99"/>
    <w:semiHidden/>
    <w:unhideWhenUsed/>
    <w:qFormat/>
    <w:rPr>
      <w:color w:val="605E5C"/>
      <w:shd w:val="clear" w:color="auto" w:fill="E1DFDD"/>
    </w:rPr>
  </w:style>
  <w:style w:type="paragraph" w:customStyle="1" w:styleId="3">
    <w:name w:val="修订3"/>
    <w:hidden/>
    <w:uiPriority w:val="99"/>
    <w:unhideWhenUsed/>
    <w:qFormat/>
    <w:rPr>
      <w:rFonts w:asciiTheme="minorHAnsi" w:eastAsiaTheme="minorEastAsia" w:hAnsiTheme="minorHAnsi" w:cstheme="minorBidi"/>
      <w:kern w:val="2"/>
      <w:sz w:val="21"/>
      <w:szCs w:val="24"/>
    </w:rPr>
  </w:style>
  <w:style w:type="paragraph" w:customStyle="1" w:styleId="4">
    <w:name w:val="修订4"/>
    <w:hidden/>
    <w:uiPriority w:val="99"/>
    <w:unhideWhenUsed/>
    <w:qFormat/>
    <w:rPr>
      <w:rFonts w:asciiTheme="minorHAnsi" w:eastAsiaTheme="minorEastAsia" w:hAnsiTheme="minorHAnsi" w:cstheme="minorBidi"/>
      <w:kern w:val="2"/>
      <w:sz w:val="21"/>
      <w:szCs w:val="24"/>
    </w:rPr>
  </w:style>
  <w:style w:type="paragraph" w:styleId="af">
    <w:name w:val="Revision"/>
    <w:hidden/>
    <w:uiPriority w:val="99"/>
    <w:unhideWhenUsed/>
    <w:rsid w:val="00BF75C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董咚咚</dc:creator>
  <cp:lastModifiedBy>李薇</cp:lastModifiedBy>
  <cp:revision>38</cp:revision>
  <cp:lastPrinted>2023-01-12T08:57:00Z</cp:lastPrinted>
  <dcterms:created xsi:type="dcterms:W3CDTF">2023-11-02T07:12:00Z</dcterms:created>
  <dcterms:modified xsi:type="dcterms:W3CDTF">2024-10-18T03:45:00Z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6D04949676C544A4A8ADA94F2AFD7079_13</vt:lpwstr>
  </property>
</Properties>
</file>