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F7" w:rsidRDefault="00561488">
      <w:pPr>
        <w:widowControl/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证券代码：688132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邦彦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技术</w:t>
      </w:r>
    </w:p>
    <w:p w:rsidR="003B4EF7" w:rsidRDefault="00561488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邦彦技术股份有限公司</w:t>
      </w:r>
    </w:p>
    <w:p w:rsidR="003B4EF7" w:rsidRDefault="00561488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:rsidR="003B4EF7" w:rsidRDefault="00561488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（202</w:t>
      </w:r>
      <w:r w:rsidR="000A070B">
        <w:rPr>
          <w:rFonts w:ascii="宋体" w:eastAsia="宋体" w:hAnsi="宋体" w:cs="宋体"/>
          <w:b/>
          <w:iCs/>
          <w:color w:val="000000"/>
          <w:sz w:val="44"/>
          <w:szCs w:val="44"/>
        </w:rPr>
        <w:t>4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年</w:t>
      </w:r>
      <w:r w:rsidR="005406C2">
        <w:rPr>
          <w:rFonts w:ascii="宋体" w:eastAsia="宋体" w:hAnsi="宋体" w:cs="宋体"/>
          <w:b/>
          <w:iCs/>
          <w:color w:val="000000"/>
          <w:sz w:val="44"/>
          <w:szCs w:val="44"/>
        </w:rPr>
        <w:t>10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月</w:t>
      </w:r>
      <w:r w:rsidR="005406C2">
        <w:rPr>
          <w:rFonts w:ascii="宋体" w:eastAsia="宋体" w:hAnsi="宋体" w:cs="宋体"/>
          <w:b/>
          <w:iCs/>
          <w:color w:val="000000"/>
          <w:sz w:val="44"/>
          <w:szCs w:val="44"/>
        </w:rPr>
        <w:t>18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日）</w:t>
      </w:r>
    </w:p>
    <w:p w:rsidR="003B4EF7" w:rsidRDefault="00561488">
      <w:pPr>
        <w:spacing w:line="360" w:lineRule="auto"/>
        <w:ind w:firstLineChars="0" w:firstLine="0"/>
        <w:jc w:val="right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编号：202</w:t>
      </w:r>
      <w:r w:rsidR="001F70F2">
        <w:rPr>
          <w:rFonts w:ascii="宋体" w:eastAsia="宋体" w:hAnsi="宋体" w:cs="宋体"/>
          <w:bCs/>
          <w:iCs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-</w:t>
      </w:r>
      <w:r w:rsidR="00AF3A5A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0</w:t>
      </w:r>
      <w:r w:rsidR="00224F36">
        <w:rPr>
          <w:rFonts w:ascii="宋体" w:eastAsia="宋体" w:hAnsi="宋体" w:cs="宋体"/>
          <w:bCs/>
          <w:iCs/>
          <w:color w:val="000000"/>
          <w:sz w:val="24"/>
          <w:szCs w:val="24"/>
        </w:rPr>
        <w:t>1</w:t>
      </w:r>
      <w:r w:rsidR="005406C2">
        <w:rPr>
          <w:rFonts w:ascii="宋体" w:eastAsia="宋体" w:hAnsi="宋体" w:cs="宋体"/>
          <w:bCs/>
          <w:iCs/>
          <w:color w:val="000000"/>
          <w:sz w:val="24"/>
          <w:szCs w:val="24"/>
        </w:rPr>
        <w:t>7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6637"/>
      </w:tblGrid>
      <w:tr w:rsidR="003B4EF7" w:rsidTr="001A42F0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EF7" w:rsidRDefault="0056148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投资者关系活动类别</w:t>
            </w:r>
          </w:p>
          <w:p w:rsidR="003B4EF7" w:rsidRDefault="003B4EF7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F7" w:rsidRDefault="00843E06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56148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特定对象调研  </w:t>
            </w:r>
            <w:r w:rsidR="005406C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56148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:rsidR="003B4EF7" w:rsidRDefault="0056148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□媒体采访      </w:t>
            </w:r>
            <w:r w:rsidR="00170FC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:rsidR="003B4EF7" w:rsidRDefault="0056148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</w:t>
            </w:r>
            <w:r w:rsidR="005406C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:rsidR="003B4EF7" w:rsidRDefault="0056148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□现场参观      </w:t>
            </w:r>
            <w:r w:rsidR="007C1C5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 w:rsidR="007C1C5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其他</w:t>
            </w:r>
            <w:r w:rsidR="007C1C5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3B4EF7" w:rsidTr="001A42F0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EF7" w:rsidRDefault="0056148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EF7" w:rsidRPr="00AB562B" w:rsidRDefault="005406C2" w:rsidP="00193BDB">
            <w:pPr>
              <w:widowControl/>
              <w:ind w:firstLineChars="0" w:firstLine="0"/>
              <w:jc w:val="left"/>
              <w:textAlignment w:val="center"/>
              <w:rPr>
                <w:rFonts w:asciiTheme="majorEastAsia" w:eastAsiaTheme="majorEastAsia" w:hAnsiTheme="majorEastAsia" w:cs="等线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国盛证券方晓舟、财通</w:t>
            </w:r>
            <w:proofErr w:type="gramStart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基金吴帆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、冲积资产桑梓、中</w:t>
            </w:r>
            <w:proofErr w:type="gramStart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邮基金刘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星辰、建信养老臧赢舜、基明资本区晓、诺伊尔资产</w:t>
            </w:r>
            <w:proofErr w:type="gramStart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白福浓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、宏</w:t>
            </w:r>
            <w:proofErr w:type="gramStart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利基金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石磊、</w:t>
            </w:r>
            <w:proofErr w:type="gramStart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天弘基金李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佳明、平安养老王朝宁</w:t>
            </w:r>
            <w:r w:rsidR="00026BC1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、方正证券黄凯伦</w:t>
            </w:r>
            <w:r w:rsidR="0051776E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、牧</w:t>
            </w:r>
            <w:proofErr w:type="gramStart"/>
            <w:r w:rsidR="0051776E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鑫</w:t>
            </w:r>
            <w:proofErr w:type="gramEnd"/>
            <w:r w:rsidR="0051776E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资产战君屹</w:t>
            </w:r>
          </w:p>
        </w:tc>
      </w:tr>
      <w:tr w:rsidR="003B4EF7" w:rsidTr="001A42F0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EF7" w:rsidRDefault="0056148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F7" w:rsidRDefault="00561488" w:rsidP="00A65FF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1F70F2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5406C2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C0F7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5406C2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5406C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-202</w:t>
            </w:r>
            <w:r w:rsidR="005406C2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="005406C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5406C2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10</w:t>
            </w:r>
            <w:r w:rsidR="005406C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406C2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A65FF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  <w:r w:rsidR="005406C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1A42F0" w:rsidTr="001A42F0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F0" w:rsidRDefault="001A42F0" w:rsidP="001A42F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F0" w:rsidRDefault="005406C2" w:rsidP="003B54B4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上海、苏州、深圳</w:t>
            </w:r>
          </w:p>
        </w:tc>
      </w:tr>
      <w:tr w:rsidR="001A42F0" w:rsidTr="001A42F0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F0" w:rsidRDefault="001A42F0" w:rsidP="001A42F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F0" w:rsidRDefault="003571C5" w:rsidP="003571C5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571C5">
              <w:rPr>
                <w:rFonts w:ascii="宋体" w:eastAsia="宋体" w:hAnsi="宋体" w:cs="宋体" w:hint="eastAsia"/>
                <w:sz w:val="24"/>
                <w:szCs w:val="24"/>
              </w:rPr>
              <w:t>董事会秘书</w:t>
            </w:r>
            <w:r w:rsidR="00271305">
              <w:rPr>
                <w:rFonts w:ascii="宋体" w:eastAsia="宋体" w:hAnsi="宋体" w:cs="宋体" w:hint="eastAsia"/>
                <w:sz w:val="24"/>
                <w:szCs w:val="24"/>
              </w:rPr>
              <w:t>、财务总监</w:t>
            </w:r>
            <w:r w:rsidRPr="003571C5">
              <w:rPr>
                <w:rFonts w:ascii="宋体" w:eastAsia="宋体" w:hAnsi="宋体" w:cs="宋体" w:hint="eastAsia"/>
                <w:sz w:val="24"/>
                <w:szCs w:val="24"/>
              </w:rPr>
              <w:t xml:space="preserve"> 邹家瑞</w:t>
            </w:r>
          </w:p>
        </w:tc>
      </w:tr>
      <w:tr w:rsidR="001A42F0" w:rsidTr="001A42F0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F0" w:rsidRDefault="001A42F0" w:rsidP="001A42F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F0" w:rsidRPr="00361944" w:rsidRDefault="001A42F0" w:rsidP="001A42F0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1944">
              <w:rPr>
                <w:rFonts w:ascii="宋体" w:eastAsia="宋体" w:hAnsi="宋体" w:cs="宋体"/>
                <w:b/>
                <w:sz w:val="24"/>
                <w:szCs w:val="24"/>
              </w:rPr>
              <w:t>公司基本情况介绍</w:t>
            </w:r>
          </w:p>
          <w:p w:rsidR="001A42F0" w:rsidRPr="00361944" w:rsidRDefault="001B281A" w:rsidP="00361944">
            <w:pPr>
              <w:pStyle w:val="3"/>
              <w:tabs>
                <w:tab w:val="clear" w:pos="1440"/>
                <w:tab w:val="left" w:pos="851"/>
              </w:tabs>
              <w:spacing w:before="0" w:afterLines="50" w:after="156" w:line="360" w:lineRule="auto"/>
              <w:ind w:left="0" w:firstLine="480"/>
              <w:rPr>
                <w:rFonts w:ascii="宋体" w:eastAsia="宋体" w:hAnsi="宋体"/>
                <w:b w:val="0"/>
              </w:rPr>
            </w:pPr>
            <w:r w:rsidRPr="007D6190">
              <w:rPr>
                <w:rFonts w:ascii="宋体" w:eastAsia="宋体" w:hAnsi="宋体" w:cs="宋体" w:hint="eastAsia"/>
                <w:b w:val="0"/>
                <w:kern w:val="2"/>
                <w:sz w:val="24"/>
                <w:szCs w:val="24"/>
              </w:rPr>
              <w:t>首先公司董事会秘书邹家瑞介绍了公司当前基本业务及经营情况。</w:t>
            </w:r>
          </w:p>
          <w:p w:rsidR="001A42F0" w:rsidRPr="00361944" w:rsidRDefault="001A42F0" w:rsidP="00A9286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Arial"/>
                <w:sz w:val="24"/>
                <w:szCs w:val="24"/>
              </w:rPr>
            </w:pPr>
            <w:r w:rsidRPr="00361944">
              <w:rPr>
                <w:rFonts w:ascii="宋体" w:eastAsia="宋体" w:hAnsi="宋体" w:cs="宋体" w:hint="eastAsia"/>
                <w:b/>
                <w:sz w:val="24"/>
                <w:szCs w:val="24"/>
              </w:rPr>
              <w:t>与会人员就公司情况进行了交流，主要内容如下：</w:t>
            </w:r>
            <w:bookmarkStart w:id="1" w:name="_Toc113625092"/>
            <w:bookmarkStart w:id="2" w:name="_Toc113625088"/>
          </w:p>
          <w:p w:rsidR="001B281A" w:rsidRPr="001B281A" w:rsidRDefault="00B81703" w:rsidP="001B281A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bookmarkStart w:id="3" w:name="_Toc149733612"/>
            <w:bookmarkStart w:id="4" w:name="_Toc144735704"/>
            <w:bookmarkEnd w:id="1"/>
            <w:bookmarkEnd w:id="2"/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Pr="000A689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proofErr w:type="gramStart"/>
            <w:r w:rsidR="001B281A" w:rsidRPr="001B281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请简单</w:t>
            </w:r>
            <w:proofErr w:type="gramEnd"/>
            <w:r w:rsidR="001B281A" w:rsidRPr="001B281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介绍一下公司业务</w:t>
            </w:r>
          </w:p>
          <w:p w:rsidR="001B281A" w:rsidRPr="001B281A" w:rsidRDefault="001B281A" w:rsidP="001B281A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B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公司主要从事信息通信和信息安全产品的研发、制造、销售和服务。核心业务包括融合通信、舰船通信和信息安全三大板块，三大业务板块的系列产品构建了符合</w:t>
            </w:r>
            <w:r w:rsidR="00FB3164">
              <w:rPr>
                <w:rFonts w:asciiTheme="minorEastAsia" w:eastAsiaTheme="minorEastAsia" w:hAnsiTheme="minorEastAsia" w:hint="eastAsia"/>
                <w:sz w:val="24"/>
                <w:szCs w:val="24"/>
              </w:rPr>
              <w:t>客户</w:t>
            </w:r>
            <w:r w:rsidRPr="001B281A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信息体系架构标准的基于“云网端”的完整产品体系，主要服务于</w:t>
            </w:r>
            <w:r w:rsidR="00FB3164">
              <w:rPr>
                <w:rFonts w:asciiTheme="minorEastAsia" w:eastAsiaTheme="minorEastAsia" w:hAnsiTheme="minorEastAsia" w:hint="eastAsia"/>
                <w:sz w:val="24"/>
                <w:szCs w:val="24"/>
              </w:rPr>
              <w:t>客户</w:t>
            </w:r>
            <w:r w:rsidRPr="001B281A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信息化建设，提升国家和国防信息化水平。</w:t>
            </w:r>
          </w:p>
          <w:p w:rsidR="00B81703" w:rsidRDefault="001B281A" w:rsidP="001B281A">
            <w:pPr>
              <w:pStyle w:val="a6"/>
              <w:spacing w:line="360" w:lineRule="auto"/>
              <w:ind w:firstLine="480"/>
              <w:jc w:val="both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lastRenderedPageBreak/>
              <w:t>公司依托国产自主可控、信息安全等技术的积累，以成功应用的产品和技术为基础，向</w:t>
            </w:r>
            <w:r w:rsidR="00FB3164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新</w:t>
            </w:r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业务拓展。公司规划了</w:t>
            </w:r>
            <w:proofErr w:type="gramStart"/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基于信创自主</w:t>
            </w:r>
            <w:proofErr w:type="gramEnd"/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可控产品和商用密码产品在电力专网行业拓展外，同时，在当前AI技术浪潮背景下，公司加快在AI方面的技术创新，并赋能公司传统的信息通信和信息安全业务，形成AI+网络通信、AI+多媒体处理和AI+</w:t>
            </w:r>
            <w:proofErr w:type="gramStart"/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云服务</w:t>
            </w:r>
            <w:proofErr w:type="gramEnd"/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等领域的技术积累，并布局开展新业务，开辟新赛道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。</w:t>
            </w:r>
          </w:p>
          <w:p w:rsidR="006E35A8" w:rsidRPr="007645B5" w:rsidRDefault="005406C2" w:rsidP="006E35A8">
            <w:pPr>
              <w:pStyle w:val="a6"/>
              <w:ind w:firstLine="482"/>
              <w:jc w:val="both"/>
              <w:rPr>
                <w:rFonts w:ascii="Calibri Light" w:hAnsi="Calibri Light" w:hint="eastAsia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2</w:t>
            </w:r>
            <w:r w:rsidR="006E35A8">
              <w:rPr>
                <w:rFonts w:ascii="Calibri Light" w:hAnsi="Calibri Light" w:hint="eastAsia"/>
                <w:sz w:val="24"/>
                <w:szCs w:val="24"/>
              </w:rPr>
              <w:t>、</w:t>
            </w:r>
            <w:r w:rsidR="006E35A8" w:rsidRPr="007645B5">
              <w:rPr>
                <w:rFonts w:ascii="Calibri Light" w:hAnsi="Calibri Light" w:hint="eastAsia"/>
                <w:sz w:val="24"/>
                <w:szCs w:val="24"/>
              </w:rPr>
              <w:t>公司在手订单如何？</w:t>
            </w:r>
            <w:r w:rsidR="006E35A8" w:rsidRPr="007645B5">
              <w:rPr>
                <w:rFonts w:ascii="Calibri Light" w:hAnsi="Calibri Light" w:hint="eastAsia"/>
                <w:sz w:val="24"/>
                <w:szCs w:val="24"/>
              </w:rPr>
              <w:t xml:space="preserve"> </w:t>
            </w:r>
          </w:p>
          <w:p w:rsidR="006E35A8" w:rsidRPr="007645B5" w:rsidRDefault="006E35A8" w:rsidP="006E35A8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截至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2024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/>
                <w:sz w:val="24"/>
                <w:szCs w:val="24"/>
              </w:rPr>
              <w:t>6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月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3</w:t>
            </w:r>
            <w:r>
              <w:rPr>
                <w:rFonts w:ascii="Calibri" w:eastAsia="宋体" w:hAnsi="Calibri"/>
                <w:sz w:val="24"/>
                <w:szCs w:val="24"/>
              </w:rPr>
              <w:t>0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日，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公司尚有在手订单及备产通知书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23,880.61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万元</w:t>
            </w:r>
            <w:r w:rsidRPr="007645B5">
              <w:rPr>
                <w:rFonts w:ascii="Calibri" w:eastAsia="宋体" w:hAnsi="Calibri" w:hint="eastAsia"/>
                <w:sz w:val="24"/>
                <w:szCs w:val="24"/>
              </w:rPr>
              <w:t>，在手订单充足，为后续业绩发展提供了有力支撑。</w:t>
            </w:r>
          </w:p>
          <w:p w:rsidR="007645B5" w:rsidRPr="007645B5" w:rsidRDefault="005406C2" w:rsidP="005406C2">
            <w:pPr>
              <w:pStyle w:val="a6"/>
              <w:ind w:firstLineChars="200" w:firstLine="482"/>
              <w:jc w:val="both"/>
              <w:rPr>
                <w:rFonts w:ascii="Calibri Light" w:hAnsi="Calibri Light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BF7802" w:rsidRPr="00361944">
              <w:rPr>
                <w:rFonts w:ascii="宋体" w:hAnsi="宋体" w:hint="eastAsia"/>
                <w:sz w:val="24"/>
                <w:szCs w:val="24"/>
              </w:rPr>
              <w:t>、</w:t>
            </w:r>
            <w:bookmarkEnd w:id="3"/>
            <w:r w:rsidR="00711498" w:rsidRPr="00711498">
              <w:rPr>
                <w:rFonts w:ascii="宋体" w:hAnsi="宋体" w:hint="eastAsia"/>
                <w:sz w:val="24"/>
                <w:szCs w:val="24"/>
              </w:rPr>
              <w:t>在新技术或新业务模式上有何投资或布局</w:t>
            </w:r>
            <w:r w:rsidR="007645B5" w:rsidRPr="007645B5">
              <w:rPr>
                <w:rFonts w:ascii="Calibri Light" w:hAnsi="Calibri Light" w:hint="eastAsia"/>
                <w:sz w:val="24"/>
                <w:szCs w:val="24"/>
              </w:rPr>
              <w:t>？</w:t>
            </w:r>
          </w:p>
          <w:p w:rsidR="00BF7802" w:rsidRDefault="00711498" w:rsidP="007645B5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公司以国产自主可控、信息安全等成熟技术为基础，开辟民品产品线赛道。在电力专网产品基础上，公司还规划了三个产品，分别是面向民品方面的分布式音视频控制系统、邦彦云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以及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AI</w:t>
            </w:r>
            <w:r w:rsidR="003216AB">
              <w:rPr>
                <w:rFonts w:ascii="Calibri" w:eastAsia="宋体" w:hAnsi="Calibri"/>
                <w:sz w:val="24"/>
                <w:szCs w:val="24"/>
              </w:rPr>
              <w:t xml:space="preserve"> 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Agent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，以期实现军民品两条腿走路。</w:t>
            </w:r>
          </w:p>
          <w:p w:rsidR="005406C2" w:rsidRPr="005406C2" w:rsidRDefault="005406C2" w:rsidP="007645B5">
            <w:pPr>
              <w:spacing w:line="360" w:lineRule="auto"/>
              <w:ind w:firstLine="482"/>
              <w:rPr>
                <w:rFonts w:ascii="Calibri" w:eastAsia="宋体" w:hAnsi="Calibri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/>
                <w:b/>
                <w:sz w:val="24"/>
                <w:szCs w:val="24"/>
              </w:rPr>
              <w:t>4</w:t>
            </w:r>
            <w:r w:rsidRPr="005406C2">
              <w:rPr>
                <w:rFonts w:ascii="Calibri" w:eastAsia="宋体" w:hAnsi="Calibri" w:hint="eastAsia"/>
                <w:b/>
                <w:sz w:val="24"/>
                <w:szCs w:val="24"/>
              </w:rPr>
              <w:t>、云</w:t>
            </w:r>
            <w:r w:rsidRPr="005406C2">
              <w:rPr>
                <w:rFonts w:ascii="Calibri" w:eastAsia="宋体" w:hAnsi="Calibri" w:hint="eastAsia"/>
                <w:b/>
                <w:sz w:val="24"/>
                <w:szCs w:val="24"/>
              </w:rPr>
              <w:t>PC</w:t>
            </w:r>
            <w:r w:rsidRPr="005406C2">
              <w:rPr>
                <w:rFonts w:ascii="Calibri" w:eastAsia="宋体" w:hAnsi="Calibri" w:hint="eastAsia"/>
                <w:b/>
                <w:sz w:val="24"/>
                <w:szCs w:val="24"/>
              </w:rPr>
              <w:t>的技术核心在哪里？整个市场体量如何？</w:t>
            </w:r>
            <w:r w:rsidRPr="005406C2">
              <w:rPr>
                <w:rFonts w:ascii="Calibri" w:eastAsia="宋体" w:hAnsi="Calibri" w:hint="eastAsia"/>
                <w:b/>
                <w:sz w:val="24"/>
                <w:szCs w:val="24"/>
              </w:rPr>
              <w:t xml:space="preserve"> </w:t>
            </w:r>
          </w:p>
          <w:p w:rsidR="005406C2" w:rsidRDefault="005406C2" w:rsidP="007645B5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r w:rsidRPr="005406C2">
              <w:rPr>
                <w:rFonts w:ascii="Calibri" w:eastAsia="宋体" w:hAnsi="Calibri" w:hint="eastAsia"/>
                <w:sz w:val="24"/>
                <w:szCs w:val="24"/>
              </w:rPr>
              <w:t>公司通过多年在信息安全技术领域的密码技术和在计算领域的积累，推出了云</w:t>
            </w:r>
            <w:r w:rsidRPr="005406C2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5406C2">
              <w:rPr>
                <w:rFonts w:ascii="Calibri" w:eastAsia="宋体" w:hAnsi="Calibri" w:hint="eastAsia"/>
                <w:sz w:val="24"/>
                <w:szCs w:val="24"/>
              </w:rPr>
              <w:t>产品，其技术核心在音视频传输的低延时和解决移动办公数据安全的需求。云</w:t>
            </w:r>
            <w:r w:rsidRPr="005406C2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5406C2">
              <w:rPr>
                <w:rFonts w:ascii="Calibri" w:eastAsia="宋体" w:hAnsi="Calibri" w:hint="eastAsia"/>
                <w:sz w:val="24"/>
                <w:szCs w:val="24"/>
              </w:rPr>
              <w:t>是真机的体验，既解决了虚拟机的体验，又解决了安全的体验。云</w:t>
            </w:r>
            <w:r w:rsidRPr="005406C2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5406C2">
              <w:rPr>
                <w:rFonts w:ascii="Calibri" w:eastAsia="宋体" w:hAnsi="Calibri" w:hint="eastAsia"/>
                <w:sz w:val="24"/>
                <w:szCs w:val="24"/>
              </w:rPr>
              <w:t>市场非常广阔，目前已经在客户端推广。</w:t>
            </w:r>
          </w:p>
          <w:p w:rsidR="005406C2" w:rsidRPr="005406C2" w:rsidRDefault="005406C2" w:rsidP="005406C2">
            <w:pPr>
              <w:spacing w:line="360" w:lineRule="auto"/>
              <w:ind w:firstLine="482"/>
              <w:rPr>
                <w:rFonts w:ascii="Calibri" w:eastAsia="宋体" w:hAnsi="Calibri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/>
                <w:b/>
                <w:sz w:val="24"/>
                <w:szCs w:val="24"/>
              </w:rPr>
              <w:t>5</w:t>
            </w:r>
            <w:r w:rsidRPr="005406C2">
              <w:rPr>
                <w:rFonts w:ascii="Calibri" w:eastAsia="宋体" w:hAnsi="Calibri" w:hint="eastAsia"/>
                <w:b/>
                <w:sz w:val="24"/>
                <w:szCs w:val="24"/>
              </w:rPr>
              <w:t>、云</w:t>
            </w:r>
            <w:r w:rsidRPr="005406C2">
              <w:rPr>
                <w:rFonts w:ascii="Calibri" w:eastAsia="宋体" w:hAnsi="Calibri" w:hint="eastAsia"/>
                <w:b/>
                <w:sz w:val="24"/>
                <w:szCs w:val="24"/>
              </w:rPr>
              <w:t>PC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和</w:t>
            </w:r>
            <w:r w:rsidR="00D3241D">
              <w:rPr>
                <w:rFonts w:ascii="Calibri" w:eastAsia="宋体" w:hAnsi="Calibri" w:hint="eastAsia"/>
                <w:b/>
                <w:sz w:val="24"/>
                <w:szCs w:val="24"/>
              </w:rPr>
              <w:t>信息安全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这块近期是否有什么新的进展？有签订订单吗？</w:t>
            </w:r>
            <w:r w:rsidRPr="005406C2">
              <w:rPr>
                <w:rFonts w:ascii="Calibri" w:eastAsia="宋体" w:hAnsi="Calibri" w:hint="eastAsia"/>
                <w:b/>
                <w:sz w:val="24"/>
                <w:szCs w:val="24"/>
              </w:rPr>
              <w:t xml:space="preserve"> </w:t>
            </w:r>
          </w:p>
          <w:p w:rsidR="005406C2" w:rsidRDefault="005406C2" w:rsidP="005406C2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在云</w:t>
            </w:r>
            <w:r>
              <w:rPr>
                <w:rFonts w:ascii="Calibri" w:eastAsia="宋体" w:hAnsi="Calibri"/>
                <w:sz w:val="24"/>
                <w:szCs w:val="24"/>
              </w:rPr>
              <w:t>PC</w:t>
            </w:r>
            <w:r>
              <w:rPr>
                <w:rFonts w:ascii="Calibri" w:eastAsia="宋体" w:hAnsi="Calibri"/>
                <w:sz w:val="24"/>
                <w:szCs w:val="24"/>
              </w:rPr>
              <w:t>方面</w:t>
            </w:r>
            <w:r w:rsidR="00D3241D">
              <w:rPr>
                <w:rFonts w:ascii="Calibri" w:eastAsia="宋体" w:hAnsi="Calibri"/>
                <w:sz w:val="24"/>
                <w:szCs w:val="24"/>
              </w:rPr>
              <w:t>，目前已经与金融、传媒、教育及高科技企业商定了试点方案，后续将根据试点方案陆续签订合同，预计该业务对</w:t>
            </w:r>
            <w:r w:rsidR="00D3241D">
              <w:rPr>
                <w:rFonts w:ascii="Calibri" w:eastAsia="宋体" w:hAnsi="Calibri" w:hint="eastAsia"/>
                <w:sz w:val="24"/>
                <w:szCs w:val="24"/>
              </w:rPr>
              <w:t>2</w:t>
            </w:r>
            <w:r w:rsidR="00D3241D">
              <w:rPr>
                <w:rFonts w:ascii="Calibri" w:eastAsia="宋体" w:hAnsi="Calibri"/>
                <w:sz w:val="24"/>
                <w:szCs w:val="24"/>
              </w:rPr>
              <w:t>024</w:t>
            </w:r>
            <w:r w:rsidR="00D3241D">
              <w:rPr>
                <w:rFonts w:ascii="Calibri" w:eastAsia="宋体" w:hAnsi="Calibri"/>
                <w:sz w:val="24"/>
                <w:szCs w:val="24"/>
              </w:rPr>
              <w:t>年业绩不产生较大影响。在信息安全方面，公司大力拓展商用业务，与国网下属公司签订了采购框架合同，后续将按照合同约定，依据客户需求逐步进行供货。</w:t>
            </w:r>
          </w:p>
          <w:bookmarkEnd w:id="4"/>
          <w:p w:rsidR="00703B8A" w:rsidRPr="00703B8A" w:rsidRDefault="006E35A8" w:rsidP="00703B8A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</w:t>
            </w:r>
            <w:r w:rsidR="00703B8A" w:rsidRPr="00703B8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r w:rsidR="00703B8A" w:rsidRPr="00703B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请详细讲一下公司在AI产品方面的布局和业务方向？</w:t>
            </w:r>
          </w:p>
          <w:p w:rsidR="00711498" w:rsidRPr="00952CE1" w:rsidRDefault="00703B8A" w:rsidP="00FB2F93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3B8A">
              <w:rPr>
                <w:rFonts w:asciiTheme="minorEastAsia" w:eastAsiaTheme="minorEastAsia" w:hAnsiTheme="minorEastAsia" w:hint="eastAsia"/>
                <w:sz w:val="24"/>
                <w:szCs w:val="24"/>
              </w:rPr>
              <w:t>在AI技术浪潮背景下，公司加快在AI方面的技术创新。目前有两个层面的布局，首先是AI技术赋能公司传统的信息通信和信息安全业务，形成AI+网络通信、AI+多媒体处理和AI+云服务等领域的技术积累，并布局开展新业务，开辟新赛道。其次是立项AI Agent产品， AI Agent是指基于大型模型的人工智能体。公司规划的是自主智能体，力图实现复杂流程自动化。即当给定自主智能体一个目标时，它们能自行创建任务、完成任务、创建新任务、重新确定任务列表的优先级、完成新的首要任务，并不断重复这个过程，直到完成目标。从智能助手开始切入，打造多模态自主助手Agent框架，实现to C和 to B 应用任务的自主规划和自动执行。公司认为AI将会影响整个人类的生活方式，因此会进行长期的战略性投入，短期内可能不会要求有多大的回报。</w:t>
            </w:r>
          </w:p>
        </w:tc>
      </w:tr>
      <w:tr w:rsidR="001A42F0" w:rsidTr="007D104F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F0" w:rsidRDefault="001A42F0" w:rsidP="001A42F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F0" w:rsidRDefault="001A42F0" w:rsidP="001A42F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:rsidR="003B4EF7" w:rsidRDefault="003B4EF7" w:rsidP="007A4666">
      <w:pPr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</w:p>
    <w:sectPr w:rsidR="003B4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7CB" w:rsidRDefault="00E107CB">
      <w:pPr>
        <w:spacing w:line="240" w:lineRule="auto"/>
        <w:ind w:firstLine="640"/>
      </w:pPr>
      <w:r>
        <w:separator/>
      </w:r>
    </w:p>
  </w:endnote>
  <w:endnote w:type="continuationSeparator" w:id="0">
    <w:p w:rsidR="00E107CB" w:rsidRDefault="00E107C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7CB" w:rsidRDefault="00E107CB">
      <w:pPr>
        <w:spacing w:line="240" w:lineRule="auto"/>
        <w:ind w:firstLine="640"/>
      </w:pPr>
      <w:r>
        <w:separator/>
      </w:r>
    </w:p>
  </w:footnote>
  <w:footnote w:type="continuationSeparator" w:id="0">
    <w:p w:rsidR="00E107CB" w:rsidRDefault="00E107C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C6897F"/>
    <w:multiLevelType w:val="singleLevel"/>
    <w:tmpl w:val="85C6897F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D8749468"/>
    <w:multiLevelType w:val="singleLevel"/>
    <w:tmpl w:val="D8749468"/>
    <w:lvl w:ilvl="0">
      <w:start w:val="2"/>
      <w:numFmt w:val="decimal"/>
      <w:suff w:val="nothing"/>
      <w:lvlText w:val="%1、"/>
      <w:lvlJc w:val="left"/>
    </w:lvl>
  </w:abstractNum>
  <w:abstractNum w:abstractNumId="2">
    <w:nsid w:val="122C4407"/>
    <w:multiLevelType w:val="hybridMultilevel"/>
    <w:tmpl w:val="CFF0D414"/>
    <w:lvl w:ilvl="0" w:tplc="D3FE6EC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CE4E82"/>
    <w:multiLevelType w:val="multilevel"/>
    <w:tmpl w:val="FCC24CC0"/>
    <w:lvl w:ilvl="0">
      <w:start w:val="1"/>
      <w:numFmt w:val="japaneseCounting"/>
      <w:lvlText w:val="%1、"/>
      <w:lvlJc w:val="left"/>
      <w:pPr>
        <w:ind w:left="800" w:hanging="480"/>
      </w:pPr>
      <w:rPr>
        <w:rFonts w:asciiTheme="majorEastAsia" w:eastAsiaTheme="majorEastAsia" w:hAnsiTheme="majorEastAsia"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abstractNum w:abstractNumId="4">
    <w:nsid w:val="4788670A"/>
    <w:multiLevelType w:val="hybridMultilevel"/>
    <w:tmpl w:val="DC183856"/>
    <w:lvl w:ilvl="0" w:tplc="D8749468">
      <w:start w:val="2"/>
      <w:numFmt w:val="decimal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CBB5E8E"/>
    <w:multiLevelType w:val="hybridMultilevel"/>
    <w:tmpl w:val="CDACC354"/>
    <w:lvl w:ilvl="0" w:tplc="DA929BB4">
      <w:start w:val="8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NjMwZTMzZGM3Yjg0YjEyMjQzYWQ1ODUzMGY0NDUifQ=="/>
  </w:docVars>
  <w:rsids>
    <w:rsidRoot w:val="00172A27"/>
    <w:rsid w:val="00026BC1"/>
    <w:rsid w:val="0008553C"/>
    <w:rsid w:val="00087069"/>
    <w:rsid w:val="000938F4"/>
    <w:rsid w:val="000A0087"/>
    <w:rsid w:val="000A070B"/>
    <w:rsid w:val="000A689D"/>
    <w:rsid w:val="000B762E"/>
    <w:rsid w:val="000C135F"/>
    <w:rsid w:val="000D5B84"/>
    <w:rsid w:val="000E0EB3"/>
    <w:rsid w:val="001210E0"/>
    <w:rsid w:val="00167499"/>
    <w:rsid w:val="00170FC4"/>
    <w:rsid w:val="0017260B"/>
    <w:rsid w:val="00172A27"/>
    <w:rsid w:val="00193BDB"/>
    <w:rsid w:val="001A42F0"/>
    <w:rsid w:val="001B13C9"/>
    <w:rsid w:val="001B281A"/>
    <w:rsid w:val="001E347E"/>
    <w:rsid w:val="001F5347"/>
    <w:rsid w:val="001F70F2"/>
    <w:rsid w:val="002076BE"/>
    <w:rsid w:val="0021183F"/>
    <w:rsid w:val="002235A5"/>
    <w:rsid w:val="00224F36"/>
    <w:rsid w:val="002364A1"/>
    <w:rsid w:val="00242BBE"/>
    <w:rsid w:val="00256C6E"/>
    <w:rsid w:val="00271305"/>
    <w:rsid w:val="0028706E"/>
    <w:rsid w:val="002919E1"/>
    <w:rsid w:val="00293B4F"/>
    <w:rsid w:val="002D4F3D"/>
    <w:rsid w:val="003216AB"/>
    <w:rsid w:val="003402B7"/>
    <w:rsid w:val="0035458C"/>
    <w:rsid w:val="00354BDE"/>
    <w:rsid w:val="003571C5"/>
    <w:rsid w:val="003608F5"/>
    <w:rsid w:val="00361944"/>
    <w:rsid w:val="00392E9B"/>
    <w:rsid w:val="003A01A1"/>
    <w:rsid w:val="003B4EF7"/>
    <w:rsid w:val="003B54B4"/>
    <w:rsid w:val="003C002A"/>
    <w:rsid w:val="003D2DCE"/>
    <w:rsid w:val="003F5B58"/>
    <w:rsid w:val="003F74E5"/>
    <w:rsid w:val="004222B3"/>
    <w:rsid w:val="00422A32"/>
    <w:rsid w:val="004247C8"/>
    <w:rsid w:val="00424A25"/>
    <w:rsid w:val="0043047F"/>
    <w:rsid w:val="004444AF"/>
    <w:rsid w:val="0044480A"/>
    <w:rsid w:val="004B0B55"/>
    <w:rsid w:val="004C0E38"/>
    <w:rsid w:val="004C455A"/>
    <w:rsid w:val="004E1C6E"/>
    <w:rsid w:val="004F5749"/>
    <w:rsid w:val="005104CA"/>
    <w:rsid w:val="0051776E"/>
    <w:rsid w:val="005406C2"/>
    <w:rsid w:val="00547A27"/>
    <w:rsid w:val="00561488"/>
    <w:rsid w:val="005711D7"/>
    <w:rsid w:val="00596F1A"/>
    <w:rsid w:val="005B2251"/>
    <w:rsid w:val="005C0F7D"/>
    <w:rsid w:val="005D151E"/>
    <w:rsid w:val="005D4B60"/>
    <w:rsid w:val="005E0766"/>
    <w:rsid w:val="00624AC3"/>
    <w:rsid w:val="006578EE"/>
    <w:rsid w:val="00693E31"/>
    <w:rsid w:val="006E35A8"/>
    <w:rsid w:val="006E4AF4"/>
    <w:rsid w:val="006E5A85"/>
    <w:rsid w:val="00703B8A"/>
    <w:rsid w:val="00711498"/>
    <w:rsid w:val="00726F0C"/>
    <w:rsid w:val="0073229D"/>
    <w:rsid w:val="00736E45"/>
    <w:rsid w:val="00744656"/>
    <w:rsid w:val="007645B5"/>
    <w:rsid w:val="00765341"/>
    <w:rsid w:val="00791A14"/>
    <w:rsid w:val="00796468"/>
    <w:rsid w:val="007A3F26"/>
    <w:rsid w:val="007A4666"/>
    <w:rsid w:val="007B407A"/>
    <w:rsid w:val="007B40FB"/>
    <w:rsid w:val="007C1C5B"/>
    <w:rsid w:val="007D104F"/>
    <w:rsid w:val="007D5D1C"/>
    <w:rsid w:val="007D6190"/>
    <w:rsid w:val="007E451E"/>
    <w:rsid w:val="008239BE"/>
    <w:rsid w:val="00823EB7"/>
    <w:rsid w:val="00824B7C"/>
    <w:rsid w:val="00841C03"/>
    <w:rsid w:val="00843561"/>
    <w:rsid w:val="00843E06"/>
    <w:rsid w:val="008740DE"/>
    <w:rsid w:val="00896E65"/>
    <w:rsid w:val="008A6633"/>
    <w:rsid w:val="008F7313"/>
    <w:rsid w:val="008F7592"/>
    <w:rsid w:val="0090549D"/>
    <w:rsid w:val="009059D8"/>
    <w:rsid w:val="009328B6"/>
    <w:rsid w:val="0094073E"/>
    <w:rsid w:val="00950DA3"/>
    <w:rsid w:val="00952CE1"/>
    <w:rsid w:val="009A014B"/>
    <w:rsid w:val="009A0D93"/>
    <w:rsid w:val="009A2DD2"/>
    <w:rsid w:val="009F7F5C"/>
    <w:rsid w:val="00A10E13"/>
    <w:rsid w:val="00A11522"/>
    <w:rsid w:val="00A21E2A"/>
    <w:rsid w:val="00A37CDE"/>
    <w:rsid w:val="00A53050"/>
    <w:rsid w:val="00A65B3F"/>
    <w:rsid w:val="00A65FFE"/>
    <w:rsid w:val="00A9286C"/>
    <w:rsid w:val="00A97569"/>
    <w:rsid w:val="00AB562B"/>
    <w:rsid w:val="00AF001F"/>
    <w:rsid w:val="00AF3A5A"/>
    <w:rsid w:val="00B14FD9"/>
    <w:rsid w:val="00B33CEC"/>
    <w:rsid w:val="00B81703"/>
    <w:rsid w:val="00BA3025"/>
    <w:rsid w:val="00BB7670"/>
    <w:rsid w:val="00BD2262"/>
    <w:rsid w:val="00BD3A81"/>
    <w:rsid w:val="00BF15D8"/>
    <w:rsid w:val="00BF401D"/>
    <w:rsid w:val="00BF7802"/>
    <w:rsid w:val="00C036F7"/>
    <w:rsid w:val="00C07EF1"/>
    <w:rsid w:val="00C17C86"/>
    <w:rsid w:val="00C349B2"/>
    <w:rsid w:val="00C35FF3"/>
    <w:rsid w:val="00C47C6A"/>
    <w:rsid w:val="00C52840"/>
    <w:rsid w:val="00C549B7"/>
    <w:rsid w:val="00C70622"/>
    <w:rsid w:val="00C72730"/>
    <w:rsid w:val="00C74E82"/>
    <w:rsid w:val="00C83E5B"/>
    <w:rsid w:val="00C85E6F"/>
    <w:rsid w:val="00C9608C"/>
    <w:rsid w:val="00C966F0"/>
    <w:rsid w:val="00CC6698"/>
    <w:rsid w:val="00CD1317"/>
    <w:rsid w:val="00CF0E2B"/>
    <w:rsid w:val="00D12F21"/>
    <w:rsid w:val="00D3241D"/>
    <w:rsid w:val="00D52D47"/>
    <w:rsid w:val="00D63C53"/>
    <w:rsid w:val="00D73D0C"/>
    <w:rsid w:val="00D82CA1"/>
    <w:rsid w:val="00D978B1"/>
    <w:rsid w:val="00DA0937"/>
    <w:rsid w:val="00DC455E"/>
    <w:rsid w:val="00DE4241"/>
    <w:rsid w:val="00DE7F16"/>
    <w:rsid w:val="00E107CB"/>
    <w:rsid w:val="00E33D48"/>
    <w:rsid w:val="00E63DAE"/>
    <w:rsid w:val="00E72CDC"/>
    <w:rsid w:val="00E91A5E"/>
    <w:rsid w:val="00E942A7"/>
    <w:rsid w:val="00EF2435"/>
    <w:rsid w:val="00EF5FE4"/>
    <w:rsid w:val="00F03A12"/>
    <w:rsid w:val="00F269FF"/>
    <w:rsid w:val="00F42824"/>
    <w:rsid w:val="00FA1F42"/>
    <w:rsid w:val="00FB2F93"/>
    <w:rsid w:val="00FB3164"/>
    <w:rsid w:val="00FC4FB0"/>
    <w:rsid w:val="00FC6F30"/>
    <w:rsid w:val="00FD0CBB"/>
    <w:rsid w:val="02076F1C"/>
    <w:rsid w:val="033C1CF6"/>
    <w:rsid w:val="05AD6D6E"/>
    <w:rsid w:val="06F21CC1"/>
    <w:rsid w:val="0A1266E3"/>
    <w:rsid w:val="0C131349"/>
    <w:rsid w:val="0C6F7B97"/>
    <w:rsid w:val="0D103E05"/>
    <w:rsid w:val="0D433883"/>
    <w:rsid w:val="0DB20B97"/>
    <w:rsid w:val="101C2610"/>
    <w:rsid w:val="101F036D"/>
    <w:rsid w:val="10563F48"/>
    <w:rsid w:val="10892AE9"/>
    <w:rsid w:val="13267B4D"/>
    <w:rsid w:val="191A0E8B"/>
    <w:rsid w:val="19750B7A"/>
    <w:rsid w:val="1D50131F"/>
    <w:rsid w:val="1F3B5A8F"/>
    <w:rsid w:val="1F6F0C48"/>
    <w:rsid w:val="1FB34E94"/>
    <w:rsid w:val="210445BE"/>
    <w:rsid w:val="22501B2B"/>
    <w:rsid w:val="22573C15"/>
    <w:rsid w:val="23035FB3"/>
    <w:rsid w:val="25162A70"/>
    <w:rsid w:val="26F65E37"/>
    <w:rsid w:val="27D93F3E"/>
    <w:rsid w:val="29EB0013"/>
    <w:rsid w:val="2A9919AD"/>
    <w:rsid w:val="2C537863"/>
    <w:rsid w:val="2CCC5FED"/>
    <w:rsid w:val="2E0C4DEE"/>
    <w:rsid w:val="2EEA35A2"/>
    <w:rsid w:val="352276E8"/>
    <w:rsid w:val="356E093D"/>
    <w:rsid w:val="359313AA"/>
    <w:rsid w:val="35C16BFB"/>
    <w:rsid w:val="36491112"/>
    <w:rsid w:val="3AC86541"/>
    <w:rsid w:val="3BE73A1E"/>
    <w:rsid w:val="3C1232C6"/>
    <w:rsid w:val="3CDD79F1"/>
    <w:rsid w:val="3E3F509F"/>
    <w:rsid w:val="3E6034F4"/>
    <w:rsid w:val="3F794C38"/>
    <w:rsid w:val="41667638"/>
    <w:rsid w:val="41E00614"/>
    <w:rsid w:val="42247621"/>
    <w:rsid w:val="425210A6"/>
    <w:rsid w:val="43754D8C"/>
    <w:rsid w:val="46052769"/>
    <w:rsid w:val="4BDF4987"/>
    <w:rsid w:val="4DC94942"/>
    <w:rsid w:val="4E0821BF"/>
    <w:rsid w:val="4F2E5F21"/>
    <w:rsid w:val="4FDE2F28"/>
    <w:rsid w:val="51DE2E7B"/>
    <w:rsid w:val="530D4CEF"/>
    <w:rsid w:val="543D5146"/>
    <w:rsid w:val="557E462E"/>
    <w:rsid w:val="56186984"/>
    <w:rsid w:val="56B272DD"/>
    <w:rsid w:val="56C71A1E"/>
    <w:rsid w:val="59DB4118"/>
    <w:rsid w:val="5AE00364"/>
    <w:rsid w:val="5BB93074"/>
    <w:rsid w:val="5C612FB3"/>
    <w:rsid w:val="5CD10796"/>
    <w:rsid w:val="5DD16269"/>
    <w:rsid w:val="5E7F32D6"/>
    <w:rsid w:val="5FB445F8"/>
    <w:rsid w:val="5FB92B90"/>
    <w:rsid w:val="602E2C97"/>
    <w:rsid w:val="609A1295"/>
    <w:rsid w:val="628404D4"/>
    <w:rsid w:val="63A96660"/>
    <w:rsid w:val="63E14839"/>
    <w:rsid w:val="67972454"/>
    <w:rsid w:val="67EA7CF2"/>
    <w:rsid w:val="68DC5E82"/>
    <w:rsid w:val="692C1BCB"/>
    <w:rsid w:val="6A837C0B"/>
    <w:rsid w:val="6C990208"/>
    <w:rsid w:val="6DC4374B"/>
    <w:rsid w:val="6FFE1AE2"/>
    <w:rsid w:val="70E81643"/>
    <w:rsid w:val="716A1AC4"/>
    <w:rsid w:val="73861075"/>
    <w:rsid w:val="73F74A1A"/>
    <w:rsid w:val="76E128E3"/>
    <w:rsid w:val="78FB5372"/>
    <w:rsid w:val="7BE511C7"/>
    <w:rsid w:val="7CD43511"/>
    <w:rsid w:val="7EF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A737DD-14E2-4A25-B986-1CB71115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"/>
      <w:kern w:val="2"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tabs>
        <w:tab w:val="left" w:pos="1440"/>
      </w:tabs>
      <w:spacing w:before="260" w:after="260" w:line="413" w:lineRule="auto"/>
      <w:ind w:left="1440" w:hanging="720"/>
      <w:outlineLvl w:val="2"/>
    </w:pPr>
    <w:rPr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Pr>
      <w:rFonts w:eastAsia="仿宋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仿宋"/>
      <w:kern w:val="2"/>
      <w:sz w:val="18"/>
      <w:szCs w:val="18"/>
    </w:rPr>
  </w:style>
  <w:style w:type="paragraph" w:styleId="a5">
    <w:name w:val="List Paragraph"/>
    <w:basedOn w:val="a"/>
    <w:uiPriority w:val="99"/>
    <w:qFormat/>
    <w:pPr>
      <w:ind w:firstLine="420"/>
    </w:pPr>
  </w:style>
  <w:style w:type="character" w:customStyle="1" w:styleId="3Char">
    <w:name w:val="标题 3 Char"/>
    <w:basedOn w:val="a0"/>
    <w:link w:val="3"/>
    <w:rsid w:val="00726F0C"/>
    <w:rPr>
      <w:rFonts w:eastAsia="仿宋"/>
      <w:b/>
      <w:sz w:val="32"/>
    </w:rPr>
  </w:style>
  <w:style w:type="paragraph" w:styleId="a6">
    <w:name w:val="Title"/>
    <w:basedOn w:val="a"/>
    <w:next w:val="a"/>
    <w:link w:val="Char1"/>
    <w:uiPriority w:val="10"/>
    <w:qFormat/>
    <w:rsid w:val="007D5D1C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1">
    <w:name w:val="标题 Char"/>
    <w:basedOn w:val="a0"/>
    <w:link w:val="a6"/>
    <w:uiPriority w:val="10"/>
    <w:rsid w:val="007D5D1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Balloon Text"/>
    <w:basedOn w:val="a"/>
    <w:link w:val="Char2"/>
    <w:rsid w:val="009328B6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rsid w:val="009328B6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3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li.jiang</dc:creator>
  <cp:lastModifiedBy>Windows 用户</cp:lastModifiedBy>
  <cp:revision>131</cp:revision>
  <cp:lastPrinted>2024-04-30T08:23:00Z</cp:lastPrinted>
  <dcterms:created xsi:type="dcterms:W3CDTF">2022-01-10T06:29:00Z</dcterms:created>
  <dcterms:modified xsi:type="dcterms:W3CDTF">2024-10-18T12:08:00Z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6EBF5BBDDB574A46B633F130ADDEDCCA</vt:lpwstr>
  </property>
</Properties>
</file>