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0115A">
      <w:pPr>
        <w:spacing w:before="182" w:line="316" w:lineRule="auto"/>
        <w:ind w:left="2775" w:right="1919" w:hanging="842"/>
        <w:outlineLvl w:val="0"/>
        <w:rPr>
          <w:rFonts w:ascii="宋体" w:hAnsi="宋体" w:eastAsia="宋体" w:cs="宋体"/>
          <w:sz w:val="28"/>
          <w:szCs w:val="28"/>
        </w:rPr>
      </w:pPr>
      <w:r>
        <w:rPr>
          <w:rFonts w:ascii="宋体" w:hAnsi="宋体" w:eastAsia="宋体" w:cs="宋体"/>
          <w:b/>
          <w:bCs/>
          <w:spacing w:val="-3"/>
          <w:sz w:val="28"/>
          <w:szCs w:val="28"/>
        </w:rPr>
        <w:t>北京九州一轨环境科技股份有限公司</w:t>
      </w:r>
      <w:r>
        <w:rPr>
          <w:rFonts w:ascii="宋体" w:hAnsi="宋体" w:eastAsia="宋体" w:cs="宋体"/>
          <w:b/>
          <w:bCs/>
          <w:spacing w:val="-4"/>
          <w:sz w:val="28"/>
          <w:szCs w:val="28"/>
        </w:rPr>
        <w:t>投资者关系活动记录表</w:t>
      </w:r>
    </w:p>
    <w:p w14:paraId="077BCB6C">
      <w:pPr>
        <w:spacing w:before="153" w:line="211" w:lineRule="auto"/>
        <w:ind w:left="263"/>
        <w:rPr>
          <w:rFonts w:hint="eastAsia" w:ascii="Times New Roman" w:hAnsi="Times New Roman" w:eastAsia="宋体" w:cs="Times New Roman"/>
          <w:sz w:val="24"/>
          <w:szCs w:val="24"/>
          <w:highlight w:val="yellow"/>
          <w:lang w:val="en-US" w:eastAsia="zh-CN"/>
        </w:rPr>
      </w:pPr>
      <w:r>
        <w:rPr>
          <w:rFonts w:ascii="宋体" w:hAnsi="宋体" w:eastAsia="宋体" w:cs="宋体"/>
          <w:b/>
          <w:bCs/>
          <w:sz w:val="24"/>
          <w:szCs w:val="24"/>
        </w:rPr>
        <w:t>证券简称：九州一轨</w:t>
      </w:r>
      <w:r>
        <w:rPr>
          <w:rFonts w:hint="eastAsia" w:ascii="宋体" w:hAnsi="宋体" w:eastAsia="宋体" w:cs="宋体"/>
          <w:b/>
          <w:bCs/>
          <w:sz w:val="24"/>
          <w:szCs w:val="24"/>
          <w:lang w:val="en-US" w:eastAsia="zh-CN"/>
        </w:rPr>
        <w:t xml:space="preserve">         </w:t>
      </w:r>
      <w:r>
        <w:rPr>
          <w:rFonts w:ascii="宋体" w:hAnsi="宋体" w:eastAsia="宋体" w:cs="宋体"/>
          <w:b/>
          <w:bCs/>
          <w:sz w:val="24"/>
          <w:szCs w:val="24"/>
        </w:rPr>
        <w:t>证券代</w:t>
      </w:r>
      <w:r>
        <w:rPr>
          <w:rFonts w:ascii="宋体" w:hAnsi="宋体" w:eastAsia="宋体" w:cs="宋体"/>
          <w:b/>
          <w:bCs/>
          <w:spacing w:val="-1"/>
          <w:sz w:val="24"/>
          <w:szCs w:val="24"/>
        </w:rPr>
        <w:t>码：</w:t>
      </w:r>
      <w:r>
        <w:rPr>
          <w:rFonts w:ascii="Times New Roman" w:hAnsi="Times New Roman" w:eastAsia="Times New Roman" w:cs="Times New Roman"/>
          <w:b/>
          <w:bCs/>
          <w:spacing w:val="-1"/>
          <w:sz w:val="24"/>
          <w:szCs w:val="24"/>
        </w:rPr>
        <w:t>688485</w:t>
      </w:r>
      <w:r>
        <w:rPr>
          <w:rFonts w:hint="eastAsia" w:ascii="Times New Roman" w:hAnsi="Times New Roman" w:eastAsia="宋体" w:cs="Times New Roman"/>
          <w:b/>
          <w:bCs/>
          <w:spacing w:val="-1"/>
          <w:sz w:val="24"/>
          <w:szCs w:val="24"/>
          <w:lang w:val="en-US" w:eastAsia="zh-CN"/>
        </w:rPr>
        <w:t xml:space="preserve">                    </w:t>
      </w:r>
      <w:r>
        <w:rPr>
          <w:rFonts w:ascii="宋体" w:hAnsi="宋体" w:eastAsia="宋体" w:cs="宋体"/>
          <w:b/>
          <w:bCs/>
          <w:spacing w:val="-1"/>
          <w:sz w:val="24"/>
          <w:szCs w:val="24"/>
        </w:rPr>
        <w:t>编号：</w:t>
      </w:r>
      <w:r>
        <w:rPr>
          <w:rFonts w:ascii="Times New Roman" w:hAnsi="Times New Roman" w:eastAsia="Times New Roman" w:cs="Times New Roman"/>
          <w:b/>
          <w:bCs/>
          <w:spacing w:val="-1"/>
          <w:sz w:val="24"/>
          <w:szCs w:val="24"/>
        </w:rPr>
        <w:t>2024-0</w:t>
      </w:r>
      <w:r>
        <w:rPr>
          <w:rFonts w:ascii="Times New Roman" w:hAnsi="Times New Roman" w:eastAsia="Times New Roman" w:cs="Times New Roman"/>
          <w:b/>
          <w:bCs/>
          <w:spacing w:val="-1"/>
          <w:sz w:val="24"/>
          <w:szCs w:val="24"/>
          <w:highlight w:val="none"/>
        </w:rPr>
        <w:t>0</w:t>
      </w:r>
      <w:r>
        <w:rPr>
          <w:rFonts w:hint="eastAsia" w:ascii="Times New Roman" w:hAnsi="Times New Roman" w:eastAsia="宋体" w:cs="Times New Roman"/>
          <w:b/>
          <w:bCs/>
          <w:spacing w:val="-1"/>
          <w:sz w:val="24"/>
          <w:szCs w:val="24"/>
          <w:highlight w:val="none"/>
          <w:lang w:val="en-US" w:eastAsia="zh-CN"/>
        </w:rPr>
        <w:t>6</w:t>
      </w:r>
    </w:p>
    <w:p w14:paraId="36A97F2A"/>
    <w:tbl>
      <w:tblPr>
        <w:tblStyle w:val="6"/>
        <w:tblW w:w="8295" w:type="dxa"/>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07"/>
        <w:gridCol w:w="5888"/>
      </w:tblGrid>
      <w:tr w14:paraId="75148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407" w:type="dxa"/>
            <w:vMerge w:val="restart"/>
            <w:vAlign w:val="center"/>
          </w:tcPr>
          <w:p w14:paraId="0C833084">
            <w:pPr>
              <w:pStyle w:val="7"/>
              <w:spacing w:before="78" w:line="230" w:lineRule="auto"/>
              <w:ind w:right="477"/>
              <w:jc w:val="center"/>
              <w:rPr>
                <w:b/>
                <w:bCs/>
                <w:spacing w:val="-4"/>
              </w:rPr>
            </w:pPr>
            <w:r>
              <w:rPr>
                <w:b/>
                <w:bCs/>
                <w:spacing w:val="-4"/>
              </w:rPr>
              <w:t>投资者关系活动</w:t>
            </w:r>
            <w:r>
              <w:rPr>
                <w:b/>
                <w:bCs/>
                <w:spacing w:val="-7"/>
              </w:rPr>
              <w:t>类别</w:t>
            </w:r>
          </w:p>
        </w:tc>
        <w:tc>
          <w:tcPr>
            <w:tcW w:w="5888" w:type="dxa"/>
            <w:tcBorders>
              <w:bottom w:val="nil"/>
            </w:tcBorders>
            <w:vAlign w:val="center"/>
          </w:tcPr>
          <w:p w14:paraId="14B20653">
            <w:pPr>
              <w:pStyle w:val="7"/>
              <w:autoSpaceDE/>
              <w:autoSpaceDN/>
              <w:spacing w:before="115" w:line="200" w:lineRule="auto"/>
              <w:ind w:left="0" w:firstLine="246" w:firstLineChars="100"/>
              <w:rPr>
                <w:rFonts w:hint="default" w:eastAsia="微软雅黑"/>
                <w:lang w:val="en-US" w:eastAsia="zh-CN"/>
              </w:rPr>
            </w:pPr>
            <w:r>
              <w:rPr>
                <w:rFonts w:ascii="微软雅黑" w:hAnsi="微软雅黑" w:eastAsia="微软雅黑" w:cs="微软雅黑"/>
                <w:spacing w:val="3"/>
              </w:rPr>
              <w:sym w:font="Wingdings 2" w:char="0052"/>
            </w:r>
            <w:r>
              <w:rPr>
                <w:spacing w:val="3"/>
              </w:rPr>
              <w:t>特定对象调研</w:t>
            </w:r>
            <w:r>
              <w:rPr>
                <w:rFonts w:hint="eastAsia"/>
                <w:spacing w:val="3"/>
                <w:lang w:val="en-US" w:eastAsia="zh-CN"/>
              </w:rPr>
              <w:t xml:space="preserve">  </w:t>
            </w:r>
            <w:r>
              <w:rPr>
                <w:rFonts w:ascii="微软雅黑" w:hAnsi="微软雅黑" w:eastAsia="微软雅黑" w:cs="微软雅黑"/>
                <w:spacing w:val="3"/>
              </w:rPr>
              <w:sym w:font="Wingdings 2" w:char="00A3"/>
            </w:r>
            <w:r>
              <w:rPr>
                <w:rFonts w:hint="default" w:eastAsia="宋体"/>
                <w:spacing w:val="-5"/>
                <w:lang w:val="en-US" w:eastAsia="zh-CN"/>
              </w:rPr>
              <w:t>分析师会议</w:t>
            </w:r>
          </w:p>
          <w:p w14:paraId="3CB117ED">
            <w:pPr>
              <w:pStyle w:val="7"/>
              <w:spacing w:before="27" w:line="202" w:lineRule="auto"/>
              <w:ind w:firstLine="0" w:firstLineChars="0"/>
              <w:jc w:val="left"/>
            </w:pPr>
          </w:p>
        </w:tc>
      </w:tr>
      <w:tr w14:paraId="7CA8D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407" w:type="dxa"/>
            <w:vMerge w:val="continue"/>
            <w:vAlign w:val="top"/>
          </w:tcPr>
          <w:p w14:paraId="6B130788">
            <w:pPr>
              <w:pStyle w:val="7"/>
              <w:spacing w:before="78" w:line="230" w:lineRule="auto"/>
              <w:ind w:right="477"/>
              <w:jc w:val="center"/>
              <w:rPr>
                <w:b/>
                <w:bCs/>
                <w:spacing w:val="-4"/>
              </w:rPr>
            </w:pPr>
          </w:p>
        </w:tc>
        <w:tc>
          <w:tcPr>
            <w:tcW w:w="5888" w:type="dxa"/>
            <w:tcBorders>
              <w:top w:val="nil"/>
              <w:bottom w:val="nil"/>
            </w:tcBorders>
            <w:vAlign w:val="center"/>
          </w:tcPr>
          <w:p w14:paraId="2E818838">
            <w:pPr>
              <w:pStyle w:val="7"/>
              <w:spacing w:before="182" w:line="220" w:lineRule="auto"/>
              <w:ind w:left="0" w:firstLine="228" w:firstLineChars="100"/>
              <w:rPr>
                <w:rFonts w:hint="default" w:eastAsia="宋体"/>
                <w:lang w:val="en-US" w:eastAsia="zh-CN"/>
              </w:rPr>
            </w:pPr>
            <w:r>
              <w:rPr>
                <w:spacing w:val="-6"/>
              </w:rPr>
              <w:t>□媒体采访</w:t>
            </w:r>
            <w:r>
              <w:rPr>
                <w:rFonts w:hint="eastAsia"/>
                <w:spacing w:val="-6"/>
                <w:lang w:val="en-US" w:eastAsia="zh-CN"/>
              </w:rPr>
              <w:t xml:space="preserve">      </w:t>
            </w:r>
            <w:r>
              <w:rPr>
                <w:spacing w:val="-5"/>
              </w:rPr>
              <w:t>□业绩说明会</w:t>
            </w:r>
          </w:p>
          <w:p w14:paraId="1319A405">
            <w:pPr>
              <w:pStyle w:val="7"/>
              <w:spacing w:before="27" w:line="202" w:lineRule="auto"/>
              <w:ind w:firstLine="960" w:firstLineChars="400"/>
              <w:jc w:val="left"/>
            </w:pPr>
          </w:p>
        </w:tc>
      </w:tr>
      <w:tr w14:paraId="20352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407" w:type="dxa"/>
            <w:vMerge w:val="continue"/>
            <w:vAlign w:val="top"/>
          </w:tcPr>
          <w:p w14:paraId="6FE942A3">
            <w:pPr>
              <w:pStyle w:val="7"/>
              <w:spacing w:before="78" w:line="230" w:lineRule="auto"/>
              <w:ind w:right="477"/>
              <w:jc w:val="center"/>
              <w:rPr>
                <w:b/>
                <w:bCs/>
                <w:spacing w:val="-4"/>
              </w:rPr>
            </w:pPr>
          </w:p>
        </w:tc>
        <w:tc>
          <w:tcPr>
            <w:tcW w:w="5888" w:type="dxa"/>
            <w:tcBorders>
              <w:top w:val="nil"/>
              <w:bottom w:val="nil"/>
            </w:tcBorders>
            <w:vAlign w:val="center"/>
          </w:tcPr>
          <w:p w14:paraId="07A894CE">
            <w:pPr>
              <w:pStyle w:val="7"/>
              <w:autoSpaceDE/>
              <w:autoSpaceDN/>
              <w:spacing w:before="182" w:line="221" w:lineRule="auto"/>
              <w:ind w:left="0" w:firstLine="230" w:firstLineChars="100"/>
              <w:rPr>
                <w:rFonts w:hint="default" w:eastAsia="宋体"/>
                <w:lang w:val="en-US" w:eastAsia="zh-CN"/>
              </w:rPr>
            </w:pPr>
            <w:r>
              <w:rPr>
                <w:spacing w:val="-5"/>
              </w:rPr>
              <w:t>□新闻发布会</w:t>
            </w:r>
            <w:r>
              <w:rPr>
                <w:rFonts w:hint="eastAsia"/>
                <w:spacing w:val="-5"/>
                <w:lang w:val="en-US" w:eastAsia="zh-CN"/>
              </w:rPr>
              <w:t xml:space="preserve">    </w:t>
            </w:r>
            <w:r>
              <w:rPr>
                <w:rFonts w:hint="eastAsia"/>
                <w:spacing w:val="-6"/>
                <w:lang w:eastAsia="zh-CN"/>
              </w:rPr>
              <w:t>□</w:t>
            </w:r>
            <w:r>
              <w:rPr>
                <w:spacing w:val="-6"/>
              </w:rPr>
              <w:t>路演活动</w:t>
            </w:r>
          </w:p>
          <w:p w14:paraId="4909A4B7">
            <w:pPr>
              <w:pStyle w:val="7"/>
              <w:spacing w:before="27" w:line="202" w:lineRule="auto"/>
              <w:ind w:firstLine="960" w:firstLineChars="400"/>
              <w:jc w:val="left"/>
            </w:pPr>
          </w:p>
        </w:tc>
      </w:tr>
      <w:tr w14:paraId="659B5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407" w:type="dxa"/>
            <w:vMerge w:val="continue"/>
            <w:vAlign w:val="top"/>
          </w:tcPr>
          <w:p w14:paraId="111C57C6">
            <w:pPr>
              <w:pStyle w:val="7"/>
              <w:spacing w:before="78" w:line="230" w:lineRule="auto"/>
              <w:ind w:right="477"/>
              <w:jc w:val="center"/>
              <w:rPr>
                <w:b/>
                <w:bCs/>
                <w:spacing w:val="-4"/>
              </w:rPr>
            </w:pPr>
          </w:p>
        </w:tc>
        <w:tc>
          <w:tcPr>
            <w:tcW w:w="5888" w:type="dxa"/>
            <w:tcBorders>
              <w:top w:val="nil"/>
            </w:tcBorders>
            <w:vAlign w:val="center"/>
          </w:tcPr>
          <w:p w14:paraId="42A963A0">
            <w:pPr>
              <w:pStyle w:val="7"/>
              <w:autoSpaceDE/>
              <w:autoSpaceDN/>
              <w:spacing w:before="27" w:line="202" w:lineRule="auto"/>
              <w:ind w:firstLine="254" w:firstLineChars="100"/>
              <w:jc w:val="left"/>
              <w:rPr>
                <w:rFonts w:hint="default" w:eastAsia="宋体"/>
                <w:lang w:val="en-US" w:eastAsia="zh-CN"/>
              </w:rPr>
            </w:pPr>
            <w:r>
              <w:rPr>
                <w:rFonts w:ascii="微软雅黑" w:hAnsi="微软雅黑" w:eastAsia="微软雅黑" w:cs="微软雅黑"/>
                <w:spacing w:val="7"/>
              </w:rPr>
              <w:sym w:font="Wingdings 2" w:char="00A3"/>
            </w:r>
            <w:r>
              <w:rPr>
                <w:spacing w:val="7"/>
              </w:rPr>
              <w:t>现场参观</w:t>
            </w:r>
            <w:r>
              <w:rPr>
                <w:rFonts w:hint="eastAsia"/>
                <w:spacing w:val="7"/>
                <w:lang w:val="en-US" w:eastAsia="zh-CN"/>
              </w:rPr>
              <w:t xml:space="preserve">     </w:t>
            </w:r>
            <w:r>
              <w:rPr>
                <w:spacing w:val="-6"/>
              </w:rPr>
              <w:sym w:font="Wingdings 2" w:char="00A3"/>
            </w:r>
            <w:r>
              <w:rPr>
                <w:rFonts w:hint="eastAsia"/>
                <w:spacing w:val="-6"/>
                <w:lang w:val="en-US" w:eastAsia="zh-CN"/>
              </w:rPr>
              <w:t>其他（请文字说明其他活动内容）</w:t>
            </w:r>
          </w:p>
        </w:tc>
      </w:tr>
      <w:tr w14:paraId="075E4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2407" w:type="dxa"/>
            <w:vAlign w:val="top"/>
          </w:tcPr>
          <w:p w14:paraId="13F6EDE9">
            <w:pPr>
              <w:pStyle w:val="7"/>
              <w:spacing w:before="78" w:line="230" w:lineRule="auto"/>
              <w:ind w:right="477"/>
              <w:jc w:val="center"/>
              <w:rPr>
                <w:spacing w:val="1"/>
              </w:rPr>
            </w:pPr>
            <w:r>
              <w:rPr>
                <w:b/>
                <w:bCs/>
                <w:spacing w:val="-4"/>
              </w:rPr>
              <w:t>参与单位名称</w:t>
            </w:r>
          </w:p>
          <w:p w14:paraId="3E943D1A">
            <w:pPr>
              <w:pStyle w:val="7"/>
              <w:spacing w:before="78" w:line="230" w:lineRule="auto"/>
              <w:ind w:right="477"/>
              <w:jc w:val="center"/>
            </w:pPr>
            <w:r>
              <w:rPr>
                <w:b/>
                <w:bCs/>
                <w:spacing w:val="-4"/>
              </w:rPr>
              <w:t>及人员姓名</w:t>
            </w:r>
          </w:p>
        </w:tc>
        <w:tc>
          <w:tcPr>
            <w:tcW w:w="5888" w:type="dxa"/>
            <w:vAlign w:val="center"/>
          </w:tcPr>
          <w:p w14:paraId="4CAF6464">
            <w:pPr>
              <w:pStyle w:val="7"/>
              <w:spacing w:before="26" w:line="230" w:lineRule="auto"/>
              <w:ind w:left="1211" w:right="839" w:hanging="360" w:firstLineChars="0"/>
              <w:jc w:val="center"/>
              <w:rPr>
                <w:rFonts w:hint="default"/>
                <w:spacing w:val="-1"/>
                <w:lang w:val="en-US" w:eastAsia="zh-CN"/>
              </w:rPr>
            </w:pPr>
            <w:r>
              <w:rPr>
                <w:rFonts w:hint="eastAsia"/>
                <w:spacing w:val="-1"/>
                <w:lang w:val="en-US" w:eastAsia="zh-CN"/>
              </w:rPr>
              <w:t>兴业证券  吴伟康</w:t>
            </w:r>
          </w:p>
          <w:p w14:paraId="70CE1CEC">
            <w:pPr>
              <w:pStyle w:val="7"/>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ind w:right="0"/>
              <w:jc w:val="center"/>
              <w:textAlignment w:val="baseline"/>
              <w:rPr>
                <w:rFonts w:hint="default"/>
                <w:spacing w:val="-1"/>
                <w:lang w:val="en-US" w:eastAsia="zh-CN"/>
              </w:rPr>
            </w:pPr>
            <w:r>
              <w:rPr>
                <w:rFonts w:hint="eastAsia"/>
                <w:spacing w:val="-1"/>
                <w:lang w:val="en-US" w:eastAsia="zh-CN"/>
              </w:rPr>
              <w:t>申万宏源  傅浩玮</w:t>
            </w:r>
          </w:p>
          <w:p w14:paraId="1CC1DA95">
            <w:pPr>
              <w:pStyle w:val="7"/>
              <w:spacing w:before="26" w:line="230" w:lineRule="auto"/>
              <w:ind w:left="1211" w:right="839" w:hanging="360" w:firstLineChars="0"/>
              <w:jc w:val="center"/>
              <w:rPr>
                <w:rFonts w:hint="default"/>
                <w:spacing w:val="-1"/>
                <w:lang w:val="en-US" w:eastAsia="zh-CN"/>
              </w:rPr>
            </w:pPr>
            <w:r>
              <w:rPr>
                <w:rFonts w:hint="eastAsia"/>
                <w:spacing w:val="-1"/>
                <w:lang w:val="en-US" w:eastAsia="zh-CN"/>
              </w:rPr>
              <w:t>盈骅资产  熊城</w:t>
            </w:r>
          </w:p>
          <w:p w14:paraId="567A908F">
            <w:pPr>
              <w:pStyle w:val="7"/>
              <w:spacing w:before="26" w:line="230" w:lineRule="auto"/>
              <w:ind w:right="839"/>
              <w:jc w:val="center"/>
              <w:rPr>
                <w:rFonts w:hint="default"/>
                <w:spacing w:val="-1"/>
                <w:lang w:val="en-US" w:eastAsia="zh-CN"/>
              </w:rPr>
            </w:pPr>
            <w:r>
              <w:rPr>
                <w:rFonts w:hint="eastAsia"/>
                <w:spacing w:val="-1"/>
                <w:lang w:val="en-US" w:eastAsia="zh-CN"/>
              </w:rPr>
              <w:t xml:space="preserve">       个人投资者  陈胜</w:t>
            </w:r>
          </w:p>
        </w:tc>
      </w:tr>
      <w:tr w14:paraId="6D437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2407" w:type="dxa"/>
            <w:vAlign w:val="top"/>
          </w:tcPr>
          <w:p w14:paraId="799C67DA">
            <w:pPr>
              <w:pStyle w:val="7"/>
              <w:spacing w:before="139" w:line="222" w:lineRule="auto"/>
              <w:ind w:left="977"/>
            </w:pPr>
            <w:r>
              <w:rPr>
                <w:b/>
                <w:bCs/>
                <w:spacing w:val="-13"/>
              </w:rPr>
              <w:t>时间</w:t>
            </w:r>
          </w:p>
        </w:tc>
        <w:tc>
          <w:tcPr>
            <w:tcW w:w="5888" w:type="dxa"/>
            <w:vAlign w:val="top"/>
          </w:tcPr>
          <w:p w14:paraId="1C9EC1E4">
            <w:pPr>
              <w:pStyle w:val="7"/>
              <w:autoSpaceDE/>
              <w:autoSpaceDN/>
              <w:spacing w:before="139" w:line="221" w:lineRule="auto"/>
              <w:ind w:left="0"/>
              <w:jc w:val="center"/>
            </w:pPr>
            <w:r>
              <w:rPr>
                <w:rFonts w:ascii="Times New Roman" w:hAnsi="Times New Roman" w:eastAsia="Times New Roman" w:cs="Times New Roman"/>
                <w:spacing w:val="-6"/>
              </w:rPr>
              <w:t>2024</w:t>
            </w:r>
            <w:r>
              <w:rPr>
                <w:spacing w:val="-6"/>
              </w:rPr>
              <w:t>年</w:t>
            </w:r>
            <w:r>
              <w:rPr>
                <w:rFonts w:hint="eastAsia" w:ascii="Times New Roman" w:hAnsi="Times New Roman" w:cs="Times New Roman"/>
                <w:spacing w:val="-6"/>
                <w:lang w:val="en-US" w:eastAsia="zh-CN"/>
              </w:rPr>
              <w:t>10</w:t>
            </w:r>
            <w:r>
              <w:rPr>
                <w:spacing w:val="-6"/>
              </w:rPr>
              <w:t>月</w:t>
            </w:r>
            <w:r>
              <w:rPr>
                <w:rFonts w:hint="eastAsia" w:ascii="Times New Roman" w:hAnsi="Times New Roman" w:cs="Times New Roman"/>
                <w:spacing w:val="-6"/>
                <w:lang w:val="en-US" w:eastAsia="zh-CN"/>
              </w:rPr>
              <w:t>22</w:t>
            </w:r>
            <w:r>
              <w:rPr>
                <w:spacing w:val="-6"/>
              </w:rPr>
              <w:t>日</w:t>
            </w:r>
          </w:p>
        </w:tc>
      </w:tr>
      <w:tr w14:paraId="4A06A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407" w:type="dxa"/>
            <w:vAlign w:val="center"/>
          </w:tcPr>
          <w:p w14:paraId="5A17A68E">
            <w:pPr>
              <w:pStyle w:val="7"/>
              <w:spacing w:before="78" w:line="224" w:lineRule="auto"/>
              <w:ind w:left="0"/>
              <w:jc w:val="center"/>
            </w:pPr>
            <w:r>
              <w:rPr>
                <w:b/>
                <w:bCs/>
                <w:spacing w:val="-7"/>
              </w:rPr>
              <w:t>地点</w:t>
            </w:r>
          </w:p>
        </w:tc>
        <w:tc>
          <w:tcPr>
            <w:tcW w:w="5888" w:type="dxa"/>
            <w:vAlign w:val="center"/>
          </w:tcPr>
          <w:p w14:paraId="0B1820B3">
            <w:pPr>
              <w:pStyle w:val="7"/>
              <w:spacing w:before="78" w:line="219" w:lineRule="auto"/>
              <w:ind w:left="0"/>
              <w:jc w:val="center"/>
              <w:rPr>
                <w:rFonts w:hint="default" w:eastAsia="宋体"/>
                <w:lang w:val="en-US" w:eastAsia="zh-CN"/>
              </w:rPr>
            </w:pPr>
            <w:r>
              <w:rPr>
                <w:rFonts w:hint="eastAsia"/>
                <w:spacing w:val="-2"/>
                <w:lang w:val="en-US" w:eastAsia="zh-CN"/>
              </w:rPr>
              <w:t>上海</w:t>
            </w:r>
          </w:p>
        </w:tc>
      </w:tr>
      <w:tr w14:paraId="0844F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2407" w:type="dxa"/>
            <w:vAlign w:val="top"/>
          </w:tcPr>
          <w:p w14:paraId="40878D59">
            <w:pPr>
              <w:spacing w:line="272" w:lineRule="auto"/>
              <w:rPr>
                <w:rFonts w:ascii="Arial"/>
                <w:sz w:val="21"/>
              </w:rPr>
            </w:pPr>
          </w:p>
          <w:p w14:paraId="12A762E0">
            <w:pPr>
              <w:pStyle w:val="7"/>
              <w:spacing w:before="78" w:line="230" w:lineRule="auto"/>
              <w:ind w:left="964" w:right="236" w:hanging="720"/>
            </w:pPr>
            <w:r>
              <w:rPr>
                <w:b/>
                <w:bCs/>
                <w:spacing w:val="-4"/>
              </w:rPr>
              <w:t>上市公司接待人员</w:t>
            </w:r>
            <w:r>
              <w:rPr>
                <w:b/>
                <w:bCs/>
                <w:spacing w:val="-7"/>
              </w:rPr>
              <w:t>姓名</w:t>
            </w:r>
          </w:p>
        </w:tc>
        <w:tc>
          <w:tcPr>
            <w:tcW w:w="5888" w:type="dxa"/>
            <w:vAlign w:val="center"/>
          </w:tcPr>
          <w:p w14:paraId="035194D9">
            <w:pPr>
              <w:pStyle w:val="7"/>
              <w:spacing w:before="26" w:line="230" w:lineRule="auto"/>
              <w:ind w:left="1211" w:right="839" w:hanging="360"/>
              <w:jc w:val="center"/>
              <w:rPr>
                <w:rFonts w:hint="eastAsia"/>
                <w:spacing w:val="-1"/>
                <w:lang w:val="en-US" w:eastAsia="zh-CN"/>
              </w:rPr>
            </w:pPr>
            <w:r>
              <w:rPr>
                <w:rFonts w:hint="eastAsia"/>
                <w:spacing w:val="-1"/>
                <w:lang w:val="en-US" w:eastAsia="zh-CN"/>
              </w:rPr>
              <w:t>副总裁兼董事会秘书张侃、</w:t>
            </w:r>
          </w:p>
          <w:p w14:paraId="20C696C1">
            <w:pPr>
              <w:pStyle w:val="7"/>
              <w:spacing w:before="26" w:line="230" w:lineRule="auto"/>
              <w:ind w:left="1211" w:right="839" w:hanging="360"/>
              <w:jc w:val="center"/>
            </w:pPr>
            <w:r>
              <w:rPr>
                <w:rFonts w:hint="eastAsia"/>
                <w:spacing w:val="-1"/>
                <w:lang w:val="en-US" w:eastAsia="zh-CN"/>
              </w:rPr>
              <w:t>董事会办公室主任兼证券事务代表林静</w:t>
            </w:r>
          </w:p>
        </w:tc>
      </w:tr>
      <w:tr w14:paraId="0DD69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407" w:type="dxa"/>
            <w:vAlign w:val="top"/>
          </w:tcPr>
          <w:p w14:paraId="3C7A5615">
            <w:pPr>
              <w:spacing w:line="298" w:lineRule="auto"/>
              <w:rPr>
                <w:rFonts w:ascii="Arial"/>
                <w:sz w:val="21"/>
              </w:rPr>
            </w:pPr>
          </w:p>
          <w:p w14:paraId="76A84B3A">
            <w:pPr>
              <w:spacing w:line="298" w:lineRule="auto"/>
              <w:rPr>
                <w:rFonts w:ascii="Arial"/>
                <w:sz w:val="21"/>
              </w:rPr>
            </w:pPr>
          </w:p>
          <w:p w14:paraId="18E573B8">
            <w:pPr>
              <w:spacing w:line="299" w:lineRule="auto"/>
              <w:rPr>
                <w:rFonts w:ascii="Arial"/>
                <w:sz w:val="21"/>
              </w:rPr>
            </w:pPr>
          </w:p>
          <w:p w14:paraId="6E626AF0">
            <w:pPr>
              <w:pStyle w:val="7"/>
              <w:spacing w:before="78" w:line="229" w:lineRule="auto"/>
              <w:ind w:left="753" w:right="116" w:hanging="628"/>
            </w:pPr>
            <w:r>
              <w:rPr>
                <w:b/>
                <w:bCs/>
                <w:spacing w:val="-4"/>
              </w:rPr>
              <w:t>投资者关系活动主要</w:t>
            </w:r>
            <w:r>
              <w:rPr>
                <w:b/>
                <w:bCs/>
                <w:spacing w:val="-12"/>
              </w:rPr>
              <w:t>内容介绍</w:t>
            </w:r>
          </w:p>
        </w:tc>
        <w:tc>
          <w:tcPr>
            <w:tcW w:w="5888" w:type="dxa"/>
            <w:vAlign w:val="top"/>
          </w:tcPr>
          <w:p w14:paraId="68F0F2A6">
            <w:pPr>
              <w:pStyle w:val="7"/>
              <w:spacing w:before="38" w:line="233" w:lineRule="auto"/>
              <w:ind w:left="0" w:right="101" w:firstLine="466" w:firstLineChars="200"/>
              <w:jc w:val="both"/>
              <w:rPr>
                <w:rFonts w:hint="default" w:eastAsia="宋体"/>
                <w:lang w:val="en-US" w:eastAsia="zh-CN"/>
              </w:rPr>
            </w:pPr>
            <w:r>
              <w:rPr>
                <w:b/>
                <w:bCs/>
                <w:spacing w:val="-4"/>
              </w:rPr>
              <w:t>一、公司的</w:t>
            </w:r>
            <w:r>
              <w:rPr>
                <w:rFonts w:hint="eastAsia"/>
                <w:b/>
                <w:bCs/>
                <w:spacing w:val="-4"/>
                <w:lang w:val="en-US" w:eastAsia="zh-CN"/>
              </w:rPr>
              <w:t>发展历程</w:t>
            </w:r>
          </w:p>
          <w:p w14:paraId="7EB83F88">
            <w:pPr>
              <w:pStyle w:val="7"/>
              <w:spacing w:before="38" w:line="233" w:lineRule="auto"/>
              <w:ind w:left="0" w:right="101" w:firstLine="400" w:firstLineChars="200"/>
              <w:jc w:val="both"/>
            </w:pPr>
            <w:r>
              <w:rPr>
                <w:spacing w:val="-20"/>
              </w:rPr>
              <w:t>回复：</w:t>
            </w:r>
          </w:p>
          <w:p w14:paraId="38C9767E">
            <w:pPr>
              <w:pStyle w:val="7"/>
              <w:autoSpaceDE/>
              <w:autoSpaceDN/>
              <w:spacing w:before="38" w:line="233" w:lineRule="auto"/>
              <w:ind w:left="0" w:right="101" w:firstLine="444" w:firstLineChars="200"/>
              <w:jc w:val="both"/>
              <w:rPr>
                <w:spacing w:val="-4"/>
              </w:rPr>
            </w:pPr>
            <w:r>
              <w:rPr>
                <w:spacing w:val="-9"/>
              </w:rPr>
              <w:t>九州一轨成立于2010年7月23日，</w:t>
            </w:r>
            <w:r>
              <w:rPr>
                <w:rFonts w:hint="eastAsia"/>
                <w:spacing w:val="-9"/>
              </w:rPr>
              <w:t>脱胎于北京</w:t>
            </w:r>
            <w:r>
              <w:rPr>
                <w:rFonts w:hint="eastAsia"/>
                <w:spacing w:val="-9"/>
                <w:lang w:val="en-US" w:eastAsia="zh-CN"/>
              </w:rPr>
              <w:t>市</w:t>
            </w:r>
            <w:r>
              <w:rPr>
                <w:rFonts w:hint="eastAsia"/>
                <w:spacing w:val="-9"/>
              </w:rPr>
              <w:t>科学</w:t>
            </w:r>
            <w:r>
              <w:rPr>
                <w:rFonts w:hint="eastAsia"/>
                <w:spacing w:val="-9"/>
                <w:lang w:val="en-US" w:eastAsia="zh-CN"/>
              </w:rPr>
              <w:t>技术研究</w:t>
            </w:r>
            <w:r>
              <w:rPr>
                <w:rFonts w:hint="eastAsia"/>
                <w:spacing w:val="-9"/>
              </w:rPr>
              <w:t>院下属的劳动保护研究所</w:t>
            </w:r>
            <w:r>
              <w:rPr>
                <w:rFonts w:hint="eastAsia"/>
                <w:spacing w:val="-9"/>
                <w:lang w:val="en-US" w:eastAsia="zh-CN"/>
              </w:rPr>
              <w:t>,打破了外资在我国轨道交通减振降噪行业的垄断，实现了该项技术和产品的国产化替代。</w:t>
            </w:r>
            <w:r>
              <w:rPr>
                <w:spacing w:val="-4"/>
              </w:rPr>
              <w:t>2023年1月18日</w:t>
            </w:r>
            <w:r>
              <w:rPr>
                <w:rFonts w:hint="eastAsia"/>
                <w:spacing w:val="-4"/>
                <w:lang w:val="en-US" w:eastAsia="zh-CN"/>
              </w:rPr>
              <w:t>公司</w:t>
            </w:r>
            <w:r>
              <w:rPr>
                <w:spacing w:val="-4"/>
              </w:rPr>
              <w:t>登录上交所科创板，成为新噪声法时代下科创板首只轨道交通声学环保新股。</w:t>
            </w:r>
          </w:p>
          <w:p w14:paraId="6E67341E">
            <w:pPr>
              <w:pStyle w:val="7"/>
              <w:autoSpaceDE/>
              <w:autoSpaceDN/>
              <w:spacing w:before="38" w:line="233" w:lineRule="auto"/>
              <w:ind w:left="0" w:right="101" w:firstLine="464" w:firstLineChars="200"/>
              <w:jc w:val="both"/>
              <w:rPr>
                <w:rFonts w:hint="eastAsia"/>
                <w:spacing w:val="-4"/>
                <w:lang w:val="en-US" w:eastAsia="zh-CN"/>
              </w:rPr>
            </w:pPr>
            <w:r>
              <w:rPr>
                <w:rFonts w:hint="eastAsia"/>
                <w:spacing w:val="-4"/>
                <w:lang w:val="en-US" w:eastAsia="zh-CN"/>
              </w:rPr>
              <w:t>近年来，九州一轨围绕声音的物理属性和信息属性，深化大数据和工业人工智能的研发与应用，完成了噪声污染物理防治和声纹信息数据运用两大业务方向的产业链梳理，在技术和产品领域完成了从产品提供商到数据服务商的转型，并构建了“一核两翼多板块”的业务格局：</w:t>
            </w:r>
          </w:p>
          <w:p w14:paraId="715DFAC0">
            <w:pPr>
              <w:pStyle w:val="7"/>
              <w:autoSpaceDE/>
              <w:autoSpaceDN/>
              <w:spacing w:before="38" w:line="233" w:lineRule="auto"/>
              <w:ind w:left="0" w:right="101" w:firstLine="464" w:firstLineChars="200"/>
              <w:jc w:val="both"/>
              <w:rPr>
                <w:rFonts w:hint="eastAsia"/>
                <w:spacing w:val="-4"/>
                <w:lang w:val="en-US" w:eastAsia="zh-CN"/>
              </w:rPr>
            </w:pPr>
            <w:r>
              <w:rPr>
                <w:rFonts w:hint="eastAsia"/>
                <w:spacing w:val="-4"/>
                <w:lang w:val="en-US" w:eastAsia="zh-CN"/>
              </w:rPr>
              <w:t>“一核”即声学专业研究，深入解析噪声振动的物理属性和信息属性。</w:t>
            </w:r>
          </w:p>
          <w:p w14:paraId="0719552E">
            <w:pPr>
              <w:pStyle w:val="7"/>
              <w:autoSpaceDE/>
              <w:autoSpaceDN/>
              <w:spacing w:before="38" w:line="233" w:lineRule="auto"/>
              <w:ind w:left="0" w:right="101" w:firstLine="464" w:firstLineChars="200"/>
              <w:jc w:val="both"/>
              <w:rPr>
                <w:rFonts w:hint="eastAsia"/>
                <w:spacing w:val="-4"/>
                <w:lang w:val="en-US" w:eastAsia="zh-CN"/>
              </w:rPr>
            </w:pPr>
            <w:r>
              <w:rPr>
                <w:rFonts w:hint="eastAsia"/>
                <w:spacing w:val="-4"/>
                <w:lang w:val="en-US" w:eastAsia="zh-CN"/>
              </w:rPr>
              <w:t>“两翼”即精准物理防治和声纹诊断开发，具体包括：基于防治主体的物理属性，研发与运用减振降噪技术和系列产品，实现噪声振动污染精准物理防治业务；基于防治主体的声纹信息属性，以声纹解译为手段，运用人工智能、声纹数据和状态监测等新技术，拓展智慧运维、结构安全和病害治理等声纹诊断开发业务。</w:t>
            </w:r>
          </w:p>
          <w:p w14:paraId="107CE058">
            <w:pPr>
              <w:pStyle w:val="7"/>
              <w:autoSpaceDE/>
              <w:autoSpaceDN/>
              <w:spacing w:before="38" w:line="233" w:lineRule="auto"/>
              <w:ind w:left="0" w:right="101" w:firstLine="464" w:firstLineChars="200"/>
              <w:jc w:val="both"/>
              <w:rPr>
                <w:rFonts w:hint="eastAsia"/>
                <w:spacing w:val="-4"/>
                <w:lang w:val="en-US" w:eastAsia="zh-CN"/>
              </w:rPr>
            </w:pPr>
            <w:r>
              <w:rPr>
                <w:rFonts w:hint="eastAsia"/>
                <w:spacing w:val="-4"/>
                <w:lang w:val="en-US" w:eastAsia="zh-CN"/>
              </w:rPr>
              <w:t>“多板块”即上述技术和产品在轨道交通、工业与民用建筑、机械装备、船舶工程等多场景的应用。</w:t>
            </w:r>
          </w:p>
          <w:p w14:paraId="29E84C56">
            <w:pPr>
              <w:pStyle w:val="7"/>
              <w:autoSpaceDE/>
              <w:autoSpaceDN/>
              <w:spacing w:before="38" w:line="233" w:lineRule="auto"/>
              <w:ind w:right="101"/>
              <w:jc w:val="both"/>
              <w:rPr>
                <w:spacing w:val="-4"/>
              </w:rPr>
            </w:pPr>
          </w:p>
          <w:p w14:paraId="6B0070EC">
            <w:pPr>
              <w:pStyle w:val="7"/>
              <w:numPr>
                <w:ilvl w:val="0"/>
                <w:numId w:val="1"/>
              </w:numPr>
              <w:autoSpaceDE/>
              <w:autoSpaceDN/>
              <w:spacing w:before="30" w:line="228" w:lineRule="auto"/>
              <w:ind w:left="0" w:right="255" w:firstLine="470" w:firstLineChars="200"/>
              <w:jc w:val="both"/>
              <w:rPr>
                <w:rFonts w:hint="eastAsia"/>
                <w:b/>
                <w:bCs/>
                <w:spacing w:val="-3"/>
                <w:lang w:val="en-US" w:eastAsia="zh-CN"/>
              </w:rPr>
            </w:pPr>
            <w:r>
              <w:rPr>
                <w:rFonts w:hint="eastAsia"/>
                <w:b/>
                <w:bCs/>
                <w:spacing w:val="-3"/>
                <w:lang w:val="en-US" w:eastAsia="zh-CN"/>
              </w:rPr>
              <w:t>公司分业务收入情况</w:t>
            </w:r>
          </w:p>
          <w:p w14:paraId="6F96A6D0">
            <w:pPr>
              <w:pStyle w:val="7"/>
              <w:spacing w:before="38" w:line="233" w:lineRule="auto"/>
              <w:ind w:left="0" w:right="101" w:firstLine="400" w:firstLineChars="200"/>
              <w:jc w:val="both"/>
              <w:rPr>
                <w:rFonts w:hint="eastAsia"/>
                <w:b/>
                <w:bCs/>
                <w:spacing w:val="-3"/>
                <w:lang w:val="en-US" w:eastAsia="zh-CN"/>
              </w:rPr>
            </w:pPr>
            <w:r>
              <w:rPr>
                <w:spacing w:val="-20"/>
              </w:rPr>
              <w:t>回复：</w:t>
            </w:r>
          </w:p>
          <w:p w14:paraId="5595D427">
            <w:pPr>
              <w:pStyle w:val="7"/>
              <w:autoSpaceDE/>
              <w:autoSpaceDN/>
              <w:spacing w:before="30" w:line="228" w:lineRule="auto"/>
              <w:ind w:right="255" w:firstLine="504" w:firstLineChars="200"/>
              <w:jc w:val="both"/>
              <w:rPr>
                <w:rFonts w:hint="eastAsia" w:eastAsia="宋体"/>
                <w:spacing w:val="6"/>
                <w:lang w:val="en-US" w:eastAsia="zh-CN"/>
                <w:rPrChange w:id="0" w:author="Melody" w:date="2024-10-23T15:52:18Z">
                  <w:rPr>
                    <w:rFonts w:hint="eastAsia" w:eastAsia="宋体"/>
                    <w:spacing w:val="6"/>
                    <w:lang w:val="en-US" w:eastAsia="zh-CN"/>
                  </w:rPr>
                </w:rPrChange>
              </w:rPr>
            </w:pPr>
            <w:r>
              <w:rPr>
                <w:rFonts w:hint="eastAsia"/>
                <w:spacing w:val="6"/>
                <w:lang w:val="en-US" w:eastAsia="zh-CN"/>
              </w:rPr>
              <w:t>公司2023年年度主营业务收入273,560,164.86元，其中钢弹簧浮置道床减振系统收入71,474,162.87元，占比26.13%；预制式钢弹簧浮置板收入112,859,673.</w:t>
            </w:r>
            <w:bookmarkStart w:id="0" w:name="_GoBack"/>
            <w:bookmarkEnd w:id="0"/>
            <w:r>
              <w:rPr>
                <w:rFonts w:hint="eastAsia"/>
                <w:spacing w:val="6"/>
                <w:lang w:val="en-US" w:eastAsia="zh-CN"/>
              </w:rPr>
              <w:t>57元，占比41.26%;声屏障收入40,364,770.1元，占比14.76%；隔离式高弹性减振垫收入2,529,401.75元，占比0.92%；重型调频钢轨耗能装置收入8,860,263.8元，占比3.24%；其他收入37,471,892.77元，占比13.7%。</w:t>
            </w:r>
          </w:p>
          <w:p w14:paraId="5D5BDF53">
            <w:pPr>
              <w:pStyle w:val="7"/>
              <w:autoSpaceDE/>
              <w:autoSpaceDN/>
              <w:spacing w:before="38" w:line="233" w:lineRule="auto"/>
              <w:ind w:left="0" w:right="101" w:firstLine="464" w:firstLineChars="200"/>
              <w:jc w:val="both"/>
              <w:rPr>
                <w:spacing w:val="-4"/>
              </w:rPr>
            </w:pPr>
          </w:p>
          <w:p w14:paraId="62837DE5">
            <w:pPr>
              <w:pStyle w:val="7"/>
              <w:numPr>
                <w:ilvl w:val="0"/>
                <w:numId w:val="1"/>
              </w:numPr>
              <w:autoSpaceDE/>
              <w:autoSpaceDN/>
              <w:spacing w:before="30" w:line="228" w:lineRule="auto"/>
              <w:ind w:left="0" w:right="255" w:firstLine="470" w:firstLineChars="200"/>
              <w:jc w:val="both"/>
              <w:rPr>
                <w:rFonts w:hint="eastAsia"/>
                <w:b/>
                <w:bCs/>
                <w:spacing w:val="-3"/>
                <w:lang w:val="en-US" w:eastAsia="zh-CN"/>
              </w:rPr>
            </w:pPr>
            <w:r>
              <w:rPr>
                <w:rFonts w:hint="eastAsia"/>
                <w:b/>
                <w:bCs/>
                <w:spacing w:val="-3"/>
                <w:lang w:val="en-US" w:eastAsia="zh-CN"/>
              </w:rPr>
              <w:t>公司的前五大股东及持股比例</w:t>
            </w:r>
          </w:p>
          <w:p w14:paraId="64D1552F">
            <w:pPr>
              <w:pStyle w:val="7"/>
              <w:spacing w:before="38" w:line="233" w:lineRule="auto"/>
              <w:ind w:left="0" w:right="101" w:firstLine="400" w:firstLineChars="200"/>
              <w:jc w:val="both"/>
              <w:rPr>
                <w:rFonts w:hint="eastAsia"/>
                <w:b/>
                <w:bCs/>
                <w:spacing w:val="-3"/>
                <w:lang w:val="en-US" w:eastAsia="zh-CN"/>
              </w:rPr>
            </w:pPr>
            <w:r>
              <w:rPr>
                <w:spacing w:val="-20"/>
              </w:rPr>
              <w:t>回复：</w:t>
            </w:r>
          </w:p>
          <w:p w14:paraId="7BA331BD">
            <w:pPr>
              <w:pStyle w:val="7"/>
              <w:autoSpaceDE/>
              <w:autoSpaceDN/>
              <w:spacing w:before="30" w:line="228" w:lineRule="auto"/>
              <w:ind w:left="0" w:right="255" w:firstLine="504" w:firstLineChars="200"/>
              <w:jc w:val="both"/>
              <w:rPr>
                <w:rFonts w:hint="default"/>
                <w:spacing w:val="6"/>
                <w:lang w:val="en-US" w:eastAsia="zh-CN"/>
              </w:rPr>
            </w:pPr>
            <w:r>
              <w:rPr>
                <w:rFonts w:hint="eastAsia"/>
                <w:spacing w:val="6"/>
                <w:lang w:val="en-US" w:eastAsia="zh-CN"/>
              </w:rPr>
              <w:t>截至2024年6月30日，公司前五大股东分别为北京市基础设施投资有限公司、广州轨道交通产业投资发展基金（有限合伙）、北京国奥时代新能源技术发展有限公司、北京市科学技术研究院城市安全与环境科学研究所（北京市劳动保护科学研究所）、惠州展腾新兴创业投资合伙企业（有限合伙），持股比例分别为16.63%、8.25%、5.64%、5.26%、4.13%。</w:t>
            </w:r>
          </w:p>
          <w:p w14:paraId="7A49BC6D">
            <w:pPr>
              <w:pStyle w:val="7"/>
              <w:autoSpaceDE/>
              <w:autoSpaceDN/>
              <w:spacing w:before="30" w:line="228" w:lineRule="auto"/>
              <w:ind w:left="0" w:right="255" w:firstLine="504" w:firstLineChars="200"/>
              <w:jc w:val="both"/>
              <w:rPr>
                <w:rFonts w:hint="default"/>
                <w:spacing w:val="6"/>
                <w:lang w:val="en-US" w:eastAsia="zh-CN"/>
              </w:rPr>
            </w:pPr>
          </w:p>
          <w:p w14:paraId="1637E195">
            <w:pPr>
              <w:pStyle w:val="7"/>
              <w:numPr>
                <w:ilvl w:val="0"/>
                <w:numId w:val="1"/>
              </w:numPr>
              <w:autoSpaceDE/>
              <w:autoSpaceDN/>
              <w:spacing w:before="30" w:line="228" w:lineRule="auto"/>
              <w:ind w:left="0" w:right="255" w:firstLine="470" w:firstLineChars="200"/>
              <w:jc w:val="both"/>
              <w:rPr>
                <w:rFonts w:hint="default"/>
                <w:b/>
                <w:bCs/>
                <w:spacing w:val="-3"/>
                <w:lang w:val="en-US" w:eastAsia="zh-CN"/>
              </w:rPr>
            </w:pPr>
            <w:r>
              <w:rPr>
                <w:rFonts w:hint="eastAsia"/>
                <w:b/>
                <w:bCs/>
                <w:spacing w:val="-3"/>
                <w:lang w:val="en-US" w:eastAsia="zh-CN"/>
              </w:rPr>
              <w:t>公司员工构成</w:t>
            </w:r>
          </w:p>
          <w:p w14:paraId="03EE533B">
            <w:pPr>
              <w:pStyle w:val="7"/>
              <w:autoSpaceDE/>
              <w:autoSpaceDN/>
              <w:spacing w:before="30" w:line="228" w:lineRule="auto"/>
              <w:ind w:left="0" w:right="255" w:firstLine="418" w:firstLineChars="209"/>
              <w:jc w:val="both"/>
              <w:rPr>
                <w:spacing w:val="-20"/>
              </w:rPr>
            </w:pPr>
            <w:r>
              <w:rPr>
                <w:spacing w:val="-20"/>
              </w:rPr>
              <w:t>回复：</w:t>
            </w:r>
          </w:p>
          <w:p w14:paraId="53B3F029">
            <w:pPr>
              <w:pStyle w:val="7"/>
              <w:autoSpaceDE/>
              <w:autoSpaceDN/>
              <w:spacing w:before="30" w:line="228" w:lineRule="auto"/>
              <w:ind w:right="255" w:firstLine="504" w:firstLineChars="200"/>
              <w:jc w:val="both"/>
              <w:rPr>
                <w:rFonts w:hint="default" w:eastAsia="宋体"/>
                <w:spacing w:val="6"/>
                <w:lang w:val="en-US" w:eastAsia="zh-CN"/>
              </w:rPr>
            </w:pPr>
            <w:r>
              <w:rPr>
                <w:rFonts w:hint="eastAsia"/>
                <w:spacing w:val="6"/>
                <w:lang w:val="en-US" w:eastAsia="zh-CN"/>
              </w:rPr>
              <w:t>截至202</w:t>
            </w:r>
            <w:r>
              <w:rPr>
                <w:rFonts w:hint="default"/>
                <w:spacing w:val="6"/>
                <w:lang w:val="en-US" w:eastAsia="zh-CN"/>
              </w:rPr>
              <w:t>3</w:t>
            </w:r>
            <w:r>
              <w:rPr>
                <w:rFonts w:hint="eastAsia"/>
                <w:spacing w:val="6"/>
                <w:lang w:val="en-US" w:eastAsia="zh-CN"/>
              </w:rPr>
              <w:t>年</w:t>
            </w:r>
            <w:r>
              <w:rPr>
                <w:rFonts w:hint="default"/>
                <w:spacing w:val="6"/>
                <w:lang w:val="en-US" w:eastAsia="zh-CN"/>
              </w:rPr>
              <w:t>12</w:t>
            </w:r>
            <w:r>
              <w:rPr>
                <w:rFonts w:hint="eastAsia"/>
                <w:spacing w:val="6"/>
                <w:lang w:val="en-US" w:eastAsia="zh-CN"/>
              </w:rPr>
              <w:t>月31日，公司在职员工211名，其中研发人员37名，占比17.5%;工程技术人员35名，占比16.6%；市场及销售人员24名，占比11.4%。</w:t>
            </w:r>
          </w:p>
          <w:p w14:paraId="387CC609">
            <w:pPr>
              <w:pStyle w:val="7"/>
              <w:autoSpaceDE/>
              <w:autoSpaceDN/>
              <w:spacing w:before="30" w:line="228" w:lineRule="auto"/>
              <w:ind w:right="255"/>
              <w:jc w:val="both"/>
              <w:rPr>
                <w:rFonts w:hint="eastAsia" w:ascii="宋体" w:hAnsi="宋体" w:eastAsia="宋体" w:cs="宋体"/>
                <w:spacing w:val="-1"/>
                <w:lang w:eastAsia="zh-CN"/>
              </w:rPr>
            </w:pPr>
          </w:p>
          <w:p w14:paraId="5991EBCF">
            <w:pPr>
              <w:pStyle w:val="7"/>
              <w:numPr>
                <w:ilvl w:val="-1"/>
                <w:numId w:val="0"/>
              </w:numPr>
              <w:autoSpaceDE/>
              <w:autoSpaceDN/>
              <w:spacing w:before="30" w:line="228" w:lineRule="auto"/>
              <w:ind w:right="255" w:firstLine="470" w:firstLineChars="200"/>
              <w:jc w:val="both"/>
              <w:rPr>
                <w:rFonts w:hint="default"/>
                <w:b/>
                <w:bCs/>
                <w:spacing w:val="-3"/>
                <w:lang w:val="en-US" w:eastAsia="zh-CN"/>
              </w:rPr>
            </w:pPr>
            <w:r>
              <w:rPr>
                <w:rFonts w:hint="eastAsia" w:cs="宋体"/>
                <w:b/>
                <w:bCs/>
                <w:snapToGrid w:val="0"/>
                <w:color w:val="000000"/>
                <w:spacing w:val="-3"/>
                <w:kern w:val="0"/>
                <w:sz w:val="24"/>
                <w:szCs w:val="24"/>
                <w:lang w:val="en-US" w:eastAsia="zh-CN" w:bidi="ar-SA"/>
              </w:rPr>
              <w:t>五</w:t>
            </w:r>
            <w:r>
              <w:rPr>
                <w:rFonts w:hint="eastAsia" w:ascii="宋体" w:hAnsi="宋体" w:eastAsia="宋体" w:cs="宋体"/>
                <w:b/>
                <w:bCs/>
                <w:snapToGrid w:val="0"/>
                <w:color w:val="000000"/>
                <w:spacing w:val="-3"/>
                <w:kern w:val="0"/>
                <w:sz w:val="24"/>
                <w:szCs w:val="24"/>
                <w:lang w:val="en-US" w:eastAsia="zh-CN" w:bidi="ar-SA"/>
              </w:rPr>
              <w:t>、</w:t>
            </w:r>
            <w:r>
              <w:rPr>
                <w:rFonts w:ascii="宋体" w:hAnsi="宋体" w:eastAsia="宋体" w:cs="宋体"/>
                <w:b/>
                <w:bCs/>
                <w:sz w:val="24"/>
                <w:szCs w:val="24"/>
              </w:rPr>
              <w:t>城市轨道交通振动与噪声控制工程技术中心</w:t>
            </w:r>
            <w:r>
              <w:rPr>
                <w:rFonts w:hint="eastAsia" w:cs="宋体"/>
                <w:b/>
                <w:bCs/>
                <w:snapToGrid w:val="0"/>
                <w:color w:val="000000"/>
                <w:spacing w:val="-3"/>
                <w:kern w:val="0"/>
                <w:sz w:val="24"/>
                <w:szCs w:val="24"/>
                <w:lang w:val="en-US" w:eastAsia="zh-CN" w:bidi="ar-SA"/>
              </w:rPr>
              <w:t>介绍</w:t>
            </w:r>
          </w:p>
          <w:p w14:paraId="74264473">
            <w:pPr>
              <w:pStyle w:val="7"/>
              <w:numPr>
                <w:ilvl w:val="-1"/>
                <w:numId w:val="0"/>
              </w:numPr>
              <w:autoSpaceDE/>
              <w:autoSpaceDN/>
              <w:spacing w:before="30" w:line="228" w:lineRule="auto"/>
              <w:ind w:right="255" w:firstLine="468" w:firstLineChars="200"/>
              <w:jc w:val="both"/>
              <w:rPr>
                <w:rFonts w:hint="eastAsia"/>
                <w:spacing w:val="6"/>
              </w:rPr>
            </w:pPr>
            <w:r>
              <w:rPr>
                <w:rFonts w:hint="eastAsia"/>
                <w:b w:val="0"/>
                <w:bCs w:val="0"/>
                <w:spacing w:val="-3"/>
                <w:lang w:val="en-US" w:eastAsia="zh-CN"/>
              </w:rPr>
              <w:t>回复：</w:t>
            </w:r>
          </w:p>
          <w:p w14:paraId="29E477EA">
            <w:pPr>
              <w:pStyle w:val="7"/>
              <w:autoSpaceDE/>
              <w:autoSpaceDN/>
              <w:spacing w:before="30" w:line="228" w:lineRule="auto"/>
              <w:ind w:left="0" w:right="255" w:firstLine="480" w:firstLineChars="200"/>
              <w:jc w:val="both"/>
              <w:rPr>
                <w:rFonts w:ascii="宋体" w:hAnsi="宋体" w:eastAsia="宋体" w:cs="宋体"/>
                <w:sz w:val="24"/>
                <w:szCs w:val="24"/>
              </w:rPr>
            </w:pPr>
            <w:r>
              <w:rPr>
                <w:rFonts w:hint="eastAsia" w:ascii="宋体" w:hAnsi="宋体" w:eastAsia="宋体" w:cs="宋体"/>
                <w:sz w:val="24"/>
                <w:szCs w:val="24"/>
                <w:lang w:val="en-US" w:eastAsia="zh-CN"/>
              </w:rPr>
              <w:t>2023年8月，</w:t>
            </w:r>
            <w:r>
              <w:rPr>
                <w:rFonts w:ascii="宋体" w:hAnsi="宋体" w:eastAsia="宋体" w:cs="宋体"/>
                <w:sz w:val="24"/>
                <w:szCs w:val="24"/>
              </w:rPr>
              <w:t>中华人民共和国生态环境部同意依托北京九州一轨环境科技股份有限公司建设国家环境保护城市轨道交通振动与噪声控制工程技术中心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简称“工程技术中心”</w:t>
            </w:r>
            <w:r>
              <w:rPr>
                <w:rFonts w:hint="eastAsia" w:ascii="宋体" w:hAnsi="宋体" w:eastAsia="宋体" w:cs="宋体"/>
                <w:sz w:val="24"/>
                <w:szCs w:val="24"/>
                <w:lang w:eastAsia="zh-CN"/>
              </w:rPr>
              <w:t>）</w:t>
            </w:r>
            <w:r>
              <w:rPr>
                <w:rFonts w:ascii="宋体" w:hAnsi="宋体" w:eastAsia="宋体" w:cs="宋体"/>
                <w:sz w:val="24"/>
                <w:szCs w:val="24"/>
              </w:rPr>
              <w:t>。</w:t>
            </w:r>
          </w:p>
          <w:p w14:paraId="3F70A7BA">
            <w:pPr>
              <w:pStyle w:val="7"/>
              <w:autoSpaceDE/>
              <w:autoSpaceDN/>
              <w:spacing w:before="30" w:line="228" w:lineRule="auto"/>
              <w:ind w:left="0" w:right="255" w:firstLine="480" w:firstLineChars="200"/>
              <w:jc w:val="both"/>
              <w:rPr>
                <w:spacing w:val="-4"/>
              </w:rPr>
            </w:pPr>
            <w:r>
              <w:rPr>
                <w:rFonts w:hint="eastAsia" w:ascii="宋体" w:hAnsi="宋体" w:eastAsia="宋体" w:cs="宋体"/>
                <w:sz w:val="24"/>
                <w:szCs w:val="24"/>
              </w:rPr>
              <w:t>根据《关于同意建设国家环境保护城市轨道交通振动与噪声控制工程技术中心的函》（环科财函〔2023〕74号）的要求，国家环境保护城市轨道交通振动与噪声控制工程技术中心的主要任务是围绕我国城市轨道交通振动与噪声控制技术的发展和产业化需求，在轨道交通减振降噪全生命周期管理、声纹解析与轨道病害治理、车辆站场上盖开发振动噪声专项精准防治、行业装备研发制造等领域开展系统性研究，突破一批新材料、新技术、新工艺和新装备。以减振降噪基础材料创新、关键工艺创新、设计方法创新、制造技术突破等推动我国城市轨道技术创新和产业化应用，建立城市轨道交通振动与噪声创新技术评估与验证平台，培养专业化人才团队，为国家和地方环境管理提供政策、标准、规范以及工程技术、设施运行管理等多维度支撑。</w:t>
            </w:r>
          </w:p>
        </w:tc>
      </w:tr>
      <w:tr w14:paraId="3714A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407" w:type="dxa"/>
            <w:shd w:val="clear" w:color="auto" w:fill="auto"/>
            <w:vAlign w:val="top"/>
          </w:tcPr>
          <w:p w14:paraId="416691D0">
            <w:pPr>
              <w:spacing w:line="275" w:lineRule="auto"/>
              <w:rPr>
                <w:rFonts w:ascii="Arial"/>
                <w:sz w:val="21"/>
              </w:rPr>
            </w:pPr>
          </w:p>
          <w:p w14:paraId="60E3C6F8">
            <w:pPr>
              <w:pStyle w:val="7"/>
              <w:spacing w:before="78" w:line="219" w:lineRule="auto"/>
              <w:ind w:left="261" w:leftChars="0"/>
              <w:rPr>
                <w:rFonts w:ascii="宋体" w:hAnsi="宋体" w:eastAsia="宋体" w:cs="宋体"/>
                <w:snapToGrid w:val="0"/>
                <w:color w:val="000000"/>
                <w:kern w:val="0"/>
                <w:sz w:val="24"/>
                <w:szCs w:val="24"/>
                <w:lang w:val="en-US" w:eastAsia="en-US" w:bidi="ar-SA"/>
              </w:rPr>
            </w:pPr>
            <w:r>
              <w:rPr>
                <w:b/>
                <w:bCs/>
                <w:spacing w:val="-6"/>
              </w:rPr>
              <w:t>附件清单（如有）</w:t>
            </w:r>
          </w:p>
        </w:tc>
        <w:tc>
          <w:tcPr>
            <w:tcW w:w="5888" w:type="dxa"/>
            <w:shd w:val="clear" w:color="auto" w:fill="auto"/>
            <w:vAlign w:val="top"/>
          </w:tcPr>
          <w:p w14:paraId="5355E037">
            <w:pPr>
              <w:spacing w:line="275" w:lineRule="auto"/>
              <w:rPr>
                <w:rFonts w:ascii="Arial"/>
                <w:sz w:val="21"/>
              </w:rPr>
            </w:pPr>
          </w:p>
          <w:p w14:paraId="14E2900C">
            <w:pPr>
              <w:pStyle w:val="7"/>
              <w:spacing w:before="78" w:line="220" w:lineRule="auto"/>
              <w:ind w:left="2829" w:leftChars="0"/>
              <w:rPr>
                <w:rFonts w:hint="eastAsia" w:ascii="宋体" w:hAnsi="宋体" w:eastAsia="宋体" w:cs="宋体"/>
                <w:snapToGrid w:val="0"/>
                <w:color w:val="000000"/>
                <w:kern w:val="0"/>
                <w:sz w:val="24"/>
                <w:szCs w:val="24"/>
                <w:lang w:val="en-US" w:eastAsia="zh-CN" w:bidi="ar-SA"/>
              </w:rPr>
            </w:pPr>
            <w:r>
              <w:t>无</w:t>
            </w:r>
          </w:p>
        </w:tc>
      </w:tr>
      <w:tr w14:paraId="6D5EE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407" w:type="dxa"/>
            <w:shd w:val="clear" w:color="auto" w:fill="auto"/>
            <w:vAlign w:val="top"/>
          </w:tcPr>
          <w:p w14:paraId="5EBA8452">
            <w:pPr>
              <w:spacing w:line="270" w:lineRule="auto"/>
              <w:rPr>
                <w:rFonts w:ascii="Arial"/>
                <w:sz w:val="21"/>
              </w:rPr>
            </w:pPr>
          </w:p>
          <w:p w14:paraId="34643E15">
            <w:pPr>
              <w:pStyle w:val="7"/>
              <w:spacing w:before="78" w:line="220" w:lineRule="auto"/>
              <w:ind w:left="1007" w:leftChars="0"/>
              <w:rPr>
                <w:rFonts w:ascii="宋体" w:hAnsi="宋体" w:eastAsia="宋体" w:cs="宋体"/>
                <w:snapToGrid w:val="0"/>
                <w:color w:val="000000"/>
                <w:kern w:val="0"/>
                <w:sz w:val="24"/>
                <w:szCs w:val="24"/>
                <w:lang w:val="en-US" w:eastAsia="en-US" w:bidi="ar-SA"/>
              </w:rPr>
            </w:pPr>
            <w:r>
              <w:rPr>
                <w:b/>
                <w:bCs/>
                <w:spacing w:val="-28"/>
              </w:rPr>
              <w:t>日期</w:t>
            </w:r>
          </w:p>
        </w:tc>
        <w:tc>
          <w:tcPr>
            <w:tcW w:w="5888" w:type="dxa"/>
            <w:shd w:val="clear" w:color="auto" w:fill="auto"/>
            <w:vAlign w:val="top"/>
          </w:tcPr>
          <w:p w14:paraId="218C5AB6">
            <w:pPr>
              <w:spacing w:line="269" w:lineRule="auto"/>
              <w:rPr>
                <w:rFonts w:ascii="Arial"/>
                <w:sz w:val="21"/>
              </w:rPr>
            </w:pPr>
          </w:p>
          <w:p w14:paraId="3C761C97">
            <w:pPr>
              <w:pStyle w:val="7"/>
              <w:spacing w:before="78" w:line="220" w:lineRule="auto"/>
              <w:ind w:left="2013" w:leftChars="0"/>
              <w:rPr>
                <w:rFonts w:hint="eastAsia" w:ascii="宋体" w:hAnsi="宋体" w:eastAsia="宋体" w:cs="宋体"/>
                <w:snapToGrid w:val="0"/>
                <w:color w:val="000000"/>
                <w:kern w:val="0"/>
                <w:sz w:val="24"/>
                <w:szCs w:val="24"/>
                <w:lang w:val="en-US" w:eastAsia="zh-CN" w:bidi="ar-SA"/>
              </w:rPr>
            </w:pPr>
            <w:r>
              <w:rPr>
                <w:rFonts w:ascii="Times New Roman" w:hAnsi="Times New Roman" w:eastAsia="Times New Roman" w:cs="Times New Roman"/>
                <w:spacing w:val="-6"/>
              </w:rPr>
              <w:t>2024</w:t>
            </w:r>
            <w:r>
              <w:rPr>
                <w:spacing w:val="-6"/>
              </w:rPr>
              <w:t>年</w:t>
            </w:r>
            <w:r>
              <w:rPr>
                <w:rFonts w:hint="eastAsia"/>
                <w:spacing w:val="-6"/>
                <w:lang w:val="en-US" w:eastAsia="zh-CN"/>
              </w:rPr>
              <w:t>10</w:t>
            </w:r>
            <w:r>
              <w:rPr>
                <w:spacing w:val="-6"/>
              </w:rPr>
              <w:t>月</w:t>
            </w:r>
            <w:r>
              <w:rPr>
                <w:rFonts w:hint="eastAsia" w:ascii="Times New Roman" w:hAnsi="Times New Roman" w:cs="Times New Roman"/>
                <w:spacing w:val="-6"/>
                <w:lang w:val="en-US" w:eastAsia="zh-CN"/>
              </w:rPr>
              <w:t>24</w:t>
            </w:r>
            <w:r>
              <w:rPr>
                <w:spacing w:val="-6"/>
              </w:rPr>
              <w:t>日</w:t>
            </w:r>
          </w:p>
        </w:tc>
      </w:tr>
    </w:tbl>
    <w:p w14:paraId="759D4C07">
      <w:pPr>
        <w:rPr>
          <w:rFonts w:ascii="Arial"/>
          <w:sz w:val="21"/>
        </w:rPr>
      </w:pPr>
    </w:p>
    <w:p w14:paraId="79377823">
      <w:pPr>
        <w:spacing w:line="91" w:lineRule="auto"/>
        <w:rPr>
          <w:rFonts w:ascii="Arial"/>
          <w:sz w:val="2"/>
        </w:rPr>
      </w:pPr>
    </w:p>
    <w:p w14:paraId="6B63DA9C">
      <w:pPr>
        <w:rPr>
          <w:rFonts w:hint="eastAsia" w:ascii="Arial" w:hAnsi="Arial" w:eastAsia="Arial" w:cs="Arial"/>
          <w:sz w:val="21"/>
          <w:szCs w:val="21"/>
          <w:lang w:val="en-US" w:eastAsia="zh-CN"/>
        </w:rPr>
      </w:pP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29B50F"/>
    <w:multiLevelType w:val="singleLevel"/>
    <w:tmpl w:val="B229B50F"/>
    <w:lvl w:ilvl="0" w:tentative="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elody">
    <w15:presenceInfo w15:providerId="WPS Office" w15:userId="20275201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displayBackgroundShape w:val="1"/>
  <w:bordersDoNotSurroundHeader w:val="0"/>
  <w:bordersDoNotSurroundFooter w:val="0"/>
  <w:trackRevisions w:val="1"/>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QzZTNiZDBmMTk2NWU5YTI1YmZlN2M0MjhhMjg3NzYifQ=="/>
  </w:docVars>
  <w:rsids>
    <w:rsidRoot w:val="00000000"/>
    <w:rsid w:val="007C0F2D"/>
    <w:rsid w:val="01102D92"/>
    <w:rsid w:val="015E533E"/>
    <w:rsid w:val="01852593"/>
    <w:rsid w:val="0190108A"/>
    <w:rsid w:val="03385D0B"/>
    <w:rsid w:val="034B0503"/>
    <w:rsid w:val="04AC5B58"/>
    <w:rsid w:val="07487DBA"/>
    <w:rsid w:val="087936BC"/>
    <w:rsid w:val="0A4A3E4A"/>
    <w:rsid w:val="0EA53D44"/>
    <w:rsid w:val="0F02798F"/>
    <w:rsid w:val="10505F32"/>
    <w:rsid w:val="11E132E5"/>
    <w:rsid w:val="12B544C5"/>
    <w:rsid w:val="15DF7B3C"/>
    <w:rsid w:val="19FD3FDF"/>
    <w:rsid w:val="1AB126A6"/>
    <w:rsid w:val="1B123F0C"/>
    <w:rsid w:val="1B2D1349"/>
    <w:rsid w:val="1E322697"/>
    <w:rsid w:val="25B9690B"/>
    <w:rsid w:val="2698258D"/>
    <w:rsid w:val="27D5362B"/>
    <w:rsid w:val="28527FD1"/>
    <w:rsid w:val="2ABC3C34"/>
    <w:rsid w:val="2D216834"/>
    <w:rsid w:val="2DB33930"/>
    <w:rsid w:val="30F06952"/>
    <w:rsid w:val="312A215B"/>
    <w:rsid w:val="33B06E98"/>
    <w:rsid w:val="379D0487"/>
    <w:rsid w:val="3B7A3CDF"/>
    <w:rsid w:val="3B893F22"/>
    <w:rsid w:val="3F055FB6"/>
    <w:rsid w:val="43E443EC"/>
    <w:rsid w:val="45B822D1"/>
    <w:rsid w:val="46C6427C"/>
    <w:rsid w:val="470513F8"/>
    <w:rsid w:val="4764741D"/>
    <w:rsid w:val="48BD345D"/>
    <w:rsid w:val="48C04CFB"/>
    <w:rsid w:val="4A031344"/>
    <w:rsid w:val="4A4C728D"/>
    <w:rsid w:val="4BE62CCB"/>
    <w:rsid w:val="4CBD7ED0"/>
    <w:rsid w:val="51E74D80"/>
    <w:rsid w:val="525E180D"/>
    <w:rsid w:val="537D3C18"/>
    <w:rsid w:val="5C6747DA"/>
    <w:rsid w:val="5D9C768D"/>
    <w:rsid w:val="5E4265FD"/>
    <w:rsid w:val="61D1008C"/>
    <w:rsid w:val="626D5C19"/>
    <w:rsid w:val="65E55731"/>
    <w:rsid w:val="6ACF2A05"/>
    <w:rsid w:val="6B206150"/>
    <w:rsid w:val="6D910628"/>
    <w:rsid w:val="6EC8494C"/>
    <w:rsid w:val="71CA1FE3"/>
    <w:rsid w:val="731036E9"/>
    <w:rsid w:val="73493CAC"/>
    <w:rsid w:val="76426BCC"/>
    <w:rsid w:val="7D9E7B82"/>
    <w:rsid w:val="7E3F60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autoRedefine/>
    <w:semiHidden/>
    <w:unhideWhenUsed/>
    <w:qFormat/>
    <w:uiPriority w:val="1"/>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1478</Words>
  <Characters>1676</Characters>
  <TotalTime>25</TotalTime>
  <ScaleCrop>false</ScaleCrop>
  <LinksUpToDate>false</LinksUpToDate>
  <CharactersWithSpaces>1737</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2024-03-18T03:40:00Z</dcterms:created>
  <dc:creator>荣大-李雷</dc:creator>
  <cp:lastModifiedBy>Melody</cp:lastModifiedBy>
  <dcterms:modified xsi:type="dcterms:W3CDTF">2024-10-23T07:52:22Z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2024-07-26T10:33:54Z</vt:filetime>
  </property>
  <property fmtid="{D5CDD505-2E9C-101B-9397-08002B2CF9AE}" pid="4" name="KSOProductBuildVer">
    <vt:lpwstr>2052-12.1.0.18276</vt:lpwstr>
  </property>
  <property fmtid="{D5CDD505-2E9C-101B-9397-08002B2CF9AE}" pid="5" name="ICV">
    <vt:lpwstr>7129799002E6412F9594687E005BE8B2_13</vt:lpwstr>
  </property>
</Properties>
</file>