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C2BBF">
      <w:pPr>
        <w:spacing w:line="360" w:lineRule="auto"/>
        <w:ind w:firstLine="0" w:firstLineChars="0"/>
        <w:rPr>
          <w:rFonts w:eastAsia="宋体"/>
          <w:szCs w:val="32"/>
        </w:rPr>
      </w:pPr>
      <w:r>
        <w:rPr>
          <w:rFonts w:eastAsia="宋体"/>
          <w:b/>
          <w:bCs/>
          <w:szCs w:val="32"/>
        </w:rPr>
        <w:t>证券代码：</w:t>
      </w:r>
      <w:r>
        <w:rPr>
          <w:rFonts w:eastAsia="宋体"/>
          <w:szCs w:val="32"/>
        </w:rPr>
        <w:t xml:space="preserve">688156                  </w:t>
      </w:r>
      <w:r>
        <w:rPr>
          <w:rFonts w:eastAsia="宋体"/>
          <w:b/>
          <w:bCs/>
          <w:szCs w:val="32"/>
        </w:rPr>
        <w:t>证券简称：</w:t>
      </w:r>
      <w:r>
        <w:rPr>
          <w:rFonts w:eastAsia="宋体"/>
          <w:szCs w:val="32"/>
        </w:rPr>
        <w:t>路德环境</w:t>
      </w:r>
    </w:p>
    <w:p w14:paraId="5EDA1BB5">
      <w:pPr>
        <w:spacing w:line="360" w:lineRule="auto"/>
        <w:ind w:firstLine="0" w:firstLineChars="0"/>
        <w:rPr>
          <w:rFonts w:eastAsia="宋体"/>
          <w:szCs w:val="32"/>
        </w:rPr>
      </w:pPr>
      <w:r>
        <w:rPr>
          <w:rFonts w:hint="eastAsia" w:eastAsia="宋体"/>
          <w:szCs w:val="32"/>
        </w:rPr>
        <w:t xml:space="preserve">                                                                                                                                                                                                                                                                                                                                                                                                                                                                                                                                                                                                                                                                                                                                                                                                                                                                                                                                                                                                                                                                                                                                                                                                                                                                                                                                                                                                                                                                                                                                                                                                                                                                                                                                                                                                                                                                                                                                                                                                                                  </w:t>
      </w:r>
    </w:p>
    <w:p w14:paraId="5457043F">
      <w:pPr>
        <w:spacing w:line="360" w:lineRule="auto"/>
        <w:ind w:firstLine="0" w:firstLineChars="0"/>
        <w:jc w:val="center"/>
        <w:rPr>
          <w:rFonts w:eastAsia="宋体"/>
          <w:b/>
          <w:iCs/>
          <w:color w:val="000000"/>
          <w:sz w:val="44"/>
          <w:szCs w:val="44"/>
        </w:rPr>
      </w:pPr>
      <w:r>
        <w:rPr>
          <w:rFonts w:eastAsia="宋体"/>
          <w:b/>
          <w:iCs/>
          <w:color w:val="000000"/>
          <w:sz w:val="44"/>
          <w:szCs w:val="44"/>
        </w:rPr>
        <w:t>路德环境科技股份有限公司</w:t>
      </w:r>
    </w:p>
    <w:p w14:paraId="1B2D37AE">
      <w:pPr>
        <w:spacing w:line="360" w:lineRule="auto"/>
        <w:ind w:firstLine="0" w:firstLineChars="0"/>
        <w:jc w:val="center"/>
        <w:rPr>
          <w:rFonts w:eastAsia="宋体"/>
          <w:b/>
          <w:iCs/>
          <w:color w:val="000000"/>
          <w:sz w:val="44"/>
          <w:szCs w:val="44"/>
        </w:rPr>
      </w:pPr>
      <w:r>
        <w:rPr>
          <w:rFonts w:eastAsia="宋体"/>
          <w:b/>
          <w:iCs/>
          <w:color w:val="000000"/>
          <w:sz w:val="44"/>
          <w:szCs w:val="44"/>
        </w:rPr>
        <w:t>投资者关系活动记录表</w:t>
      </w:r>
    </w:p>
    <w:p w14:paraId="3DE031F4">
      <w:pPr>
        <w:spacing w:line="360" w:lineRule="auto"/>
        <w:ind w:firstLine="0" w:firstLineChars="0"/>
        <w:jc w:val="center"/>
        <w:rPr>
          <w:rFonts w:eastAsia="宋体"/>
          <w:b/>
          <w:iCs/>
          <w:color w:val="000000"/>
          <w:sz w:val="24"/>
          <w:szCs w:val="24"/>
        </w:rPr>
      </w:pPr>
    </w:p>
    <w:p w14:paraId="3520677E">
      <w:pPr>
        <w:spacing w:line="360" w:lineRule="auto"/>
        <w:ind w:firstLine="0" w:firstLineChars="0"/>
        <w:jc w:val="right"/>
        <w:rPr>
          <w:rFonts w:eastAsia="宋体"/>
          <w:bCs/>
          <w:iCs/>
          <w:color w:val="000000"/>
          <w:sz w:val="24"/>
          <w:szCs w:val="24"/>
        </w:rPr>
      </w:pPr>
      <w:r>
        <w:rPr>
          <w:rFonts w:eastAsia="宋体"/>
          <w:bCs/>
          <w:iCs/>
          <w:color w:val="000000"/>
          <w:sz w:val="24"/>
          <w:szCs w:val="24"/>
        </w:rPr>
        <w:t xml:space="preserve">                                          编号：LDHJ </w:t>
      </w:r>
      <w:r>
        <w:rPr>
          <w:rFonts w:hint="eastAsia" w:eastAsia="宋体"/>
          <w:bCs/>
          <w:iCs/>
          <w:color w:val="000000"/>
          <w:sz w:val="24"/>
          <w:szCs w:val="24"/>
        </w:rPr>
        <w:t xml:space="preserve"> </w:t>
      </w:r>
      <w:r>
        <w:rPr>
          <w:rFonts w:eastAsia="宋体"/>
          <w:bCs/>
          <w:iCs/>
          <w:color w:val="000000"/>
          <w:sz w:val="24"/>
          <w:szCs w:val="24"/>
        </w:rPr>
        <w:t>202</w:t>
      </w:r>
      <w:r>
        <w:rPr>
          <w:rFonts w:hint="eastAsia" w:eastAsia="宋体"/>
          <w:bCs/>
          <w:iCs/>
          <w:color w:val="000000"/>
          <w:sz w:val="24"/>
          <w:szCs w:val="24"/>
        </w:rPr>
        <w:t>4-008至012</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14:paraId="0554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3F79FFC4">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投资者关系活动类别</w:t>
            </w:r>
          </w:p>
          <w:p w14:paraId="6564EF03">
            <w:pPr>
              <w:spacing w:line="360" w:lineRule="auto"/>
              <w:ind w:firstLine="0" w:firstLineChars="0"/>
              <w:jc w:val="center"/>
              <w:rPr>
                <w:rFonts w:hint="eastAsia" w:ascii="宋体" w:hAnsi="宋体" w:eastAsia="宋体" w:cs="宋体"/>
                <w:bCs/>
                <w:iCs/>
                <w:color w:val="000000"/>
                <w:sz w:val="21"/>
                <w:szCs w:val="21"/>
              </w:rPr>
            </w:pP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75A3127F">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□特定对象调研        □分析师会议</w:t>
            </w:r>
          </w:p>
          <w:p w14:paraId="7CF58365">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 xml:space="preserve">□媒体采访            </w:t>
            </w:r>
            <w:r>
              <w:rPr>
                <w:rFonts w:hint="eastAsia" w:ascii="宋体" w:hAnsi="宋体" w:eastAsia="宋体" w:cs="宋体"/>
                <w:bCs/>
                <w:iCs/>
                <w:color w:val="000000"/>
                <w:sz w:val="21"/>
                <w:szCs w:val="21"/>
              </w:rPr>
              <w:sym w:font="Wingdings 2" w:char="00A3"/>
            </w:r>
            <w:r>
              <w:rPr>
                <w:rFonts w:hint="eastAsia" w:ascii="宋体" w:hAnsi="宋体" w:eastAsia="宋体" w:cs="宋体"/>
                <w:bCs/>
                <w:iCs/>
                <w:color w:val="000000"/>
                <w:sz w:val="21"/>
                <w:szCs w:val="21"/>
              </w:rPr>
              <w:t>业绩说明会</w:t>
            </w:r>
          </w:p>
          <w:p w14:paraId="49DC6B3F">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 xml:space="preserve">□新闻发布会          </w:t>
            </w: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路演活动</w:t>
            </w:r>
          </w:p>
          <w:p w14:paraId="12668BF2">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 xml:space="preserve">□现场参观            </w:t>
            </w: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电话会议</w:t>
            </w:r>
          </w:p>
          <w:p w14:paraId="757FCF9B">
            <w:pPr>
              <w:spacing w:line="360" w:lineRule="auto"/>
              <w:ind w:firstLine="0" w:firstLineChars="0"/>
              <w:rPr>
                <w:rFonts w:hint="eastAsia" w:ascii="宋体" w:hAnsi="宋体" w:eastAsia="宋体" w:cs="宋体"/>
                <w:bCs/>
                <w:iCs/>
                <w:color w:val="000000"/>
                <w:sz w:val="21"/>
                <w:szCs w:val="21"/>
              </w:rPr>
            </w:pPr>
            <w:r>
              <w:rPr>
                <w:rFonts w:ascii="宋体" w:hAnsi="宋体" w:eastAsia="宋体" w:cs="宋体"/>
                <w:bCs/>
                <w:iCs/>
                <w:color w:val="000000"/>
                <w:sz w:val="21"/>
                <w:szCs w:val="21"/>
              </w:rPr>
              <w:t>☑</w:t>
            </w:r>
            <w:r>
              <w:rPr>
                <w:rFonts w:hint="eastAsia" w:ascii="宋体" w:hAnsi="宋体" w:eastAsia="宋体" w:cs="宋体"/>
                <w:bCs/>
                <w:iCs/>
                <w:color w:val="000000"/>
                <w:sz w:val="21"/>
                <w:szCs w:val="21"/>
              </w:rPr>
              <w:t>网络会议            □其他</w:t>
            </w:r>
          </w:p>
        </w:tc>
      </w:tr>
      <w:tr w14:paraId="114D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72E2C05E">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参与单位名称</w:t>
            </w: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5BC0357B">
            <w:pPr>
              <w:spacing w:line="360" w:lineRule="auto"/>
              <w:ind w:firstLine="420"/>
              <w:rPr>
                <w:rFonts w:hint="eastAsia" w:ascii="宋体" w:hAnsi="宋体" w:eastAsia="宋体" w:cs="宋体"/>
                <w:bCs/>
                <w:iCs/>
                <w:sz w:val="21"/>
                <w:szCs w:val="21"/>
              </w:rPr>
            </w:pPr>
            <w:r>
              <w:rPr>
                <w:rFonts w:hint="eastAsia" w:ascii="宋体" w:hAnsi="宋体" w:eastAsia="宋体" w:cs="宋体"/>
                <w:bCs/>
                <w:iCs/>
                <w:sz w:val="21"/>
                <w:szCs w:val="21"/>
              </w:rPr>
              <w:t>公司于2024年10月</w:t>
            </w:r>
            <w:r>
              <w:rPr>
                <w:rFonts w:ascii="宋体" w:hAnsi="宋体" w:eastAsia="宋体" w:cs="宋体"/>
                <w:bCs/>
                <w:iCs/>
                <w:sz w:val="21"/>
                <w:szCs w:val="21"/>
              </w:rPr>
              <w:t>2</w:t>
            </w:r>
            <w:r>
              <w:rPr>
                <w:rFonts w:hint="eastAsia" w:ascii="宋体" w:hAnsi="宋体" w:eastAsia="宋体" w:cs="宋体"/>
                <w:bCs/>
                <w:iCs/>
                <w:sz w:val="21"/>
                <w:szCs w:val="21"/>
              </w:rPr>
              <w:t>6日组织线上投资者交流活动，中金公司、浙商证券、天风证券、广发证券、国信证券、平安基金、鸿运私募、琮碧秋实等29余家机构参与。名单详见附件清单。</w:t>
            </w:r>
          </w:p>
          <w:p w14:paraId="709F1CDF">
            <w:pPr>
              <w:spacing w:line="360" w:lineRule="auto"/>
              <w:ind w:firstLine="420"/>
              <w:rPr>
                <w:rFonts w:hint="eastAsia" w:ascii="宋体" w:hAnsi="宋体" w:eastAsia="宋体" w:cs="宋体"/>
                <w:bCs/>
                <w:iCs/>
                <w:sz w:val="21"/>
                <w:szCs w:val="21"/>
              </w:rPr>
            </w:pPr>
            <w:r>
              <w:rPr>
                <w:rFonts w:hint="eastAsia" w:ascii="宋体" w:hAnsi="宋体" w:eastAsia="宋体" w:cs="宋体"/>
                <w:bCs/>
                <w:iCs/>
                <w:sz w:val="21"/>
                <w:szCs w:val="21"/>
              </w:rPr>
              <w:t>重要提示：参会人员名单由组织机构提供并经整理后展示。公司无法保证参会人员及其单位名称的完整性和准确性，请投资者注意。</w:t>
            </w:r>
          </w:p>
        </w:tc>
      </w:tr>
      <w:tr w14:paraId="1471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7F7F3DF6">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时间</w:t>
            </w: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114F929B">
            <w:pPr>
              <w:spacing w:line="360" w:lineRule="auto"/>
              <w:ind w:firstLine="0" w:firstLineChars="0"/>
              <w:rPr>
                <w:rFonts w:hint="eastAsia" w:ascii="宋体" w:hAnsi="宋体" w:eastAsia="宋体" w:cs="宋体"/>
                <w:bCs/>
                <w:iCs/>
                <w:color w:val="000000"/>
                <w:sz w:val="21"/>
                <w:szCs w:val="21"/>
              </w:rPr>
            </w:pPr>
            <w:bookmarkStart w:id="0" w:name="OLE_LINK3"/>
            <w:r>
              <w:rPr>
                <w:rFonts w:hint="eastAsia" w:ascii="宋体" w:hAnsi="宋体" w:eastAsia="宋体" w:cs="宋体"/>
                <w:bCs/>
                <w:iCs/>
                <w:color w:val="000000"/>
                <w:sz w:val="21"/>
                <w:szCs w:val="21"/>
              </w:rPr>
              <w:t>2024年10月26日</w:t>
            </w:r>
            <w:bookmarkEnd w:id="0"/>
          </w:p>
        </w:tc>
      </w:tr>
      <w:tr w14:paraId="318B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3672199B">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地点</w:t>
            </w: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7D81C692">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网络会议</w:t>
            </w:r>
          </w:p>
        </w:tc>
      </w:tr>
      <w:tr w14:paraId="0D69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15292F54">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上市公司接待</w:t>
            </w:r>
          </w:p>
          <w:p w14:paraId="3BDF013D">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人员姓名</w:t>
            </w:r>
          </w:p>
        </w:tc>
        <w:tc>
          <w:tcPr>
            <w:tcW w:w="3886" w:type="pct"/>
            <w:tcBorders>
              <w:top w:val="single" w:color="auto" w:sz="4" w:space="0"/>
              <w:left w:val="single" w:color="auto" w:sz="4" w:space="0"/>
              <w:bottom w:val="single" w:color="auto" w:sz="4" w:space="0"/>
              <w:right w:val="single" w:color="auto" w:sz="4" w:space="0"/>
            </w:tcBorders>
            <w:shd w:val="clear" w:color="auto" w:fill="auto"/>
            <w:vAlign w:val="center"/>
          </w:tcPr>
          <w:p w14:paraId="360CBFC3">
            <w:pPr>
              <w:spacing w:line="360" w:lineRule="auto"/>
              <w:ind w:firstLine="0" w:firstLineChars="0"/>
              <w:rPr>
                <w:rFonts w:hint="eastAsia" w:ascii="宋体" w:hAnsi="宋体" w:eastAsia="宋体" w:cs="宋体"/>
                <w:sz w:val="22"/>
                <w:szCs w:val="15"/>
              </w:rPr>
            </w:pPr>
            <w:r>
              <w:rPr>
                <w:rFonts w:hint="eastAsia" w:ascii="宋体" w:hAnsi="宋体" w:eastAsia="宋体" w:cs="宋体"/>
                <w:sz w:val="22"/>
                <w:szCs w:val="15"/>
              </w:rPr>
              <w:t>董事长兼总经理：季光明</w:t>
            </w:r>
          </w:p>
          <w:p w14:paraId="428537BF">
            <w:pPr>
              <w:spacing w:line="360" w:lineRule="auto"/>
              <w:ind w:firstLine="0" w:firstLineChars="0"/>
            </w:pPr>
            <w:r>
              <w:rPr>
                <w:rFonts w:hint="eastAsia" w:ascii="宋体" w:hAnsi="宋体" w:eastAsia="宋体" w:cs="宋体"/>
                <w:sz w:val="22"/>
                <w:szCs w:val="15"/>
              </w:rPr>
              <w:t>董事、副总经理兼董事会秘书：刘菁</w:t>
            </w:r>
          </w:p>
        </w:tc>
      </w:tr>
      <w:tr w14:paraId="246D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46C80ACA">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投资者关系活动</w:t>
            </w:r>
          </w:p>
          <w:p w14:paraId="274432F7">
            <w:pPr>
              <w:spacing w:line="360" w:lineRule="auto"/>
              <w:ind w:firstLine="0" w:firstLineChars="0"/>
              <w:jc w:val="center"/>
              <w:rPr>
                <w:rFonts w:hint="eastAsia" w:ascii="宋体" w:hAnsi="宋体" w:eastAsia="宋体" w:cs="宋体"/>
                <w:bCs/>
                <w:iCs/>
                <w:color w:val="5B9BD5" w:themeColor="accent1"/>
                <w:sz w:val="21"/>
                <w:szCs w:val="21"/>
                <w14:textFill>
                  <w14:solidFill>
                    <w14:schemeClr w14:val="accent1"/>
                  </w14:solidFill>
                </w14:textFill>
              </w:rPr>
            </w:pPr>
            <w:r>
              <w:rPr>
                <w:rFonts w:hint="eastAsia" w:ascii="宋体" w:hAnsi="宋体" w:eastAsia="宋体" w:cs="宋体"/>
                <w:bCs/>
                <w:iCs/>
                <w:sz w:val="21"/>
                <w:szCs w:val="21"/>
              </w:rPr>
              <w:t>主要内容介绍</w:t>
            </w: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4D9E7DF1">
            <w:pPr>
              <w:spacing w:line="360" w:lineRule="auto"/>
              <w:ind w:firstLine="480"/>
              <w:jc w:val="left"/>
              <w:rPr>
                <w:rFonts w:eastAsia="宋体"/>
                <w:bCs/>
                <w:iCs/>
                <w:sz w:val="24"/>
                <w:szCs w:val="24"/>
              </w:rPr>
            </w:pPr>
            <w:r>
              <w:rPr>
                <w:rFonts w:eastAsia="宋体"/>
                <w:bCs/>
                <w:iCs/>
                <w:sz w:val="24"/>
                <w:szCs w:val="24"/>
              </w:rPr>
              <w:t>2024年10月26日投资者交流中，公司高管就投资者关心的问题在合规范围内与调研人员进行了沟通。以下为活动纪要：</w:t>
            </w:r>
          </w:p>
          <w:p w14:paraId="67BE9ABD">
            <w:pPr>
              <w:spacing w:line="360" w:lineRule="auto"/>
              <w:ind w:firstLine="0" w:firstLineChars="0"/>
              <w:rPr>
                <w:rFonts w:eastAsia="宋体"/>
                <w:sz w:val="24"/>
                <w:szCs w:val="24"/>
              </w:rPr>
            </w:pPr>
            <w:r>
              <w:rPr>
                <w:rFonts w:eastAsia="宋体"/>
                <w:b/>
                <w:iCs/>
                <w:sz w:val="24"/>
                <w:szCs w:val="24"/>
              </w:rPr>
              <w:t>一、公司202</w:t>
            </w:r>
            <w:r>
              <w:rPr>
                <w:rFonts w:hint="eastAsia" w:eastAsia="宋体"/>
                <w:b/>
                <w:iCs/>
                <w:sz w:val="24"/>
                <w:szCs w:val="24"/>
              </w:rPr>
              <w:t>4</w:t>
            </w:r>
            <w:r>
              <w:rPr>
                <w:rFonts w:eastAsia="宋体"/>
                <w:b/>
                <w:iCs/>
                <w:sz w:val="24"/>
                <w:szCs w:val="24"/>
              </w:rPr>
              <w:t>年</w:t>
            </w:r>
            <w:r>
              <w:rPr>
                <w:rFonts w:hint="eastAsia" w:eastAsia="宋体"/>
                <w:b/>
                <w:iCs/>
                <w:sz w:val="24"/>
                <w:szCs w:val="24"/>
              </w:rPr>
              <w:t>三季报</w:t>
            </w:r>
            <w:r>
              <w:rPr>
                <w:rFonts w:eastAsia="宋体"/>
                <w:b/>
                <w:iCs/>
                <w:sz w:val="24"/>
                <w:szCs w:val="24"/>
              </w:rPr>
              <w:t>概述</w:t>
            </w:r>
          </w:p>
          <w:p w14:paraId="68138FA7">
            <w:pPr>
              <w:ind w:firstLine="480"/>
              <w:rPr>
                <w:rFonts w:eastAsia="宋体"/>
                <w:sz w:val="24"/>
                <w:szCs w:val="16"/>
              </w:rPr>
            </w:pPr>
            <w:r>
              <w:rPr>
                <w:rFonts w:eastAsia="宋体"/>
                <w:sz w:val="24"/>
                <w:szCs w:val="16"/>
              </w:rPr>
              <w:t>2024年1-9月，公司实现营业收入22,209.06万元，较上年同期下降4.13%；实现归属于上市公司股东的净利润-344.40万元，较上年同期减少了113.07%；经营活动产生的现金流量净额4,934.90万元，较上年同期增长3,326.01%</w:t>
            </w:r>
            <w:r>
              <w:rPr>
                <w:rFonts w:hint="eastAsia" w:eastAsia="宋体"/>
                <w:sz w:val="24"/>
                <w:szCs w:val="16"/>
              </w:rPr>
              <w:t>。</w:t>
            </w:r>
          </w:p>
          <w:p w14:paraId="6ED936E2">
            <w:pPr>
              <w:ind w:firstLine="480"/>
              <w:rPr>
                <w:rFonts w:eastAsia="宋体"/>
                <w:sz w:val="24"/>
                <w:szCs w:val="18"/>
              </w:rPr>
            </w:pPr>
            <w:r>
              <w:rPr>
                <w:rFonts w:eastAsia="宋体"/>
                <w:sz w:val="24"/>
                <w:szCs w:val="16"/>
              </w:rPr>
              <w:t>2024年1-9月，</w:t>
            </w:r>
            <w:r>
              <w:rPr>
                <w:rFonts w:hint="eastAsia" w:eastAsia="宋体"/>
                <w:sz w:val="24"/>
                <w:szCs w:val="16"/>
              </w:rPr>
              <w:t>公司</w:t>
            </w:r>
            <w:r>
              <w:rPr>
                <w:rFonts w:eastAsia="宋体"/>
                <w:sz w:val="24"/>
                <w:szCs w:val="16"/>
              </w:rPr>
              <w:t>白酒糟生物发酵饲料业务实现产品销量8.11万吨，销量较上年同期增长22.98%</w:t>
            </w:r>
            <w:r>
              <w:rPr>
                <w:rFonts w:hint="eastAsia" w:eastAsia="宋体"/>
                <w:sz w:val="24"/>
                <w:szCs w:val="16"/>
              </w:rPr>
              <w:t>；实现销售</w:t>
            </w:r>
            <w:r>
              <w:rPr>
                <w:rFonts w:eastAsia="宋体"/>
                <w:sz w:val="24"/>
                <w:szCs w:val="16"/>
              </w:rPr>
              <w:t>收入16,860.80万元，较上年同期增长20.92%</w:t>
            </w:r>
            <w:r>
              <w:rPr>
                <w:rFonts w:hint="eastAsia" w:eastAsia="宋体"/>
                <w:sz w:val="24"/>
                <w:szCs w:val="18"/>
              </w:rPr>
              <w:t>。</w:t>
            </w:r>
            <w:r>
              <w:rPr>
                <w:rFonts w:eastAsia="宋体"/>
                <w:sz w:val="24"/>
                <w:szCs w:val="18"/>
              </w:rPr>
              <w:t>白酒糟生物发酵饲料业务</w:t>
            </w:r>
            <w:r>
              <w:rPr>
                <w:rFonts w:hint="eastAsia" w:eastAsia="宋体"/>
                <w:sz w:val="24"/>
                <w:szCs w:val="18"/>
              </w:rPr>
              <w:t>毛利率25%，较上年同期下降5.5%，主要原因系</w:t>
            </w:r>
            <w:r>
              <w:rPr>
                <w:rFonts w:eastAsia="宋体"/>
                <w:sz w:val="24"/>
                <w:szCs w:val="18"/>
              </w:rPr>
              <w:t>①</w:t>
            </w:r>
            <w:r>
              <w:rPr>
                <w:rFonts w:hint="eastAsia" w:eastAsia="宋体"/>
                <w:sz w:val="24"/>
                <w:szCs w:val="18"/>
              </w:rPr>
              <w:t>2023年下半年集中收储的酒糟价格较高，本年生产使用的原材料成本较高；②2024年饲料养殖量价齐跌，对公司产品销量构成了一定的影响。目前，2023年收储的高价酒糟已逐渐生产消耗完毕，本年集中收储的酒糟价格相对较低，预计未来</w:t>
            </w:r>
            <w:r>
              <w:rPr>
                <w:rFonts w:eastAsia="宋体"/>
                <w:sz w:val="24"/>
                <w:szCs w:val="16"/>
              </w:rPr>
              <w:t>白酒糟生物发酵饲料</w:t>
            </w:r>
            <w:r>
              <w:rPr>
                <w:rFonts w:hint="eastAsia" w:eastAsia="宋体"/>
                <w:sz w:val="24"/>
                <w:szCs w:val="16"/>
              </w:rPr>
              <w:t>业务产品毛利率将有所恢复。</w:t>
            </w:r>
          </w:p>
          <w:p w14:paraId="101B772E">
            <w:pPr>
              <w:pStyle w:val="4"/>
              <w:ind w:firstLine="480"/>
              <w:rPr>
                <w:rFonts w:eastAsia="宋体"/>
                <w:sz w:val="24"/>
                <w:szCs w:val="18"/>
              </w:rPr>
            </w:pPr>
            <w:r>
              <w:rPr>
                <w:rFonts w:eastAsia="宋体"/>
                <w:sz w:val="24"/>
                <w:szCs w:val="16"/>
              </w:rPr>
              <w:t>2024年1-9月，</w:t>
            </w:r>
            <w:r>
              <w:rPr>
                <w:rFonts w:hint="eastAsia" w:eastAsia="宋体"/>
                <w:sz w:val="24"/>
                <w:szCs w:val="16"/>
              </w:rPr>
              <w:t>公司</w:t>
            </w:r>
            <w:r>
              <w:rPr>
                <w:rFonts w:eastAsia="宋体"/>
                <w:sz w:val="24"/>
                <w:szCs w:val="18"/>
              </w:rPr>
              <w:t>无机固废处理服务业务板块实现营业收入3,541.30万元，较上年同期下降57.94%。主要原因系</w:t>
            </w:r>
            <w:bookmarkStart w:id="1" w:name="OLE_LINK4"/>
            <w:r>
              <w:rPr>
                <w:rFonts w:eastAsia="宋体"/>
                <w:sz w:val="24"/>
                <w:szCs w:val="18"/>
              </w:rPr>
              <w:t>①</w:t>
            </w:r>
            <w:bookmarkEnd w:id="1"/>
            <w:r>
              <w:rPr>
                <w:rFonts w:eastAsia="宋体"/>
                <w:sz w:val="24"/>
                <w:szCs w:val="18"/>
              </w:rPr>
              <w:t>河湖淤泥处理服务业务受环保行业的宏观环境变化的持续影响，老项目开工率不足，公司又暂未承接新项目，导致该业务营业收入下降。②公司工程泥浆处理服务业务受房地产建筑行业下行影响，房建、基础建设等工程项目开工减少，收纳、处置的泥浆量大幅减少，导致该业务营业收入下降。</w:t>
            </w:r>
          </w:p>
          <w:p w14:paraId="339F9DBC">
            <w:pPr>
              <w:pStyle w:val="4"/>
              <w:ind w:firstLine="480"/>
            </w:pPr>
            <w:r>
              <w:rPr>
                <w:rFonts w:eastAsia="宋体"/>
                <w:sz w:val="24"/>
                <w:szCs w:val="16"/>
              </w:rPr>
              <w:t>截至2024年9月30日，</w:t>
            </w:r>
            <w:r>
              <w:rPr>
                <w:rFonts w:hint="eastAsia" w:eastAsia="宋体"/>
                <w:sz w:val="24"/>
                <w:szCs w:val="16"/>
              </w:rPr>
              <w:t>公司</w:t>
            </w:r>
            <w:r>
              <w:rPr>
                <w:rFonts w:eastAsia="宋体"/>
                <w:sz w:val="24"/>
                <w:szCs w:val="16"/>
              </w:rPr>
              <w:t>应收账款</w:t>
            </w:r>
            <w:r>
              <w:rPr>
                <w:rFonts w:hint="eastAsia" w:eastAsia="宋体"/>
                <w:sz w:val="24"/>
                <w:szCs w:val="16"/>
              </w:rPr>
              <w:t>账面</w:t>
            </w:r>
            <w:r>
              <w:rPr>
                <w:rFonts w:eastAsia="宋体"/>
                <w:sz w:val="24"/>
                <w:szCs w:val="16"/>
              </w:rPr>
              <w:t>余额为30,101.36万元</w:t>
            </w:r>
            <w:r>
              <w:rPr>
                <w:rFonts w:hint="eastAsia" w:eastAsia="宋体"/>
                <w:sz w:val="24"/>
                <w:szCs w:val="16"/>
              </w:rPr>
              <w:t>，其中，</w:t>
            </w:r>
            <w:bookmarkStart w:id="2" w:name="OLE_LINK6"/>
            <w:r>
              <w:rPr>
                <w:rFonts w:hint="eastAsia" w:eastAsia="宋体"/>
                <w:sz w:val="24"/>
                <w:szCs w:val="16"/>
              </w:rPr>
              <w:t>应收账款</w:t>
            </w:r>
            <w:bookmarkEnd w:id="2"/>
            <w:r>
              <w:rPr>
                <w:rFonts w:hint="eastAsia" w:eastAsia="宋体"/>
                <w:sz w:val="24"/>
                <w:szCs w:val="16"/>
              </w:rPr>
              <w:t>规模最大的业务为河湖淤泥处理服务，占比为77.65%，公司正在持续关注跟踪国家出台的化债政策，并</w:t>
            </w:r>
            <w:bookmarkStart w:id="3" w:name="OLE_LINK5"/>
            <w:r>
              <w:rPr>
                <w:rFonts w:hint="eastAsia" w:eastAsia="宋体"/>
                <w:sz w:val="24"/>
                <w:szCs w:val="16"/>
              </w:rPr>
              <w:t>加大应收账款的催收、化解力度，做好应收账款回款的推进工作。</w:t>
            </w:r>
            <w:bookmarkEnd w:id="3"/>
          </w:p>
          <w:p w14:paraId="2DF41316">
            <w:pPr>
              <w:spacing w:line="360" w:lineRule="auto"/>
              <w:ind w:firstLine="0" w:firstLineChars="0"/>
              <w:rPr>
                <w:rFonts w:eastAsia="宋体"/>
                <w:sz w:val="24"/>
                <w:szCs w:val="24"/>
              </w:rPr>
            </w:pPr>
            <w:r>
              <w:rPr>
                <w:rFonts w:hint="eastAsia" w:eastAsia="宋体"/>
                <w:b/>
                <w:iCs/>
                <w:sz w:val="24"/>
                <w:szCs w:val="24"/>
              </w:rPr>
              <w:t>二</w:t>
            </w:r>
            <w:r>
              <w:rPr>
                <w:rFonts w:eastAsia="宋体"/>
                <w:b/>
                <w:iCs/>
                <w:sz w:val="24"/>
                <w:szCs w:val="24"/>
              </w:rPr>
              <w:t>、公司</w:t>
            </w:r>
            <w:r>
              <w:rPr>
                <w:rFonts w:hint="eastAsia" w:eastAsia="宋体"/>
                <w:b/>
                <w:iCs/>
                <w:sz w:val="24"/>
                <w:szCs w:val="24"/>
              </w:rPr>
              <w:t>更名及</w:t>
            </w:r>
            <w:r>
              <w:rPr>
                <w:rFonts w:eastAsia="宋体"/>
                <w:b/>
                <w:iCs/>
                <w:sz w:val="24"/>
                <w:szCs w:val="24"/>
              </w:rPr>
              <w:t>业务结构变化</w:t>
            </w:r>
          </w:p>
          <w:p w14:paraId="2E93B850">
            <w:pPr>
              <w:pStyle w:val="4"/>
              <w:ind w:firstLine="480"/>
              <w:rPr>
                <w:rFonts w:eastAsia="宋体"/>
                <w:sz w:val="24"/>
                <w:szCs w:val="18"/>
              </w:rPr>
            </w:pPr>
            <w:r>
              <w:rPr>
                <w:rFonts w:hint="eastAsia" w:eastAsia="宋体"/>
                <w:sz w:val="24"/>
                <w:szCs w:val="16"/>
              </w:rPr>
              <w:t>公司自首发上市以来，主营业务始终没有发生变化，但是由于外部因素变化，各个板块业务发展的速度各有快慢。近年来，公司</w:t>
            </w:r>
            <w:r>
              <w:rPr>
                <w:rFonts w:eastAsia="宋体"/>
                <w:sz w:val="24"/>
                <w:szCs w:val="16"/>
              </w:rPr>
              <w:t>白酒糟生物发酵饲料业务</w:t>
            </w:r>
            <w:r>
              <w:rPr>
                <w:rFonts w:hint="eastAsia" w:eastAsia="宋体"/>
                <w:sz w:val="24"/>
                <w:szCs w:val="16"/>
              </w:rPr>
              <w:t>快速发展，收入和毛利润占比大幅上升，而</w:t>
            </w:r>
            <w:r>
              <w:rPr>
                <w:rFonts w:eastAsia="宋体"/>
                <w:sz w:val="24"/>
                <w:szCs w:val="18"/>
              </w:rPr>
              <w:t>无机固废处理服务</w:t>
            </w:r>
            <w:r>
              <w:rPr>
                <w:rFonts w:eastAsia="宋体"/>
                <w:sz w:val="24"/>
                <w:szCs w:val="16"/>
              </w:rPr>
              <w:t>业务</w:t>
            </w:r>
            <w:r>
              <w:rPr>
                <w:rFonts w:hint="eastAsia" w:eastAsia="宋体"/>
                <w:sz w:val="24"/>
                <w:szCs w:val="16"/>
              </w:rPr>
              <w:t>的收入</w:t>
            </w:r>
            <w:r>
              <w:rPr>
                <w:rFonts w:eastAsia="宋体"/>
                <w:sz w:val="24"/>
                <w:szCs w:val="16"/>
              </w:rPr>
              <w:t>占比不断降低</w:t>
            </w:r>
            <w:r>
              <w:rPr>
                <w:rFonts w:hint="eastAsia" w:eastAsia="宋体"/>
                <w:sz w:val="24"/>
                <w:szCs w:val="16"/>
              </w:rPr>
              <w:t>。</w:t>
            </w:r>
            <w:r>
              <w:rPr>
                <w:rFonts w:eastAsia="宋体"/>
                <w:sz w:val="24"/>
                <w:szCs w:val="16"/>
              </w:rPr>
              <w:t>2024年1-9月，白酒糟生物发酵饲料业务</w:t>
            </w:r>
            <w:r>
              <w:rPr>
                <w:rFonts w:eastAsia="宋体"/>
                <w:sz w:val="24"/>
                <w:szCs w:val="18"/>
              </w:rPr>
              <w:t>占主营业务收入比例</w:t>
            </w:r>
            <w:r>
              <w:rPr>
                <w:rFonts w:hint="eastAsia" w:eastAsia="宋体"/>
                <w:sz w:val="24"/>
                <w:szCs w:val="18"/>
              </w:rPr>
              <w:t>达</w:t>
            </w:r>
            <w:r>
              <w:rPr>
                <w:rFonts w:eastAsia="宋体"/>
                <w:sz w:val="24"/>
                <w:szCs w:val="18"/>
              </w:rPr>
              <w:t>82.64%</w:t>
            </w:r>
            <w:r>
              <w:rPr>
                <w:rFonts w:hint="eastAsia" w:eastAsia="宋体"/>
                <w:sz w:val="24"/>
                <w:szCs w:val="18"/>
              </w:rPr>
              <w:t>。</w:t>
            </w:r>
          </w:p>
          <w:p w14:paraId="5805CDF8">
            <w:pPr>
              <w:pStyle w:val="4"/>
              <w:ind w:firstLine="480"/>
              <w:rPr>
                <w:rFonts w:eastAsia="宋体"/>
                <w:sz w:val="24"/>
                <w:szCs w:val="16"/>
              </w:rPr>
            </w:pPr>
            <w:r>
              <w:rPr>
                <w:rFonts w:hint="eastAsia" w:eastAsia="宋体"/>
                <w:sz w:val="24"/>
                <w:szCs w:val="16"/>
              </w:rPr>
              <w:t>为了凸显公司主营业务的行业特点，更准确反应公司近年来业务发展情况和未来长期发展战略，同时结合公司生物发酵饲料业务板块经营发展需要，进一步强化品牌形象，拟将公司中文名称“路德环境科技股份有限公司”变更为“路德生物环保科技股份有限公司”（最终以市场监督管理部门核准的名称为准）</w:t>
            </w:r>
            <w:r>
              <w:rPr>
                <w:rFonts w:eastAsia="宋体"/>
                <w:sz w:val="24"/>
                <w:szCs w:val="16"/>
              </w:rPr>
              <w:t>。</w:t>
            </w:r>
          </w:p>
          <w:p w14:paraId="2582E856">
            <w:pPr>
              <w:spacing w:line="360" w:lineRule="auto"/>
              <w:ind w:firstLine="0" w:firstLineChars="0"/>
              <w:rPr>
                <w:rFonts w:eastAsia="宋体"/>
              </w:rPr>
            </w:pPr>
            <w:r>
              <w:rPr>
                <w:rFonts w:hint="eastAsia" w:eastAsia="宋体"/>
                <w:b/>
                <w:iCs/>
                <w:sz w:val="24"/>
                <w:szCs w:val="24"/>
              </w:rPr>
              <w:t>三</w:t>
            </w:r>
            <w:r>
              <w:rPr>
                <w:rFonts w:eastAsia="宋体"/>
                <w:b/>
                <w:iCs/>
                <w:sz w:val="24"/>
                <w:szCs w:val="24"/>
              </w:rPr>
              <w:t>、白酒糟生物发酵饲料</w:t>
            </w:r>
            <w:r>
              <w:rPr>
                <w:rFonts w:hint="eastAsia" w:eastAsia="宋体"/>
                <w:b/>
                <w:iCs/>
                <w:sz w:val="24"/>
                <w:szCs w:val="24"/>
              </w:rPr>
              <w:t>业务的销售情况</w:t>
            </w:r>
          </w:p>
          <w:p w14:paraId="34A0B786">
            <w:pPr>
              <w:ind w:firstLine="480"/>
              <w:rPr>
                <w:rFonts w:eastAsia="宋体"/>
                <w:sz w:val="24"/>
                <w:szCs w:val="16"/>
              </w:rPr>
            </w:pPr>
            <w:r>
              <w:rPr>
                <w:rFonts w:hint="eastAsia" w:eastAsia="宋体"/>
                <w:sz w:val="24"/>
                <w:szCs w:val="16"/>
              </w:rPr>
              <w:t>目前，</w:t>
            </w:r>
            <w:r>
              <w:rPr>
                <w:rFonts w:eastAsia="宋体"/>
                <w:sz w:val="24"/>
                <w:szCs w:val="16"/>
              </w:rPr>
              <w:t>白酒糟生物发酵饲料业务</w:t>
            </w:r>
            <w:r>
              <w:rPr>
                <w:rFonts w:hint="eastAsia" w:eastAsia="宋体"/>
                <w:sz w:val="24"/>
                <w:szCs w:val="16"/>
              </w:rPr>
              <w:t>的</w:t>
            </w:r>
            <w:r>
              <w:rPr>
                <w:rFonts w:eastAsia="宋体"/>
                <w:sz w:val="24"/>
                <w:szCs w:val="16"/>
              </w:rPr>
              <w:t>客户分布于全国26个省、直辖市或自治区，客户主要集中在北京、山西、辽宁、河北、广东等地区</w:t>
            </w:r>
            <w:r>
              <w:rPr>
                <w:rFonts w:hint="eastAsia" w:eastAsia="宋体"/>
                <w:sz w:val="24"/>
                <w:szCs w:val="16"/>
              </w:rPr>
              <w:t>，随着白酒糟生物发酵饲料工厂陆续投产，销售版图将逐渐扩大。</w:t>
            </w:r>
          </w:p>
          <w:p w14:paraId="033417B1">
            <w:pPr>
              <w:ind w:firstLine="480"/>
              <w:rPr>
                <w:rFonts w:eastAsia="宋体"/>
                <w:sz w:val="24"/>
                <w:szCs w:val="16"/>
              </w:rPr>
            </w:pPr>
            <w:r>
              <w:rPr>
                <w:rFonts w:eastAsia="宋体"/>
                <w:sz w:val="24"/>
                <w:szCs w:val="16"/>
              </w:rPr>
              <w:t>公司的白酒糟生物发酵饲料产品为功能性饲料原料，公司下游客户可分为养殖类企业与外销类（即饲料类企业）两大类。2024年1-9月，公司下游客户中，养殖类客户占比较高，合计销量占总销量的80.10%，外销类（即饲料类企业）客户销量占比19.90%。</w:t>
            </w:r>
          </w:p>
          <w:p w14:paraId="70049CA7">
            <w:pPr>
              <w:ind w:firstLine="480"/>
              <w:rPr>
                <w:rFonts w:eastAsia="宋体"/>
                <w:sz w:val="24"/>
                <w:szCs w:val="16"/>
              </w:rPr>
            </w:pPr>
            <w:r>
              <w:rPr>
                <w:rFonts w:eastAsia="宋体"/>
                <w:sz w:val="24"/>
                <w:szCs w:val="16"/>
              </w:rPr>
              <w:t>公司的产品集营养性和功能性于一体，可广泛应用于家禽、反刍、家猪、水产等养殖业。2024年1-9月，公司产品的终端应用类型包括家禽、反刍、家猪、水产及其他，分别占总销量的48.81%、21.96%、20.02%、8.34%、0.88%。</w:t>
            </w:r>
          </w:p>
          <w:p w14:paraId="3D10FC72">
            <w:pPr>
              <w:ind w:firstLine="480"/>
              <w:rPr>
                <w:rFonts w:eastAsia="宋体"/>
                <w:sz w:val="24"/>
                <w:szCs w:val="16"/>
              </w:rPr>
            </w:pPr>
            <w:r>
              <w:rPr>
                <w:rFonts w:eastAsia="宋体"/>
                <w:sz w:val="24"/>
                <w:szCs w:val="16"/>
              </w:rPr>
              <w:t>2024年1-9月家猪类终端客户占比为20.02%，相比去年同期的12.52%增加了7.5个百分点，家猪类终端客户占比明显提升。公司的家猪类终端客户主要为巨星农牧、大象集团、海大集团、</w:t>
            </w:r>
            <w:r>
              <w:rPr>
                <w:rFonts w:hint="eastAsia" w:eastAsia="宋体"/>
                <w:sz w:val="24"/>
                <w:szCs w:val="16"/>
              </w:rPr>
              <w:t>新希望猪产业线</w:t>
            </w:r>
            <w:r>
              <w:rPr>
                <w:rFonts w:eastAsia="宋体"/>
                <w:sz w:val="24"/>
                <w:szCs w:val="16"/>
              </w:rPr>
              <w:t>，其中，大象集团、新希望猪产业线为今年新开拓客户。</w:t>
            </w:r>
          </w:p>
          <w:p w14:paraId="31CE669B">
            <w:pPr>
              <w:spacing w:line="360" w:lineRule="auto"/>
              <w:ind w:firstLine="0" w:firstLineChars="0"/>
              <w:rPr>
                <w:rFonts w:hint="eastAsia" w:cs="宋体" w:asciiTheme="minorEastAsia" w:hAnsiTheme="minorEastAsia" w:eastAsiaTheme="minorEastAsia"/>
                <w:b/>
                <w:iCs/>
                <w:sz w:val="21"/>
                <w:szCs w:val="21"/>
              </w:rPr>
            </w:pPr>
            <w:r>
              <w:rPr>
                <w:rFonts w:hint="eastAsia" w:cs="宋体" w:asciiTheme="minorEastAsia" w:hAnsiTheme="minorEastAsia" w:eastAsiaTheme="minorEastAsia"/>
                <w:b/>
                <w:iCs/>
                <w:sz w:val="21"/>
                <w:szCs w:val="21"/>
              </w:rPr>
              <w:t>四、Q&amp;A</w:t>
            </w:r>
          </w:p>
          <w:p w14:paraId="754480A7">
            <w:pPr>
              <w:spacing w:line="360" w:lineRule="auto"/>
              <w:ind w:firstLine="482"/>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w:t>
            </w:r>
            <w:bookmarkStart w:id="13" w:name="_GoBack"/>
            <w:bookmarkEnd w:id="13"/>
            <w:r>
              <w:rPr>
                <w:rFonts w:hint="eastAsia" w:ascii="宋体" w:hAnsi="宋体" w:eastAsia="宋体" w:cs="宋体"/>
                <w:b/>
                <w:sz w:val="24"/>
                <w:szCs w:val="24"/>
              </w:rPr>
              <w:t>公司的销售拓展情况能否消化现有和未来的产能？</w:t>
            </w:r>
          </w:p>
          <w:p w14:paraId="3B3A82F1">
            <w:pPr>
              <w:pStyle w:val="4"/>
              <w:ind w:firstLine="480"/>
              <w:rPr>
                <w:rFonts w:hint="eastAsia" w:ascii="宋体" w:hAnsi="宋体" w:eastAsia="宋体" w:cs="宋体"/>
                <w:sz w:val="24"/>
                <w:szCs w:val="24"/>
              </w:rPr>
            </w:pPr>
            <w:bookmarkStart w:id="4" w:name="OLE_LINK9"/>
            <w:r>
              <w:rPr>
                <w:rFonts w:hint="eastAsia" w:ascii="宋体" w:hAnsi="宋体" w:eastAsia="宋体" w:cs="宋体"/>
                <w:sz w:val="24"/>
                <w:szCs w:val="24"/>
              </w:rPr>
              <w:t>答：</w:t>
            </w:r>
            <w:bookmarkEnd w:id="4"/>
            <w:r>
              <w:rPr>
                <w:rFonts w:hint="eastAsia" w:ascii="宋体" w:hAnsi="宋体" w:eastAsia="宋体" w:cs="宋体"/>
                <w:sz w:val="24"/>
                <w:szCs w:val="24"/>
              </w:rPr>
              <w:t>目前，巨星农牧、海大集团等长期合作的老客户均在持续使用公司的白酒糟生物发酵饲料产品，今年已新开拓了新希望猪产业线、</w:t>
            </w:r>
            <w:bookmarkStart w:id="5" w:name="OLE_LINK8"/>
            <w:r>
              <w:rPr>
                <w:rFonts w:hint="eastAsia" w:ascii="宋体" w:hAnsi="宋体" w:eastAsia="宋体" w:cs="宋体"/>
                <w:sz w:val="24"/>
                <w:szCs w:val="24"/>
              </w:rPr>
              <w:t>大象农牧</w:t>
            </w:r>
            <w:bookmarkEnd w:id="5"/>
            <w:r>
              <w:rPr>
                <w:rFonts w:hint="eastAsia" w:ascii="宋体" w:hAnsi="宋体" w:eastAsia="宋体" w:cs="宋体"/>
                <w:sz w:val="24"/>
                <w:szCs w:val="24"/>
              </w:rPr>
              <w:t>等头部客户，一批头部猪企完成了试验、评估，也有部分已进入议价阶段。2024年9月，公司与国家生猪技术创新中心（全国农业领域首个国家技术创新中心）、路同生物科技（重庆）有限责任公司三方公司，签订了框架合作协议，以深度挖掘公司产品的功能性价值、扩大应用场景为目标，发挥多方智力成果和资源优势，合力攻关关键核心技术，加快生猪技术成果转化与产业化，助力公司猪产业线的高质量发展。</w:t>
            </w:r>
          </w:p>
          <w:p w14:paraId="5AF267A2">
            <w:pPr>
              <w:pStyle w:val="4"/>
              <w:ind w:firstLine="480"/>
              <w:rPr>
                <w:rFonts w:hint="eastAsia" w:ascii="宋体" w:hAnsi="宋体" w:eastAsia="宋体" w:cs="宋体"/>
                <w:sz w:val="24"/>
                <w:szCs w:val="24"/>
              </w:rPr>
            </w:pPr>
            <w:r>
              <w:rPr>
                <w:rFonts w:hint="eastAsia" w:ascii="宋体" w:hAnsi="宋体" w:eastAsia="宋体" w:cs="宋体"/>
                <w:sz w:val="24"/>
                <w:szCs w:val="24"/>
              </w:rPr>
              <w:t>目前，公司在加快布局西南市场，有以下几个方面的考虑：①西南地区猪料市场广阔，西南地区云贵川渝四省市在2023年末能繁母猪存栏总数约900万头，</w:t>
            </w:r>
            <w:bookmarkStart w:id="6" w:name="OLE_LINK7"/>
            <w:r>
              <w:rPr>
                <w:rFonts w:hint="eastAsia" w:ascii="宋体" w:hAnsi="宋体" w:eastAsia="宋体" w:cs="宋体"/>
                <w:sz w:val="24"/>
                <w:szCs w:val="24"/>
              </w:rPr>
              <w:t>生猪出栏</w:t>
            </w:r>
            <w:bookmarkEnd w:id="6"/>
            <w:r>
              <w:rPr>
                <w:rFonts w:hint="eastAsia" w:ascii="宋体" w:hAnsi="宋体" w:eastAsia="宋体" w:cs="宋体"/>
                <w:sz w:val="24"/>
                <w:szCs w:val="24"/>
              </w:rPr>
              <w:t>15,312万头，换算成白酒糟生物发酵饲料的市场容量，约300万吨/年；②西南地区与豆粕的主要生产地和沿海港口距离较远。豆粕从产区或进口港口运往西南地区，运输成本较高，导致当地的豆粕价格较高，公司白酒糟生物发酵饲料产品具有更强的价格优势。③公司在西南地区布局了几个白酒糟生物发酵饲料工厂，距离西南地区客户的运距短，能有效降低公司的运输成本。目前公司产品的性价比优势得到了广大客户的认可，相信随着头部客户的拓展和新开发客户的订单落地，产能利用率将逐步提升。</w:t>
            </w:r>
          </w:p>
          <w:p w14:paraId="4FF30142">
            <w:pPr>
              <w:ind w:firstLine="640"/>
            </w:pPr>
          </w:p>
          <w:p w14:paraId="6B9E2094">
            <w:pPr>
              <w:numPr>
                <w:ilvl w:val="0"/>
                <w:numId w:val="1"/>
              </w:numPr>
              <w:ind w:firstLine="482"/>
              <w:rPr>
                <w:rFonts w:hint="eastAsia" w:ascii="宋体" w:hAnsi="宋体" w:eastAsia="宋体" w:cs="宋体"/>
                <w:b/>
                <w:bCs/>
                <w:sz w:val="24"/>
                <w:szCs w:val="24"/>
              </w:rPr>
            </w:pPr>
            <w:r>
              <w:rPr>
                <w:rFonts w:hint="eastAsia" w:ascii="宋体" w:hAnsi="宋体" w:eastAsia="宋体" w:cs="宋体"/>
                <w:b/>
                <w:bCs/>
                <w:sz w:val="24"/>
                <w:szCs w:val="24"/>
              </w:rPr>
              <w:t>蔺福、善水路德®酵肽等产品目前的销售情况如何？</w:t>
            </w:r>
          </w:p>
          <w:p w14:paraId="4D3449CF">
            <w:pPr>
              <w:ind w:firstLine="480"/>
              <w:rPr>
                <w:rFonts w:hint="eastAsia" w:ascii="宋体" w:hAnsi="宋体" w:eastAsia="宋体" w:cs="宋体"/>
                <w:sz w:val="24"/>
                <w:szCs w:val="24"/>
              </w:rPr>
            </w:pPr>
            <w:r>
              <w:rPr>
                <w:rFonts w:hint="eastAsia" w:ascii="宋体" w:hAnsi="宋体" w:eastAsia="宋体" w:cs="宋体"/>
                <w:sz w:val="24"/>
                <w:szCs w:val="24"/>
              </w:rPr>
              <w:t>答：公司的新产品开发一直有条不紊的进行着，蔺福主要应用于养殖终端，是针对生猪、禽类推出的产品，目前销售在稳步推进中。</w:t>
            </w:r>
          </w:p>
          <w:p w14:paraId="54EB3286">
            <w:pPr>
              <w:ind w:firstLine="480"/>
              <w:rPr>
                <w:rFonts w:hint="eastAsia" w:ascii="宋体" w:hAnsi="宋体" w:eastAsia="宋体" w:cs="宋体"/>
                <w:sz w:val="24"/>
                <w:szCs w:val="24"/>
              </w:rPr>
            </w:pPr>
            <w:bookmarkStart w:id="7" w:name="OLE_LINK11"/>
            <w:r>
              <w:rPr>
                <w:rFonts w:hint="eastAsia" w:ascii="宋体" w:hAnsi="宋体" w:eastAsia="宋体" w:cs="宋体"/>
                <w:sz w:val="24"/>
                <w:szCs w:val="24"/>
              </w:rPr>
              <w:t>善水路德®酵肽</w:t>
            </w:r>
            <w:bookmarkEnd w:id="7"/>
            <w:r>
              <w:rPr>
                <w:rFonts w:hint="eastAsia" w:ascii="宋体" w:hAnsi="宋体" w:eastAsia="宋体" w:cs="宋体"/>
                <w:sz w:val="24"/>
                <w:szCs w:val="24"/>
              </w:rPr>
              <w:t>的应用较为广泛，一方面可以应用于液态饲喂，经过公司与科研机构合作，历经一年时间共两轮</w:t>
            </w:r>
            <w:bookmarkStart w:id="8" w:name="OLE_LINK10"/>
            <w:r>
              <w:rPr>
                <w:rFonts w:hint="eastAsia" w:ascii="宋体" w:hAnsi="宋体" w:eastAsia="宋体" w:cs="宋体"/>
                <w:sz w:val="24"/>
                <w:szCs w:val="24"/>
              </w:rPr>
              <w:t>试喂</w:t>
            </w:r>
            <w:bookmarkEnd w:id="8"/>
            <w:r>
              <w:rPr>
                <w:rFonts w:hint="eastAsia" w:ascii="宋体" w:hAnsi="宋体" w:eastAsia="宋体" w:cs="宋体"/>
                <w:sz w:val="24"/>
                <w:szCs w:val="24"/>
              </w:rPr>
              <w:t>实验，发现在育肥猪上使用6%倍肽德产品加6%善水路德®酵肽，替代12%的全价料，在不增加饲料成本的前提下，每斤猪肉的造肉成本能降低1-1.5元，效果明显，后续，双方拟扩大实验规模进行结果复核，若能成功应用将显著降低生猪养殖企业的养殖成本；另一方面，善水路德®酵肽可以应用于水产，公司经过一轮的规模性试验，发现使用酵肽产品能改善水质、降低水产的养殖成本，该产品在广东、江苏等地区的认知度较高，助力于虾蟹类养殖。</w:t>
            </w:r>
          </w:p>
          <w:p w14:paraId="3279F82B">
            <w:pPr>
              <w:ind w:firstLine="480"/>
              <w:rPr>
                <w:rFonts w:hint="eastAsia" w:ascii="宋体" w:hAnsi="宋体" w:eastAsia="宋体" w:cs="宋体"/>
                <w:sz w:val="24"/>
                <w:szCs w:val="24"/>
              </w:rPr>
            </w:pPr>
            <w:r>
              <w:rPr>
                <w:rFonts w:hint="eastAsia" w:ascii="宋体" w:hAnsi="宋体" w:eastAsia="宋体" w:cs="宋体"/>
                <w:sz w:val="24"/>
                <w:szCs w:val="24"/>
              </w:rPr>
              <w:t>善水路德®酵肽的销售价格较高，但目前在客户应用端推广较慢，原因为目前市场上的商品料多为粉料或颗粒料形态，液态饲料的运输较为困难，以及液态饲料对客户的配方和工艺具有挑战性。目前公司考虑为客户提供定制化的服务，与生产液态饲喂的设备公司协同，共同开发客户。</w:t>
            </w:r>
          </w:p>
          <w:p w14:paraId="67FDC218">
            <w:pPr>
              <w:ind w:firstLine="480"/>
              <w:rPr>
                <w:rFonts w:hint="eastAsia" w:ascii="宋体" w:hAnsi="宋体" w:eastAsia="宋体" w:cs="宋体"/>
                <w:sz w:val="24"/>
                <w:szCs w:val="24"/>
              </w:rPr>
            </w:pPr>
          </w:p>
          <w:p w14:paraId="14163FC1">
            <w:pPr>
              <w:numPr>
                <w:ilvl w:val="0"/>
                <w:numId w:val="1"/>
              </w:numPr>
              <w:ind w:firstLine="482"/>
              <w:rPr>
                <w:rFonts w:hint="eastAsia" w:ascii="宋体" w:hAnsi="宋体" w:eastAsia="宋体" w:cs="宋体"/>
                <w:b/>
                <w:bCs/>
                <w:sz w:val="24"/>
                <w:szCs w:val="24"/>
              </w:rPr>
            </w:pPr>
            <w:r>
              <w:rPr>
                <w:rFonts w:hint="eastAsia" w:ascii="宋体" w:hAnsi="宋体" w:eastAsia="宋体" w:cs="宋体"/>
                <w:b/>
                <w:bCs/>
                <w:sz w:val="24"/>
                <w:szCs w:val="24"/>
              </w:rPr>
              <w:t>未来会不会根据市场价格调整产品价格？</w:t>
            </w:r>
          </w:p>
          <w:p w14:paraId="7729E5DA">
            <w:pPr>
              <w:ind w:firstLine="480"/>
              <w:rPr>
                <w:rFonts w:hint="eastAsia" w:ascii="宋体" w:hAnsi="宋体" w:eastAsia="宋体" w:cs="宋体"/>
                <w:sz w:val="24"/>
                <w:szCs w:val="24"/>
              </w:rPr>
            </w:pPr>
            <w:r>
              <w:rPr>
                <w:rFonts w:hint="eastAsia" w:ascii="宋体" w:hAnsi="宋体" w:eastAsia="宋体" w:cs="宋体"/>
                <w:sz w:val="24"/>
                <w:szCs w:val="24"/>
              </w:rPr>
              <w:t>答：我们会根据产能释放情况、国内饲料市场和养殖端的变化以及大宗原料价格走势实时调整价格。虽然近两年豆粕价格下降幅度较大，但公司产品未出现大幅降价，因为公司在寻找的是价值客户，为客户带来价值，同时让公司的产品也体现价值。</w:t>
            </w:r>
          </w:p>
          <w:p w14:paraId="5483F159">
            <w:pPr>
              <w:ind w:firstLine="480"/>
              <w:rPr>
                <w:rFonts w:hint="eastAsia" w:ascii="宋体" w:hAnsi="宋体" w:eastAsia="宋体" w:cs="宋体"/>
                <w:sz w:val="24"/>
                <w:szCs w:val="24"/>
              </w:rPr>
            </w:pPr>
          </w:p>
          <w:p w14:paraId="506C0D2D">
            <w:pPr>
              <w:numPr>
                <w:ilvl w:val="0"/>
                <w:numId w:val="1"/>
              </w:numPr>
              <w:ind w:firstLine="482"/>
              <w:rPr>
                <w:rFonts w:hint="eastAsia" w:ascii="宋体" w:hAnsi="宋体" w:eastAsia="宋体" w:cs="宋体"/>
                <w:b/>
                <w:bCs/>
                <w:sz w:val="24"/>
                <w:szCs w:val="24"/>
              </w:rPr>
            </w:pPr>
            <w:r>
              <w:rPr>
                <w:rFonts w:hint="eastAsia" w:ascii="宋体" w:hAnsi="宋体" w:eastAsia="宋体" w:cs="宋体"/>
                <w:b/>
                <w:bCs/>
                <w:sz w:val="24"/>
                <w:szCs w:val="24"/>
              </w:rPr>
              <w:t>随着工厂的投产，折旧摊销的压力会比较大吗？</w:t>
            </w:r>
          </w:p>
          <w:p w14:paraId="1EBC5C55">
            <w:pPr>
              <w:ind w:firstLine="480"/>
              <w:rPr>
                <w:rFonts w:hint="eastAsia" w:ascii="宋体" w:hAnsi="宋体" w:eastAsia="宋体" w:cs="宋体"/>
                <w:sz w:val="24"/>
                <w:szCs w:val="24"/>
              </w:rPr>
            </w:pPr>
            <w:r>
              <w:rPr>
                <w:rFonts w:hint="eastAsia" w:ascii="宋体" w:hAnsi="宋体" w:eastAsia="宋体" w:cs="宋体"/>
                <w:sz w:val="24"/>
                <w:szCs w:val="24"/>
              </w:rPr>
              <w:t>答：目前公司新建的白酒糟生物发酵饲料工厂在有序进入投产状态，折旧摊销有一定的承压，折旧摊销成本占生产成本的比例大约为10%。从解决思路来看，公司尽快拓展客户、提高产品销量，随着产销量的提升，能有效降低公司的折旧摊销等固定成本。</w:t>
            </w:r>
          </w:p>
          <w:p w14:paraId="255A85A2">
            <w:pPr>
              <w:spacing w:line="360" w:lineRule="auto"/>
              <w:ind w:firstLine="482"/>
              <w:rPr>
                <w:rFonts w:hint="eastAsia" w:ascii="宋体" w:hAnsi="宋体" w:eastAsia="宋体" w:cs="宋体"/>
                <w:b/>
                <w:sz w:val="24"/>
                <w:szCs w:val="24"/>
              </w:rPr>
            </w:pPr>
          </w:p>
          <w:p w14:paraId="7021B9A9">
            <w:pPr>
              <w:numPr>
                <w:ilvl w:val="0"/>
                <w:numId w:val="1"/>
              </w:numPr>
              <w:ind w:firstLine="482"/>
              <w:rPr>
                <w:rFonts w:hint="eastAsia" w:ascii="宋体" w:hAnsi="宋体" w:eastAsia="宋体" w:cs="宋体"/>
                <w:b/>
                <w:bCs/>
                <w:sz w:val="24"/>
                <w:szCs w:val="24"/>
              </w:rPr>
            </w:pPr>
            <w:r>
              <w:rPr>
                <w:rFonts w:hint="eastAsia" w:ascii="宋体" w:hAnsi="宋体" w:eastAsia="宋体" w:cs="宋体"/>
                <w:b/>
                <w:bCs/>
                <w:sz w:val="24"/>
                <w:szCs w:val="24"/>
              </w:rPr>
              <w:t>公司目前白酒糟生物发酵饲料业务的经销和直销的比例大概是多少？</w:t>
            </w:r>
          </w:p>
          <w:p w14:paraId="429C0583">
            <w:pPr>
              <w:ind w:firstLine="480"/>
              <w:rPr>
                <w:rFonts w:hint="eastAsia" w:ascii="宋体" w:hAnsi="宋体" w:eastAsia="宋体" w:cs="宋体"/>
                <w:sz w:val="24"/>
                <w:szCs w:val="24"/>
              </w:rPr>
            </w:pPr>
            <w:r>
              <w:rPr>
                <w:rFonts w:hint="eastAsia" w:ascii="宋体" w:hAnsi="宋体" w:eastAsia="宋体" w:cs="宋体"/>
                <w:sz w:val="24"/>
                <w:szCs w:val="24"/>
              </w:rPr>
              <w:t>答：公司目前的终端客户近150家，白酒糟生物发酵饲料业务的经销和直销客户占比分别约70%和30%，</w:t>
            </w:r>
            <w:bookmarkStart w:id="9" w:name="OLE_LINK12"/>
            <w:r>
              <w:rPr>
                <w:rFonts w:hint="eastAsia" w:ascii="宋体" w:hAnsi="宋体" w:eastAsia="宋体" w:cs="宋体"/>
                <w:sz w:val="24"/>
                <w:szCs w:val="24"/>
              </w:rPr>
              <w:t>大的经销商有一定的垫资能力，有助于公司快速回笼资金，以及经销商可以进行就近的区域开发。</w:t>
            </w:r>
            <w:bookmarkEnd w:id="9"/>
          </w:p>
          <w:p w14:paraId="4D3F9A3D">
            <w:pPr>
              <w:ind w:left="640" w:leftChars="200" w:firstLine="0" w:firstLineChars="0"/>
              <w:rPr>
                <w:rFonts w:hint="eastAsia" w:ascii="宋体" w:hAnsi="宋体" w:eastAsia="宋体" w:cs="宋体"/>
                <w:b/>
                <w:bCs/>
                <w:sz w:val="24"/>
                <w:szCs w:val="24"/>
              </w:rPr>
            </w:pPr>
          </w:p>
          <w:p w14:paraId="69642536">
            <w:pPr>
              <w:numPr>
                <w:ilvl w:val="0"/>
                <w:numId w:val="1"/>
              </w:numPr>
              <w:ind w:firstLine="482"/>
              <w:rPr>
                <w:rFonts w:hint="eastAsia" w:ascii="宋体" w:hAnsi="宋体" w:eastAsia="宋体" w:cs="宋体"/>
                <w:b/>
                <w:bCs/>
                <w:sz w:val="24"/>
                <w:szCs w:val="24"/>
              </w:rPr>
            </w:pPr>
            <w:r>
              <w:rPr>
                <w:rFonts w:hint="eastAsia" w:ascii="宋体" w:hAnsi="宋体" w:eastAsia="宋体" w:cs="宋体"/>
                <w:b/>
                <w:bCs/>
                <w:sz w:val="24"/>
                <w:szCs w:val="24"/>
              </w:rPr>
              <w:t>后续公司对于销售这一块的规划是怎样的？包括销售队伍的架构分布和人员数量情况？</w:t>
            </w:r>
          </w:p>
          <w:p w14:paraId="1292C75D">
            <w:pPr>
              <w:ind w:firstLine="480"/>
              <w:rPr>
                <w:rFonts w:hint="eastAsia" w:ascii="宋体" w:hAnsi="宋体" w:eastAsia="宋体" w:cs="宋体"/>
                <w:sz w:val="24"/>
                <w:szCs w:val="24"/>
              </w:rPr>
            </w:pPr>
            <w:r>
              <w:rPr>
                <w:rFonts w:hint="eastAsia" w:ascii="宋体" w:hAnsi="宋体" w:eastAsia="宋体" w:cs="宋体"/>
                <w:sz w:val="24"/>
                <w:szCs w:val="24"/>
              </w:rPr>
              <w:t>答：目前销售公司的人员数量有将近35人，包括销管、业务员和技术服务人员等，公司针对业务员设置了淘汰机制，有一定的绩效考核压力。</w:t>
            </w:r>
          </w:p>
          <w:p w14:paraId="5F83432A">
            <w:pPr>
              <w:ind w:firstLine="480"/>
              <w:rPr>
                <w:rFonts w:hint="eastAsia" w:ascii="宋体" w:hAnsi="宋体" w:eastAsia="宋体" w:cs="宋体"/>
                <w:sz w:val="24"/>
                <w:szCs w:val="24"/>
                <w:highlight w:val="yellow"/>
              </w:rPr>
            </w:pPr>
            <w:r>
              <w:rPr>
                <w:rFonts w:hint="eastAsia" w:ascii="宋体" w:hAnsi="宋体" w:eastAsia="宋体" w:cs="宋体"/>
                <w:sz w:val="24"/>
                <w:szCs w:val="24"/>
              </w:rPr>
              <w:t>销售规划上，一方面，公司将加强团队建设和销售渠道建立，把补充人手、扩充渠道作为第一要务，计划将销售渠道渗透到国内排名前100的头部农牧企业和饲料企业，通过不断完善销售团队和销售渠道，建立高效的沟通机制，实现对市场变化的快速反应，从而为客户提供更加优质、高效的服务，提升公司在市场中的竞争力和影响力。</w:t>
            </w:r>
          </w:p>
          <w:p w14:paraId="74087BE9">
            <w:pPr>
              <w:ind w:firstLine="480"/>
              <w:rPr>
                <w:rFonts w:hint="eastAsia" w:ascii="宋体" w:hAnsi="宋体" w:eastAsia="宋体" w:cs="宋体"/>
                <w:sz w:val="24"/>
                <w:szCs w:val="24"/>
              </w:rPr>
            </w:pPr>
            <w:r>
              <w:rPr>
                <w:rFonts w:hint="eastAsia" w:ascii="宋体" w:hAnsi="宋体" w:eastAsia="宋体" w:cs="宋体"/>
                <w:sz w:val="24"/>
                <w:szCs w:val="24"/>
              </w:rPr>
              <w:t>另一方面，公司还需要科研先行，与各大科研机构和学校、客户等开展针对性的研发活动，为产品销售提供技术支撑；同时，通过与国内的农业科学家进行合作、完善公司的数据库。另外，公司也将积极推进与头部大客户的合作研发，准确把握客户的需求，让客户用的放心。</w:t>
            </w:r>
          </w:p>
          <w:p w14:paraId="66579E9C">
            <w:pPr>
              <w:ind w:firstLine="0" w:firstLineChars="0"/>
              <w:rPr>
                <w:rFonts w:hint="eastAsia" w:ascii="宋体" w:hAnsi="宋体" w:eastAsia="宋体" w:cs="宋体"/>
                <w:sz w:val="24"/>
                <w:szCs w:val="24"/>
              </w:rPr>
            </w:pPr>
          </w:p>
        </w:tc>
      </w:tr>
      <w:tr w14:paraId="7A5F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7452F93C">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附件清单</w:t>
            </w: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3D35D015">
            <w:pPr>
              <w:spacing w:line="360" w:lineRule="auto"/>
              <w:ind w:firstLine="0" w:firstLineChars="0"/>
              <w:rPr>
                <w:rFonts w:hint="eastAsia" w:ascii="宋体" w:hAnsi="宋体" w:eastAsia="宋体" w:cs="宋体"/>
                <w:bCs/>
                <w:iCs/>
                <w:sz w:val="21"/>
                <w:szCs w:val="21"/>
              </w:rPr>
            </w:pPr>
            <w:r>
              <w:rPr>
                <w:rFonts w:hint="eastAsia" w:ascii="宋体" w:hAnsi="宋体" w:eastAsia="宋体" w:cs="宋体"/>
                <w:bCs/>
                <w:iCs/>
                <w:sz w:val="21"/>
                <w:szCs w:val="21"/>
              </w:rPr>
              <w:t>详见附件</w:t>
            </w:r>
          </w:p>
        </w:tc>
      </w:tr>
      <w:tr w14:paraId="4609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14:paraId="61176B86">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日期</w:t>
            </w:r>
          </w:p>
        </w:tc>
        <w:tc>
          <w:tcPr>
            <w:tcW w:w="3886" w:type="pct"/>
            <w:tcBorders>
              <w:top w:val="single" w:color="auto" w:sz="4" w:space="0"/>
              <w:left w:val="single" w:color="auto" w:sz="4" w:space="0"/>
              <w:bottom w:val="single" w:color="auto" w:sz="4" w:space="0"/>
              <w:right w:val="single" w:color="auto" w:sz="4" w:space="0"/>
            </w:tcBorders>
            <w:shd w:val="clear" w:color="auto" w:fill="auto"/>
          </w:tcPr>
          <w:p w14:paraId="1A243AAA">
            <w:pPr>
              <w:spacing w:line="360" w:lineRule="auto"/>
              <w:ind w:firstLine="0" w:firstLineChars="0"/>
              <w:rPr>
                <w:rFonts w:hint="eastAsia" w:ascii="宋体" w:hAnsi="宋体" w:eastAsia="宋体" w:cs="宋体"/>
                <w:bCs/>
                <w:iCs/>
                <w:sz w:val="21"/>
                <w:szCs w:val="21"/>
              </w:rPr>
            </w:pPr>
            <w:r>
              <w:rPr>
                <w:rFonts w:hint="eastAsia" w:ascii="宋体" w:hAnsi="宋体" w:eastAsia="宋体" w:cs="宋体"/>
                <w:bCs/>
                <w:iCs/>
                <w:sz w:val="21"/>
                <w:szCs w:val="21"/>
              </w:rPr>
              <w:t>2024年10月26日</w:t>
            </w:r>
          </w:p>
        </w:tc>
      </w:tr>
    </w:tbl>
    <w:p w14:paraId="1144465C">
      <w:pPr>
        <w:spacing w:line="360" w:lineRule="auto"/>
        <w:ind w:firstLine="0" w:firstLineChars="0"/>
        <w:rPr>
          <w:rFonts w:eastAsia="宋体"/>
          <w:sz w:val="24"/>
          <w:szCs w:val="24"/>
        </w:rPr>
      </w:pPr>
    </w:p>
    <w:p w14:paraId="4B3C1418">
      <w:pPr>
        <w:spacing w:line="360" w:lineRule="auto"/>
        <w:ind w:firstLine="0" w:firstLineChars="0"/>
        <w:jc w:val="center"/>
        <w:rPr>
          <w:rFonts w:eastAsia="宋体"/>
          <w:sz w:val="24"/>
          <w:szCs w:val="24"/>
        </w:rPr>
      </w:pPr>
      <w:r>
        <w:rPr>
          <w:rFonts w:eastAsia="宋体"/>
          <w:sz w:val="24"/>
          <w:szCs w:val="24"/>
        </w:rPr>
        <w:t>附件清单（排名不分先后）</w:t>
      </w:r>
    </w:p>
    <w:tbl>
      <w:tblPr>
        <w:tblStyle w:val="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84"/>
        <w:gridCol w:w="1530"/>
        <w:gridCol w:w="2430"/>
      </w:tblGrid>
      <w:tr w14:paraId="0A11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D7D7D7" w:themeFill="background1" w:themeFillShade="D8"/>
          </w:tcPr>
          <w:p w14:paraId="41D6490B">
            <w:pPr>
              <w:spacing w:line="240" w:lineRule="auto"/>
              <w:ind w:firstLine="0" w:firstLineChars="0"/>
              <w:jc w:val="center"/>
              <w:rPr>
                <w:rFonts w:eastAsia="宋体"/>
                <w:b/>
                <w:bCs/>
                <w:sz w:val="20"/>
              </w:rPr>
            </w:pPr>
            <w:r>
              <w:rPr>
                <w:rFonts w:eastAsia="宋体"/>
                <w:b/>
                <w:bCs/>
                <w:sz w:val="20"/>
              </w:rPr>
              <w:t>单位名称</w:t>
            </w:r>
          </w:p>
        </w:tc>
        <w:tc>
          <w:tcPr>
            <w:tcW w:w="2481" w:type="dxa"/>
            <w:tcBorders>
              <w:right w:val="single" w:color="auto" w:sz="4" w:space="0"/>
            </w:tcBorders>
            <w:shd w:val="clear" w:color="auto" w:fill="D7D7D7" w:themeFill="background1" w:themeFillShade="D8"/>
          </w:tcPr>
          <w:p w14:paraId="2FF85D80">
            <w:pPr>
              <w:spacing w:line="240" w:lineRule="auto"/>
              <w:ind w:firstLine="0" w:firstLineChars="0"/>
              <w:jc w:val="center"/>
              <w:rPr>
                <w:rFonts w:eastAsia="宋体"/>
                <w:b/>
                <w:bCs/>
                <w:sz w:val="20"/>
              </w:rPr>
            </w:pPr>
            <w:r>
              <w:rPr>
                <w:rFonts w:eastAsia="宋体"/>
                <w:b/>
                <w:bCs/>
                <w:sz w:val="20"/>
              </w:rPr>
              <w:t>参与人员</w:t>
            </w:r>
          </w:p>
        </w:tc>
        <w:tc>
          <w:tcPr>
            <w:tcW w:w="384" w:type="dxa"/>
            <w:tcBorders>
              <w:top w:val="nil"/>
              <w:left w:val="single" w:color="auto" w:sz="4" w:space="0"/>
              <w:bottom w:val="nil"/>
              <w:right w:val="single" w:color="auto" w:sz="4" w:space="0"/>
            </w:tcBorders>
            <w:shd w:val="clear" w:color="auto" w:fill="FFFFFF" w:themeFill="background1"/>
          </w:tcPr>
          <w:p w14:paraId="7138ACDA">
            <w:pPr>
              <w:spacing w:line="240" w:lineRule="auto"/>
              <w:ind w:firstLine="402"/>
              <w:rPr>
                <w:rFonts w:eastAsia="宋体"/>
                <w:b/>
                <w:bCs/>
                <w:sz w:val="20"/>
              </w:rPr>
            </w:pPr>
          </w:p>
        </w:tc>
        <w:tc>
          <w:tcPr>
            <w:tcW w:w="1530" w:type="dxa"/>
            <w:tcBorders>
              <w:left w:val="single" w:color="auto" w:sz="4" w:space="0"/>
            </w:tcBorders>
            <w:shd w:val="clear" w:color="auto" w:fill="D7D7D7" w:themeFill="background1" w:themeFillShade="D8"/>
          </w:tcPr>
          <w:p w14:paraId="478671B1">
            <w:pPr>
              <w:spacing w:line="240" w:lineRule="auto"/>
              <w:ind w:firstLine="0" w:firstLineChars="0"/>
              <w:jc w:val="center"/>
              <w:rPr>
                <w:rFonts w:eastAsia="宋体"/>
                <w:b/>
                <w:bCs/>
                <w:sz w:val="20"/>
              </w:rPr>
            </w:pPr>
            <w:r>
              <w:rPr>
                <w:rFonts w:eastAsia="宋体"/>
                <w:b/>
                <w:bCs/>
                <w:sz w:val="20"/>
              </w:rPr>
              <w:t>单位名称</w:t>
            </w:r>
          </w:p>
        </w:tc>
        <w:tc>
          <w:tcPr>
            <w:tcW w:w="2430" w:type="dxa"/>
            <w:shd w:val="clear" w:color="auto" w:fill="D7D7D7" w:themeFill="background1" w:themeFillShade="D8"/>
          </w:tcPr>
          <w:p w14:paraId="2EE3EB27">
            <w:pPr>
              <w:spacing w:line="240" w:lineRule="auto"/>
              <w:ind w:firstLine="0" w:firstLineChars="0"/>
              <w:jc w:val="center"/>
              <w:rPr>
                <w:rFonts w:eastAsia="宋体"/>
                <w:b/>
                <w:bCs/>
                <w:sz w:val="20"/>
              </w:rPr>
            </w:pPr>
            <w:r>
              <w:rPr>
                <w:rFonts w:eastAsia="宋体"/>
                <w:b/>
                <w:bCs/>
                <w:sz w:val="20"/>
              </w:rPr>
              <w:t>参与人员</w:t>
            </w:r>
          </w:p>
        </w:tc>
      </w:tr>
      <w:tr w14:paraId="03B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vAlign w:val="center"/>
          </w:tcPr>
          <w:p w14:paraId="3F889CBC">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中金公司</w:t>
            </w:r>
          </w:p>
        </w:tc>
        <w:tc>
          <w:tcPr>
            <w:tcW w:w="2481" w:type="dxa"/>
            <w:tcBorders>
              <w:right w:val="single" w:color="auto" w:sz="4" w:space="0"/>
            </w:tcBorders>
            <w:vAlign w:val="center"/>
          </w:tcPr>
          <w:p w14:paraId="5F2A6F67">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蒋雨岑</w:t>
            </w:r>
          </w:p>
        </w:tc>
        <w:tc>
          <w:tcPr>
            <w:tcW w:w="384" w:type="dxa"/>
            <w:tcBorders>
              <w:top w:val="nil"/>
              <w:left w:val="single" w:color="auto" w:sz="4" w:space="0"/>
              <w:bottom w:val="nil"/>
              <w:right w:val="single" w:color="auto" w:sz="4" w:space="0"/>
            </w:tcBorders>
            <w:vAlign w:val="center"/>
          </w:tcPr>
          <w:p w14:paraId="7BFC8E65">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6948FE06">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北京标杆投资</w:t>
            </w:r>
          </w:p>
        </w:tc>
        <w:tc>
          <w:tcPr>
            <w:tcW w:w="2430" w:type="dxa"/>
            <w:vAlign w:val="center"/>
          </w:tcPr>
          <w:p w14:paraId="637CC81D">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丁声高</w:t>
            </w:r>
          </w:p>
        </w:tc>
      </w:tr>
      <w:tr w14:paraId="6D76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96" w:type="dxa"/>
            <w:vAlign w:val="center"/>
          </w:tcPr>
          <w:p w14:paraId="0AC5B2C5">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浙商证券</w:t>
            </w:r>
          </w:p>
        </w:tc>
        <w:tc>
          <w:tcPr>
            <w:tcW w:w="2481" w:type="dxa"/>
            <w:tcBorders>
              <w:right w:val="single" w:color="auto" w:sz="4" w:space="0"/>
            </w:tcBorders>
            <w:vAlign w:val="center"/>
          </w:tcPr>
          <w:p w14:paraId="722CB820">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张家祯、施文燊</w:t>
            </w:r>
          </w:p>
        </w:tc>
        <w:tc>
          <w:tcPr>
            <w:tcW w:w="384" w:type="dxa"/>
            <w:tcBorders>
              <w:top w:val="nil"/>
              <w:left w:val="single" w:color="auto" w:sz="4" w:space="0"/>
              <w:bottom w:val="nil"/>
              <w:right w:val="single" w:color="auto" w:sz="4" w:space="0"/>
            </w:tcBorders>
            <w:vAlign w:val="center"/>
          </w:tcPr>
          <w:p w14:paraId="52BD03A9">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72B2F63F">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成都保盛家族资产</w:t>
            </w:r>
          </w:p>
        </w:tc>
        <w:tc>
          <w:tcPr>
            <w:tcW w:w="2430" w:type="dxa"/>
            <w:vAlign w:val="center"/>
          </w:tcPr>
          <w:p w14:paraId="66A8E9C2">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王国森</w:t>
            </w:r>
          </w:p>
        </w:tc>
      </w:tr>
      <w:tr w14:paraId="4E69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61DFC48">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天风证券</w:t>
            </w:r>
          </w:p>
        </w:tc>
        <w:tc>
          <w:tcPr>
            <w:tcW w:w="2481" w:type="dxa"/>
            <w:tcBorders>
              <w:right w:val="single" w:color="auto" w:sz="4" w:space="0"/>
            </w:tcBorders>
            <w:vAlign w:val="center"/>
          </w:tcPr>
          <w:p w14:paraId="141EA701">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戴飞、胡冰清</w:t>
            </w:r>
          </w:p>
        </w:tc>
        <w:tc>
          <w:tcPr>
            <w:tcW w:w="384" w:type="dxa"/>
            <w:tcBorders>
              <w:top w:val="nil"/>
              <w:left w:val="single" w:color="auto" w:sz="4" w:space="0"/>
              <w:bottom w:val="nil"/>
              <w:right w:val="single" w:color="auto" w:sz="4" w:space="0"/>
            </w:tcBorders>
            <w:vAlign w:val="center"/>
          </w:tcPr>
          <w:p w14:paraId="191CD173">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2A88B6D8">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琮碧秋实</w:t>
            </w:r>
          </w:p>
        </w:tc>
        <w:tc>
          <w:tcPr>
            <w:tcW w:w="2430" w:type="dxa"/>
            <w:vAlign w:val="center"/>
          </w:tcPr>
          <w:p w14:paraId="33700A2D">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曹博</w:t>
            </w:r>
          </w:p>
        </w:tc>
      </w:tr>
      <w:tr w14:paraId="11BD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2CE2525">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长江证券</w:t>
            </w:r>
          </w:p>
        </w:tc>
        <w:tc>
          <w:tcPr>
            <w:tcW w:w="2481" w:type="dxa"/>
            <w:tcBorders>
              <w:right w:val="single" w:color="auto" w:sz="4" w:space="0"/>
            </w:tcBorders>
            <w:vAlign w:val="center"/>
          </w:tcPr>
          <w:p w14:paraId="74F52517">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任楠</w:t>
            </w:r>
          </w:p>
        </w:tc>
        <w:tc>
          <w:tcPr>
            <w:tcW w:w="384" w:type="dxa"/>
            <w:tcBorders>
              <w:top w:val="nil"/>
              <w:left w:val="single" w:color="auto" w:sz="4" w:space="0"/>
              <w:bottom w:val="nil"/>
              <w:right w:val="single" w:color="auto" w:sz="4" w:space="0"/>
            </w:tcBorders>
            <w:vAlign w:val="center"/>
          </w:tcPr>
          <w:p w14:paraId="49E70FFC">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7235D45A">
            <w:pPr>
              <w:widowControl/>
              <w:spacing w:line="240" w:lineRule="auto"/>
              <w:ind w:firstLine="0" w:firstLineChars="0"/>
              <w:jc w:val="center"/>
              <w:textAlignment w:val="center"/>
              <w:rPr>
                <w:rFonts w:hint="eastAsia" w:ascii="宋体" w:hAnsi="宋体" w:eastAsia="宋体" w:cs="宋体"/>
                <w:kern w:val="0"/>
                <w:sz w:val="20"/>
                <w:lang w:bidi="ar"/>
              </w:rPr>
            </w:pPr>
            <w:bookmarkStart w:id="10" w:name="OLE_LINK2"/>
            <w:r>
              <w:rPr>
                <w:rFonts w:hint="eastAsia" w:ascii="宋体" w:hAnsi="宋体" w:eastAsia="宋体" w:cs="宋体"/>
                <w:kern w:val="0"/>
                <w:sz w:val="20"/>
                <w:lang w:bidi="ar"/>
              </w:rPr>
              <w:t>鸿运私募</w:t>
            </w:r>
            <w:bookmarkEnd w:id="10"/>
          </w:p>
        </w:tc>
        <w:tc>
          <w:tcPr>
            <w:tcW w:w="2430" w:type="dxa"/>
            <w:vAlign w:val="center"/>
          </w:tcPr>
          <w:p w14:paraId="0D70FDCE">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朱伟华、蒋睿</w:t>
            </w:r>
          </w:p>
        </w:tc>
      </w:tr>
      <w:tr w14:paraId="60AF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D0B2A0C">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东吴证券</w:t>
            </w:r>
          </w:p>
        </w:tc>
        <w:tc>
          <w:tcPr>
            <w:tcW w:w="2481" w:type="dxa"/>
            <w:tcBorders>
              <w:right w:val="single" w:color="auto" w:sz="4" w:space="0"/>
            </w:tcBorders>
            <w:vAlign w:val="center"/>
          </w:tcPr>
          <w:p w14:paraId="49282027">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陈孜文</w:t>
            </w:r>
          </w:p>
        </w:tc>
        <w:tc>
          <w:tcPr>
            <w:tcW w:w="384" w:type="dxa"/>
            <w:tcBorders>
              <w:top w:val="nil"/>
              <w:left w:val="single" w:color="auto" w:sz="4" w:space="0"/>
              <w:bottom w:val="nil"/>
              <w:right w:val="single" w:color="auto" w:sz="4" w:space="0"/>
            </w:tcBorders>
            <w:vAlign w:val="center"/>
          </w:tcPr>
          <w:p w14:paraId="55CE168B">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79661EB0">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狐尾松资产</w:t>
            </w:r>
          </w:p>
        </w:tc>
        <w:tc>
          <w:tcPr>
            <w:tcW w:w="2430" w:type="dxa"/>
            <w:vAlign w:val="center"/>
          </w:tcPr>
          <w:p w14:paraId="3EFEA84C">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丁凡</w:t>
            </w:r>
          </w:p>
        </w:tc>
      </w:tr>
      <w:tr w14:paraId="1529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C418EB6">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方正证券</w:t>
            </w:r>
          </w:p>
        </w:tc>
        <w:tc>
          <w:tcPr>
            <w:tcW w:w="2481" w:type="dxa"/>
            <w:tcBorders>
              <w:right w:val="single" w:color="auto" w:sz="4" w:space="0"/>
            </w:tcBorders>
            <w:vAlign w:val="center"/>
          </w:tcPr>
          <w:p w14:paraId="37E7734B">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汪寅生、毛学东</w:t>
            </w:r>
          </w:p>
        </w:tc>
        <w:tc>
          <w:tcPr>
            <w:tcW w:w="384" w:type="dxa"/>
            <w:tcBorders>
              <w:top w:val="nil"/>
              <w:left w:val="single" w:color="auto" w:sz="4" w:space="0"/>
              <w:bottom w:val="nil"/>
              <w:right w:val="single" w:color="auto" w:sz="4" w:space="0"/>
            </w:tcBorders>
            <w:vAlign w:val="center"/>
          </w:tcPr>
          <w:p w14:paraId="79C80B33">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790E1040">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湖南楚恒资产</w:t>
            </w:r>
          </w:p>
        </w:tc>
        <w:tc>
          <w:tcPr>
            <w:tcW w:w="2430" w:type="dxa"/>
            <w:vAlign w:val="center"/>
          </w:tcPr>
          <w:p w14:paraId="35230BDC">
            <w:pPr>
              <w:widowControl/>
              <w:spacing w:line="240" w:lineRule="auto"/>
              <w:ind w:firstLine="0" w:firstLineChars="0"/>
              <w:jc w:val="center"/>
              <w:textAlignment w:val="center"/>
              <w:rPr>
                <w:rFonts w:hint="eastAsia" w:ascii="宋体" w:hAnsi="宋体" w:eastAsia="宋体" w:cs="宋体"/>
                <w:kern w:val="0"/>
                <w:sz w:val="20"/>
                <w:lang w:bidi="ar"/>
              </w:rPr>
            </w:pPr>
            <w:bookmarkStart w:id="11" w:name="OLE_LINK13"/>
            <w:r>
              <w:rPr>
                <w:rFonts w:hint="eastAsia" w:ascii="宋体" w:hAnsi="宋体" w:eastAsia="宋体" w:cs="宋体"/>
                <w:kern w:val="0"/>
                <w:sz w:val="20"/>
                <w:lang w:bidi="ar"/>
              </w:rPr>
              <w:t>袁超</w:t>
            </w:r>
            <w:bookmarkEnd w:id="11"/>
          </w:p>
        </w:tc>
      </w:tr>
      <w:tr w14:paraId="3B20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vAlign w:val="center"/>
          </w:tcPr>
          <w:p w14:paraId="2987075B">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广发证券</w:t>
            </w:r>
          </w:p>
        </w:tc>
        <w:tc>
          <w:tcPr>
            <w:tcW w:w="2481" w:type="dxa"/>
            <w:tcBorders>
              <w:right w:val="single" w:color="auto" w:sz="4" w:space="0"/>
            </w:tcBorders>
            <w:vAlign w:val="center"/>
          </w:tcPr>
          <w:p w14:paraId="28A22AD3">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荣凌琪</w:t>
            </w:r>
          </w:p>
        </w:tc>
        <w:tc>
          <w:tcPr>
            <w:tcW w:w="384" w:type="dxa"/>
            <w:tcBorders>
              <w:top w:val="nil"/>
              <w:left w:val="single" w:color="auto" w:sz="4" w:space="0"/>
              <w:bottom w:val="nil"/>
              <w:right w:val="single" w:color="auto" w:sz="4" w:space="0"/>
            </w:tcBorders>
            <w:vAlign w:val="center"/>
          </w:tcPr>
          <w:p w14:paraId="713A8EF2">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1206578E">
            <w:pPr>
              <w:widowControl/>
              <w:spacing w:line="240" w:lineRule="auto"/>
              <w:ind w:firstLine="0" w:firstLineChars="0"/>
              <w:jc w:val="center"/>
              <w:textAlignment w:val="center"/>
              <w:rPr>
                <w:rFonts w:hint="eastAsia" w:ascii="宋体" w:hAnsi="宋体" w:eastAsia="宋体" w:cs="宋体"/>
                <w:kern w:val="0"/>
                <w:sz w:val="20"/>
                <w:lang w:bidi="ar"/>
              </w:rPr>
            </w:pPr>
            <w:bookmarkStart w:id="12" w:name="OLE_LINK1"/>
            <w:r>
              <w:rPr>
                <w:rFonts w:hint="eastAsia" w:ascii="宋体" w:hAnsi="宋体" w:eastAsia="宋体" w:cs="宋体"/>
                <w:kern w:val="0"/>
                <w:sz w:val="20"/>
                <w:lang w:bidi="ar"/>
              </w:rPr>
              <w:t>美阳投资</w:t>
            </w:r>
            <w:bookmarkEnd w:id="12"/>
          </w:p>
        </w:tc>
        <w:tc>
          <w:tcPr>
            <w:tcW w:w="2430" w:type="dxa"/>
            <w:vAlign w:val="center"/>
          </w:tcPr>
          <w:p w14:paraId="2CC86BE7">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胡智敏</w:t>
            </w:r>
          </w:p>
        </w:tc>
      </w:tr>
      <w:tr w14:paraId="28F2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8D8B219">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国金证券</w:t>
            </w:r>
          </w:p>
        </w:tc>
        <w:tc>
          <w:tcPr>
            <w:tcW w:w="2481" w:type="dxa"/>
            <w:tcBorders>
              <w:right w:val="single" w:color="auto" w:sz="4" w:space="0"/>
            </w:tcBorders>
            <w:vAlign w:val="center"/>
          </w:tcPr>
          <w:p w14:paraId="5B73F8FE">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张君昊</w:t>
            </w:r>
          </w:p>
        </w:tc>
        <w:tc>
          <w:tcPr>
            <w:tcW w:w="384" w:type="dxa"/>
            <w:tcBorders>
              <w:top w:val="nil"/>
              <w:left w:val="single" w:color="auto" w:sz="4" w:space="0"/>
              <w:bottom w:val="nil"/>
              <w:right w:val="single" w:color="auto" w:sz="4" w:space="0"/>
            </w:tcBorders>
            <w:vAlign w:val="center"/>
          </w:tcPr>
          <w:p w14:paraId="1B41A33C">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0D54D43A">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明达资产</w:t>
            </w:r>
          </w:p>
        </w:tc>
        <w:tc>
          <w:tcPr>
            <w:tcW w:w="2430" w:type="dxa"/>
            <w:vAlign w:val="center"/>
          </w:tcPr>
          <w:p w14:paraId="15361EE4">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肖铎</w:t>
            </w:r>
          </w:p>
        </w:tc>
      </w:tr>
      <w:tr w14:paraId="73FA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vAlign w:val="center"/>
          </w:tcPr>
          <w:p w14:paraId="786F6D01">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国信证券</w:t>
            </w:r>
          </w:p>
        </w:tc>
        <w:tc>
          <w:tcPr>
            <w:tcW w:w="2481" w:type="dxa"/>
            <w:tcBorders>
              <w:right w:val="single" w:color="auto" w:sz="4" w:space="0"/>
            </w:tcBorders>
            <w:vAlign w:val="center"/>
          </w:tcPr>
          <w:p w14:paraId="347E583C">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郑汉林</w:t>
            </w:r>
          </w:p>
        </w:tc>
        <w:tc>
          <w:tcPr>
            <w:tcW w:w="384" w:type="dxa"/>
            <w:tcBorders>
              <w:top w:val="nil"/>
              <w:left w:val="single" w:color="auto" w:sz="4" w:space="0"/>
              <w:bottom w:val="nil"/>
              <w:right w:val="single" w:color="auto" w:sz="4" w:space="0"/>
            </w:tcBorders>
            <w:vAlign w:val="center"/>
          </w:tcPr>
          <w:p w14:paraId="240B34DB">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5FF63190">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墨锋投资</w:t>
            </w:r>
          </w:p>
        </w:tc>
        <w:tc>
          <w:tcPr>
            <w:tcW w:w="2430" w:type="dxa"/>
            <w:vAlign w:val="center"/>
          </w:tcPr>
          <w:p w14:paraId="7F066AC4">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张宜俊</w:t>
            </w:r>
          </w:p>
        </w:tc>
      </w:tr>
      <w:tr w14:paraId="730B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EDAA001">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华创证券</w:t>
            </w:r>
          </w:p>
        </w:tc>
        <w:tc>
          <w:tcPr>
            <w:tcW w:w="2481" w:type="dxa"/>
            <w:tcBorders>
              <w:right w:val="single" w:color="auto" w:sz="4" w:space="0"/>
            </w:tcBorders>
            <w:vAlign w:val="center"/>
          </w:tcPr>
          <w:p w14:paraId="7BAEE31B">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顾超</w:t>
            </w:r>
          </w:p>
        </w:tc>
        <w:tc>
          <w:tcPr>
            <w:tcW w:w="384" w:type="dxa"/>
            <w:tcBorders>
              <w:top w:val="nil"/>
              <w:left w:val="single" w:color="auto" w:sz="4" w:space="0"/>
              <w:bottom w:val="nil"/>
              <w:right w:val="single" w:color="auto" w:sz="4" w:space="0"/>
            </w:tcBorders>
            <w:vAlign w:val="center"/>
          </w:tcPr>
          <w:p w14:paraId="2BF07419">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225D3EFA">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平安基金</w:t>
            </w:r>
          </w:p>
        </w:tc>
        <w:tc>
          <w:tcPr>
            <w:tcW w:w="2430" w:type="dxa"/>
            <w:vAlign w:val="center"/>
          </w:tcPr>
          <w:p w14:paraId="7CB5342E">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周金菲</w:t>
            </w:r>
          </w:p>
        </w:tc>
      </w:tr>
      <w:tr w14:paraId="6FD7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3A61C46">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华金证券</w:t>
            </w:r>
          </w:p>
        </w:tc>
        <w:tc>
          <w:tcPr>
            <w:tcW w:w="2481" w:type="dxa"/>
            <w:tcBorders>
              <w:right w:val="single" w:color="auto" w:sz="4" w:space="0"/>
            </w:tcBorders>
            <w:vAlign w:val="center"/>
          </w:tcPr>
          <w:p w14:paraId="0933C4CD">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李鑫鑫、唐宇每</w:t>
            </w:r>
          </w:p>
        </w:tc>
        <w:tc>
          <w:tcPr>
            <w:tcW w:w="384" w:type="dxa"/>
            <w:tcBorders>
              <w:top w:val="nil"/>
              <w:left w:val="single" w:color="auto" w:sz="4" w:space="0"/>
              <w:bottom w:val="nil"/>
              <w:right w:val="single" w:color="auto" w:sz="4" w:space="0"/>
            </w:tcBorders>
            <w:vAlign w:val="center"/>
          </w:tcPr>
          <w:p w14:paraId="0E2638E6">
            <w:pPr>
              <w:widowControl/>
              <w:spacing w:line="240" w:lineRule="auto"/>
              <w:ind w:firstLine="400"/>
              <w:jc w:val="center"/>
              <w:textAlignment w:val="center"/>
              <w:rPr>
                <w:rFonts w:hint="eastAsia" w:ascii="宋体" w:hAnsi="宋体" w:eastAsia="宋体" w:cs="宋体"/>
                <w:kern w:val="0"/>
                <w:sz w:val="20"/>
                <w:lang w:bidi="ar"/>
              </w:rPr>
            </w:pPr>
          </w:p>
        </w:tc>
        <w:tc>
          <w:tcPr>
            <w:tcW w:w="1530" w:type="dxa"/>
            <w:tcBorders>
              <w:left w:val="single" w:color="auto" w:sz="4" w:space="0"/>
            </w:tcBorders>
            <w:vAlign w:val="center"/>
          </w:tcPr>
          <w:p w14:paraId="0FD72460">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上海感叹号投资</w:t>
            </w:r>
          </w:p>
        </w:tc>
        <w:tc>
          <w:tcPr>
            <w:tcW w:w="2430" w:type="dxa"/>
            <w:vAlign w:val="center"/>
          </w:tcPr>
          <w:p w14:paraId="797DD4E5">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谭永平</w:t>
            </w:r>
          </w:p>
        </w:tc>
      </w:tr>
      <w:tr w14:paraId="12B8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C8E145B">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华鑫证券</w:t>
            </w:r>
          </w:p>
        </w:tc>
        <w:tc>
          <w:tcPr>
            <w:tcW w:w="2481" w:type="dxa"/>
            <w:tcBorders>
              <w:right w:val="single" w:color="auto" w:sz="4" w:space="0"/>
            </w:tcBorders>
            <w:vAlign w:val="center"/>
          </w:tcPr>
          <w:p w14:paraId="776D0928">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肖燕南</w:t>
            </w:r>
          </w:p>
        </w:tc>
        <w:tc>
          <w:tcPr>
            <w:tcW w:w="384" w:type="dxa"/>
            <w:tcBorders>
              <w:top w:val="nil"/>
              <w:left w:val="single" w:color="auto" w:sz="4" w:space="0"/>
              <w:bottom w:val="nil"/>
              <w:right w:val="single" w:color="auto" w:sz="4" w:space="0"/>
            </w:tcBorders>
            <w:vAlign w:val="center"/>
          </w:tcPr>
          <w:p w14:paraId="23573DFF">
            <w:pPr>
              <w:spacing w:line="240" w:lineRule="auto"/>
              <w:ind w:firstLine="400"/>
              <w:jc w:val="center"/>
              <w:rPr>
                <w:rFonts w:hint="eastAsia" w:ascii="宋体" w:hAnsi="宋体" w:eastAsia="宋体" w:cs="宋体"/>
                <w:kern w:val="0"/>
                <w:sz w:val="20"/>
                <w:lang w:bidi="ar"/>
              </w:rPr>
            </w:pPr>
          </w:p>
        </w:tc>
        <w:tc>
          <w:tcPr>
            <w:tcW w:w="1530" w:type="dxa"/>
            <w:tcBorders>
              <w:left w:val="single" w:color="auto" w:sz="4" w:space="0"/>
            </w:tcBorders>
            <w:vAlign w:val="center"/>
          </w:tcPr>
          <w:p w14:paraId="1747E4A1">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天治基金</w:t>
            </w:r>
          </w:p>
        </w:tc>
        <w:tc>
          <w:tcPr>
            <w:tcW w:w="2430" w:type="dxa"/>
            <w:vAlign w:val="center"/>
          </w:tcPr>
          <w:p w14:paraId="752A825C">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王策源</w:t>
            </w:r>
          </w:p>
        </w:tc>
      </w:tr>
      <w:tr w14:paraId="5A85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7C6C860">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开源证券</w:t>
            </w:r>
          </w:p>
        </w:tc>
        <w:tc>
          <w:tcPr>
            <w:tcW w:w="2481" w:type="dxa"/>
            <w:tcBorders>
              <w:right w:val="single" w:color="auto" w:sz="4" w:space="0"/>
            </w:tcBorders>
            <w:vAlign w:val="center"/>
          </w:tcPr>
          <w:p w14:paraId="6C36E418">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陈钟山、张宇光</w:t>
            </w:r>
          </w:p>
        </w:tc>
        <w:tc>
          <w:tcPr>
            <w:tcW w:w="384" w:type="dxa"/>
            <w:tcBorders>
              <w:top w:val="nil"/>
              <w:left w:val="single" w:color="auto" w:sz="4" w:space="0"/>
              <w:bottom w:val="nil"/>
              <w:right w:val="single" w:color="auto" w:sz="4" w:space="0"/>
            </w:tcBorders>
            <w:vAlign w:val="center"/>
          </w:tcPr>
          <w:p w14:paraId="1E2ADF78">
            <w:pPr>
              <w:spacing w:line="240" w:lineRule="auto"/>
              <w:ind w:firstLine="400"/>
              <w:jc w:val="center"/>
              <w:rPr>
                <w:rFonts w:hint="eastAsia" w:ascii="宋体" w:hAnsi="宋体" w:eastAsia="宋体" w:cs="宋体"/>
                <w:kern w:val="0"/>
                <w:sz w:val="20"/>
                <w:lang w:bidi="ar"/>
              </w:rPr>
            </w:pPr>
          </w:p>
        </w:tc>
        <w:tc>
          <w:tcPr>
            <w:tcW w:w="1530" w:type="dxa"/>
            <w:tcBorders>
              <w:left w:val="single" w:color="auto" w:sz="4" w:space="0"/>
            </w:tcBorders>
            <w:vAlign w:val="center"/>
          </w:tcPr>
          <w:p w14:paraId="1A0F3779">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信达证券</w:t>
            </w:r>
          </w:p>
        </w:tc>
        <w:tc>
          <w:tcPr>
            <w:tcW w:w="2430" w:type="dxa"/>
            <w:vAlign w:val="center"/>
          </w:tcPr>
          <w:p w14:paraId="65A0E92E">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赵雷</w:t>
            </w:r>
          </w:p>
        </w:tc>
      </w:tr>
      <w:tr w14:paraId="3C8F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vAlign w:val="center"/>
          </w:tcPr>
          <w:p w14:paraId="492CF057">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南京证券</w:t>
            </w:r>
          </w:p>
        </w:tc>
        <w:tc>
          <w:tcPr>
            <w:tcW w:w="2481" w:type="dxa"/>
            <w:tcBorders>
              <w:right w:val="single" w:color="auto" w:sz="4" w:space="0"/>
            </w:tcBorders>
            <w:vAlign w:val="center"/>
          </w:tcPr>
          <w:p w14:paraId="172C2CC5">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宋芳</w:t>
            </w:r>
          </w:p>
        </w:tc>
        <w:tc>
          <w:tcPr>
            <w:tcW w:w="384" w:type="dxa"/>
            <w:tcBorders>
              <w:top w:val="nil"/>
              <w:left w:val="single" w:color="auto" w:sz="4" w:space="0"/>
              <w:bottom w:val="nil"/>
              <w:right w:val="single" w:color="auto" w:sz="4" w:space="0"/>
            </w:tcBorders>
            <w:vAlign w:val="center"/>
          </w:tcPr>
          <w:p w14:paraId="40675445">
            <w:pPr>
              <w:spacing w:line="240" w:lineRule="auto"/>
              <w:ind w:firstLine="400"/>
              <w:jc w:val="center"/>
              <w:rPr>
                <w:rFonts w:hint="eastAsia" w:ascii="宋体" w:hAnsi="宋体" w:eastAsia="宋体" w:cs="宋体"/>
                <w:kern w:val="0"/>
                <w:sz w:val="20"/>
                <w:lang w:bidi="ar"/>
              </w:rPr>
            </w:pPr>
          </w:p>
        </w:tc>
        <w:tc>
          <w:tcPr>
            <w:tcW w:w="1530" w:type="dxa"/>
            <w:tcBorders>
              <w:left w:val="single" w:color="auto" w:sz="4" w:space="0"/>
            </w:tcBorders>
            <w:vAlign w:val="center"/>
          </w:tcPr>
          <w:p w14:paraId="082038A4">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域秀资产</w:t>
            </w:r>
          </w:p>
        </w:tc>
        <w:tc>
          <w:tcPr>
            <w:tcW w:w="2430" w:type="dxa"/>
            <w:vAlign w:val="center"/>
          </w:tcPr>
          <w:p w14:paraId="32FB72B7">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许俊哲</w:t>
            </w:r>
          </w:p>
        </w:tc>
      </w:tr>
      <w:tr w14:paraId="4DD7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D2E468D">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长城证券</w:t>
            </w:r>
          </w:p>
        </w:tc>
        <w:tc>
          <w:tcPr>
            <w:tcW w:w="2481" w:type="dxa"/>
            <w:tcBorders>
              <w:right w:val="single" w:color="auto" w:sz="4" w:space="0"/>
            </w:tcBorders>
            <w:vAlign w:val="center"/>
          </w:tcPr>
          <w:p w14:paraId="5539EB7E">
            <w:pPr>
              <w:widowControl/>
              <w:spacing w:line="240" w:lineRule="auto"/>
              <w:ind w:firstLine="0" w:firstLineChars="0"/>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罗丽文</w:t>
            </w:r>
          </w:p>
        </w:tc>
        <w:tc>
          <w:tcPr>
            <w:tcW w:w="384" w:type="dxa"/>
            <w:tcBorders>
              <w:top w:val="nil"/>
              <w:left w:val="single" w:color="auto" w:sz="4" w:space="0"/>
              <w:bottom w:val="nil"/>
              <w:right w:val="single" w:color="auto" w:sz="4" w:space="0"/>
            </w:tcBorders>
            <w:vAlign w:val="center"/>
          </w:tcPr>
          <w:p w14:paraId="4404C4E8">
            <w:pPr>
              <w:spacing w:line="240" w:lineRule="auto"/>
              <w:ind w:firstLine="400"/>
              <w:jc w:val="center"/>
              <w:rPr>
                <w:rFonts w:hint="eastAsia" w:ascii="宋体" w:hAnsi="宋体" w:eastAsia="宋体" w:cs="宋体"/>
                <w:kern w:val="0"/>
                <w:sz w:val="20"/>
                <w:lang w:bidi="ar"/>
              </w:rPr>
            </w:pPr>
          </w:p>
        </w:tc>
        <w:tc>
          <w:tcPr>
            <w:tcW w:w="1530" w:type="dxa"/>
            <w:tcBorders>
              <w:left w:val="single" w:color="auto" w:sz="4" w:space="0"/>
            </w:tcBorders>
            <w:vAlign w:val="center"/>
          </w:tcPr>
          <w:p w14:paraId="46A9EBF9">
            <w:pPr>
              <w:widowControl/>
              <w:spacing w:line="240" w:lineRule="auto"/>
              <w:ind w:firstLine="0" w:firstLineChars="0"/>
              <w:jc w:val="center"/>
              <w:rPr>
                <w:rFonts w:hint="eastAsia" w:ascii="宋体" w:hAnsi="宋体" w:eastAsia="宋体" w:cs="宋体"/>
                <w:kern w:val="0"/>
                <w:sz w:val="20"/>
                <w:lang w:bidi="ar"/>
              </w:rPr>
            </w:pPr>
            <w:r>
              <w:rPr>
                <w:rFonts w:hint="eastAsia" w:ascii="宋体" w:hAnsi="宋体" w:eastAsia="宋体" w:cs="宋体"/>
                <w:kern w:val="0"/>
                <w:sz w:val="20"/>
                <w:lang w:bidi="ar"/>
              </w:rPr>
              <w:t>--</w:t>
            </w:r>
          </w:p>
        </w:tc>
        <w:tc>
          <w:tcPr>
            <w:tcW w:w="2430" w:type="dxa"/>
            <w:vAlign w:val="center"/>
          </w:tcPr>
          <w:p w14:paraId="25DAA62E">
            <w:pPr>
              <w:widowControl/>
              <w:spacing w:line="240" w:lineRule="auto"/>
              <w:ind w:firstLine="0" w:firstLineChars="0"/>
              <w:jc w:val="center"/>
              <w:rPr>
                <w:rFonts w:hint="eastAsia" w:ascii="宋体" w:hAnsi="宋体" w:eastAsia="宋体" w:cs="宋体"/>
                <w:kern w:val="0"/>
                <w:sz w:val="20"/>
                <w:lang w:bidi="ar"/>
              </w:rPr>
            </w:pPr>
            <w:r>
              <w:rPr>
                <w:rFonts w:hint="eastAsia" w:ascii="宋体" w:hAnsi="宋体" w:eastAsia="宋体" w:cs="宋体"/>
                <w:kern w:val="0"/>
                <w:sz w:val="20"/>
                <w:lang w:bidi="ar"/>
              </w:rPr>
              <w:t>--</w:t>
            </w:r>
          </w:p>
        </w:tc>
      </w:tr>
    </w:tbl>
    <w:p w14:paraId="0A99F2BF">
      <w:pPr>
        <w:spacing w:line="240" w:lineRule="auto"/>
        <w:ind w:firstLine="0" w:firstLineChars="0"/>
        <w:rPr>
          <w:rFonts w:eastAsia="宋体"/>
          <w:sz w:val="20"/>
        </w:rPr>
      </w:pPr>
    </w:p>
    <w:p w14:paraId="282DB0A3">
      <w:pPr>
        <w:spacing w:line="240" w:lineRule="auto"/>
        <w:ind w:firstLine="0" w:firstLineChars="0"/>
        <w:rPr>
          <w:rFonts w:hint="eastAsia" w:ascii="宋体" w:hAnsi="宋体" w:eastAsia="宋体" w:cs="宋体"/>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443F">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CE2D">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374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F0F4">
    <w:pPr>
      <w:pBdr>
        <w:bottom w:val="single" w:color="auto" w:sz="6" w:space="9"/>
      </w:pBdr>
      <w:tabs>
        <w:tab w:val="center" w:pos="4153"/>
        <w:tab w:val="right" w:pos="8306"/>
      </w:tabs>
      <w:snapToGrid w:val="0"/>
      <w:ind w:firstLine="360"/>
      <w:rPr>
        <w:rFonts w:hint="eastAsia" w:ascii="宋体" w:hAnsi="宋体" w:eastAsia="宋体"/>
        <w:sz w:val="24"/>
        <w:szCs w:val="24"/>
      </w:rPr>
    </w:pPr>
    <w:r>
      <w:rPr>
        <w:rFonts w:eastAsia="宋体"/>
        <w:sz w:val="18"/>
        <w:szCs w:val="18"/>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路德环境科技股份有限公司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A8BE">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CB7C">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9690D"/>
    <w:multiLevelType w:val="singleLevel"/>
    <w:tmpl w:val="7639690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OGRhOWFhNzYyMzQ0ZjE0NzBiZWQwYzc5NTU3NTM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2D26"/>
    <w:rsid w:val="000237C9"/>
    <w:rsid w:val="00023CCF"/>
    <w:rsid w:val="00030BDD"/>
    <w:rsid w:val="0003273C"/>
    <w:rsid w:val="00033FFE"/>
    <w:rsid w:val="00035012"/>
    <w:rsid w:val="00035219"/>
    <w:rsid w:val="00036E01"/>
    <w:rsid w:val="0004785E"/>
    <w:rsid w:val="00052179"/>
    <w:rsid w:val="00052F4B"/>
    <w:rsid w:val="00056AB7"/>
    <w:rsid w:val="000653CF"/>
    <w:rsid w:val="00067D13"/>
    <w:rsid w:val="0007338E"/>
    <w:rsid w:val="00073DAB"/>
    <w:rsid w:val="0007401C"/>
    <w:rsid w:val="0007793E"/>
    <w:rsid w:val="00080953"/>
    <w:rsid w:val="000913BF"/>
    <w:rsid w:val="00092214"/>
    <w:rsid w:val="00092977"/>
    <w:rsid w:val="0009624B"/>
    <w:rsid w:val="00097505"/>
    <w:rsid w:val="000A1EF6"/>
    <w:rsid w:val="000A322E"/>
    <w:rsid w:val="000A61D8"/>
    <w:rsid w:val="000A79BB"/>
    <w:rsid w:val="000B7EF3"/>
    <w:rsid w:val="000C3A73"/>
    <w:rsid w:val="000D0BE3"/>
    <w:rsid w:val="000D1773"/>
    <w:rsid w:val="000D3D23"/>
    <w:rsid w:val="000D7912"/>
    <w:rsid w:val="000E1E5A"/>
    <w:rsid w:val="000E53EA"/>
    <w:rsid w:val="000E6670"/>
    <w:rsid w:val="000F0E37"/>
    <w:rsid w:val="000F194C"/>
    <w:rsid w:val="000F4EE6"/>
    <w:rsid w:val="00102CFF"/>
    <w:rsid w:val="00103620"/>
    <w:rsid w:val="00106150"/>
    <w:rsid w:val="001100D3"/>
    <w:rsid w:val="0011014A"/>
    <w:rsid w:val="001113FD"/>
    <w:rsid w:val="00116341"/>
    <w:rsid w:val="001239F4"/>
    <w:rsid w:val="001243B5"/>
    <w:rsid w:val="001326F9"/>
    <w:rsid w:val="00132B56"/>
    <w:rsid w:val="001407B1"/>
    <w:rsid w:val="001451B0"/>
    <w:rsid w:val="00155607"/>
    <w:rsid w:val="00166809"/>
    <w:rsid w:val="00172A27"/>
    <w:rsid w:val="00172B12"/>
    <w:rsid w:val="00173508"/>
    <w:rsid w:val="00176C04"/>
    <w:rsid w:val="001800D4"/>
    <w:rsid w:val="00186A24"/>
    <w:rsid w:val="00186C83"/>
    <w:rsid w:val="001925FB"/>
    <w:rsid w:val="00194A00"/>
    <w:rsid w:val="00195311"/>
    <w:rsid w:val="00196D19"/>
    <w:rsid w:val="001A004C"/>
    <w:rsid w:val="001A1204"/>
    <w:rsid w:val="001A6D35"/>
    <w:rsid w:val="001A6DDA"/>
    <w:rsid w:val="001B06EA"/>
    <w:rsid w:val="001B6604"/>
    <w:rsid w:val="001C7179"/>
    <w:rsid w:val="001D6C5A"/>
    <w:rsid w:val="001E04C8"/>
    <w:rsid w:val="001E3240"/>
    <w:rsid w:val="001E58B6"/>
    <w:rsid w:val="001E7255"/>
    <w:rsid w:val="001F2257"/>
    <w:rsid w:val="0020303E"/>
    <w:rsid w:val="002040FB"/>
    <w:rsid w:val="002131C4"/>
    <w:rsid w:val="002177B1"/>
    <w:rsid w:val="00217D91"/>
    <w:rsid w:val="0022095A"/>
    <w:rsid w:val="0023310B"/>
    <w:rsid w:val="0023549A"/>
    <w:rsid w:val="00244D0D"/>
    <w:rsid w:val="002473F3"/>
    <w:rsid w:val="00247B86"/>
    <w:rsid w:val="002551A8"/>
    <w:rsid w:val="00263965"/>
    <w:rsid w:val="00267D50"/>
    <w:rsid w:val="00274B53"/>
    <w:rsid w:val="002775D0"/>
    <w:rsid w:val="00277DA7"/>
    <w:rsid w:val="002824BF"/>
    <w:rsid w:val="00282A38"/>
    <w:rsid w:val="00290FD5"/>
    <w:rsid w:val="0029147E"/>
    <w:rsid w:val="00295A90"/>
    <w:rsid w:val="00296750"/>
    <w:rsid w:val="002A102E"/>
    <w:rsid w:val="002C00B3"/>
    <w:rsid w:val="002D27A1"/>
    <w:rsid w:val="002D2FE5"/>
    <w:rsid w:val="002D4861"/>
    <w:rsid w:val="002D61E0"/>
    <w:rsid w:val="002D6753"/>
    <w:rsid w:val="002E1590"/>
    <w:rsid w:val="002E16EF"/>
    <w:rsid w:val="002E23B1"/>
    <w:rsid w:val="002E331B"/>
    <w:rsid w:val="002F3D9C"/>
    <w:rsid w:val="002F622F"/>
    <w:rsid w:val="002F6860"/>
    <w:rsid w:val="002F706D"/>
    <w:rsid w:val="00300EC4"/>
    <w:rsid w:val="00304C18"/>
    <w:rsid w:val="00305B42"/>
    <w:rsid w:val="00311E06"/>
    <w:rsid w:val="00315B57"/>
    <w:rsid w:val="0031707F"/>
    <w:rsid w:val="00320C06"/>
    <w:rsid w:val="003224B6"/>
    <w:rsid w:val="003236A3"/>
    <w:rsid w:val="00324B1E"/>
    <w:rsid w:val="003314D8"/>
    <w:rsid w:val="00332681"/>
    <w:rsid w:val="00334CCB"/>
    <w:rsid w:val="00340634"/>
    <w:rsid w:val="00340761"/>
    <w:rsid w:val="00347B29"/>
    <w:rsid w:val="00361BE0"/>
    <w:rsid w:val="00361FFC"/>
    <w:rsid w:val="00362A29"/>
    <w:rsid w:val="0036518B"/>
    <w:rsid w:val="0036531C"/>
    <w:rsid w:val="00365C97"/>
    <w:rsid w:val="003675F4"/>
    <w:rsid w:val="003701AB"/>
    <w:rsid w:val="003746B3"/>
    <w:rsid w:val="003746D5"/>
    <w:rsid w:val="00375731"/>
    <w:rsid w:val="00377887"/>
    <w:rsid w:val="0038475F"/>
    <w:rsid w:val="00385652"/>
    <w:rsid w:val="00391BC3"/>
    <w:rsid w:val="00395208"/>
    <w:rsid w:val="003A0C72"/>
    <w:rsid w:val="003A1E73"/>
    <w:rsid w:val="003A24AF"/>
    <w:rsid w:val="003A3589"/>
    <w:rsid w:val="003A5AD7"/>
    <w:rsid w:val="003B4313"/>
    <w:rsid w:val="003C2D9A"/>
    <w:rsid w:val="003C598E"/>
    <w:rsid w:val="003C79EE"/>
    <w:rsid w:val="003E717C"/>
    <w:rsid w:val="003E7B1D"/>
    <w:rsid w:val="003F0EAA"/>
    <w:rsid w:val="003F730B"/>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5DAB"/>
    <w:rsid w:val="00467703"/>
    <w:rsid w:val="004708E0"/>
    <w:rsid w:val="00470A82"/>
    <w:rsid w:val="00470F96"/>
    <w:rsid w:val="00471811"/>
    <w:rsid w:val="004734AE"/>
    <w:rsid w:val="00476665"/>
    <w:rsid w:val="0048457A"/>
    <w:rsid w:val="00486E8F"/>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1ADD"/>
    <w:rsid w:val="004F2CB8"/>
    <w:rsid w:val="004F426C"/>
    <w:rsid w:val="00502082"/>
    <w:rsid w:val="00503387"/>
    <w:rsid w:val="00504280"/>
    <w:rsid w:val="00504FEC"/>
    <w:rsid w:val="005171E9"/>
    <w:rsid w:val="005209C2"/>
    <w:rsid w:val="00524B01"/>
    <w:rsid w:val="00527DD6"/>
    <w:rsid w:val="00531F04"/>
    <w:rsid w:val="00532DDB"/>
    <w:rsid w:val="00534363"/>
    <w:rsid w:val="00542FF6"/>
    <w:rsid w:val="00550EE7"/>
    <w:rsid w:val="00554EDF"/>
    <w:rsid w:val="00561034"/>
    <w:rsid w:val="0056172C"/>
    <w:rsid w:val="00565D7E"/>
    <w:rsid w:val="00575BDA"/>
    <w:rsid w:val="00583A66"/>
    <w:rsid w:val="0058706E"/>
    <w:rsid w:val="005A6706"/>
    <w:rsid w:val="005B54C6"/>
    <w:rsid w:val="005B57BB"/>
    <w:rsid w:val="005B6A34"/>
    <w:rsid w:val="005C05B2"/>
    <w:rsid w:val="005C08BA"/>
    <w:rsid w:val="005C175B"/>
    <w:rsid w:val="005D065C"/>
    <w:rsid w:val="005D07F3"/>
    <w:rsid w:val="005D22B8"/>
    <w:rsid w:val="005D2E74"/>
    <w:rsid w:val="005D5665"/>
    <w:rsid w:val="005D5A1C"/>
    <w:rsid w:val="005D6C7A"/>
    <w:rsid w:val="005E28F5"/>
    <w:rsid w:val="005F1854"/>
    <w:rsid w:val="005F2E60"/>
    <w:rsid w:val="005F2FB2"/>
    <w:rsid w:val="005F4F6F"/>
    <w:rsid w:val="006009C7"/>
    <w:rsid w:val="0060792B"/>
    <w:rsid w:val="00607F6A"/>
    <w:rsid w:val="00617713"/>
    <w:rsid w:val="00620A2D"/>
    <w:rsid w:val="00621A1E"/>
    <w:rsid w:val="006231ED"/>
    <w:rsid w:val="00625C6F"/>
    <w:rsid w:val="00627A9A"/>
    <w:rsid w:val="00630C20"/>
    <w:rsid w:val="00634EE6"/>
    <w:rsid w:val="006372E8"/>
    <w:rsid w:val="0064031E"/>
    <w:rsid w:val="00640E1B"/>
    <w:rsid w:val="00641D7E"/>
    <w:rsid w:val="006420D5"/>
    <w:rsid w:val="00642296"/>
    <w:rsid w:val="0064236F"/>
    <w:rsid w:val="00642FE9"/>
    <w:rsid w:val="006502AA"/>
    <w:rsid w:val="00650F8B"/>
    <w:rsid w:val="00653074"/>
    <w:rsid w:val="006553B1"/>
    <w:rsid w:val="006557DE"/>
    <w:rsid w:val="00656A86"/>
    <w:rsid w:val="0066090B"/>
    <w:rsid w:val="006623AE"/>
    <w:rsid w:val="00663EA4"/>
    <w:rsid w:val="00665F60"/>
    <w:rsid w:val="0068319C"/>
    <w:rsid w:val="00686A5D"/>
    <w:rsid w:val="00692FE9"/>
    <w:rsid w:val="00695C1F"/>
    <w:rsid w:val="006A1BAD"/>
    <w:rsid w:val="006B2209"/>
    <w:rsid w:val="006C1E3B"/>
    <w:rsid w:val="006C3F55"/>
    <w:rsid w:val="006C46EA"/>
    <w:rsid w:val="006C5309"/>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37DA7"/>
    <w:rsid w:val="0074376E"/>
    <w:rsid w:val="0074572E"/>
    <w:rsid w:val="00755E8F"/>
    <w:rsid w:val="00756129"/>
    <w:rsid w:val="007656DB"/>
    <w:rsid w:val="007747A7"/>
    <w:rsid w:val="00784996"/>
    <w:rsid w:val="007858EC"/>
    <w:rsid w:val="007916E1"/>
    <w:rsid w:val="00792321"/>
    <w:rsid w:val="00795093"/>
    <w:rsid w:val="007A2E26"/>
    <w:rsid w:val="007A2FB7"/>
    <w:rsid w:val="007B07A6"/>
    <w:rsid w:val="007B78C3"/>
    <w:rsid w:val="007C16DB"/>
    <w:rsid w:val="007C28FE"/>
    <w:rsid w:val="007C7E59"/>
    <w:rsid w:val="007D359A"/>
    <w:rsid w:val="007D70F6"/>
    <w:rsid w:val="007E0552"/>
    <w:rsid w:val="007E0DD5"/>
    <w:rsid w:val="007E29C9"/>
    <w:rsid w:val="007E2CE3"/>
    <w:rsid w:val="007E5D42"/>
    <w:rsid w:val="007E62EA"/>
    <w:rsid w:val="007F1D39"/>
    <w:rsid w:val="007F5004"/>
    <w:rsid w:val="007F6410"/>
    <w:rsid w:val="0080002B"/>
    <w:rsid w:val="008037DB"/>
    <w:rsid w:val="00806C60"/>
    <w:rsid w:val="008071E1"/>
    <w:rsid w:val="008102B1"/>
    <w:rsid w:val="00811B54"/>
    <w:rsid w:val="0081567A"/>
    <w:rsid w:val="008176EC"/>
    <w:rsid w:val="008223C5"/>
    <w:rsid w:val="00825437"/>
    <w:rsid w:val="008275FF"/>
    <w:rsid w:val="00837816"/>
    <w:rsid w:val="00854900"/>
    <w:rsid w:val="00863328"/>
    <w:rsid w:val="008729AE"/>
    <w:rsid w:val="00874B4B"/>
    <w:rsid w:val="00875C0A"/>
    <w:rsid w:val="0088223B"/>
    <w:rsid w:val="0088227D"/>
    <w:rsid w:val="008833FA"/>
    <w:rsid w:val="00884CF1"/>
    <w:rsid w:val="008857EC"/>
    <w:rsid w:val="008901E7"/>
    <w:rsid w:val="008917C0"/>
    <w:rsid w:val="00891B27"/>
    <w:rsid w:val="00892CF9"/>
    <w:rsid w:val="0089313F"/>
    <w:rsid w:val="0089422D"/>
    <w:rsid w:val="00894797"/>
    <w:rsid w:val="008A1195"/>
    <w:rsid w:val="008A1AE8"/>
    <w:rsid w:val="008A3859"/>
    <w:rsid w:val="008A5E93"/>
    <w:rsid w:val="008A6A36"/>
    <w:rsid w:val="008A785A"/>
    <w:rsid w:val="008B0BFE"/>
    <w:rsid w:val="008B6343"/>
    <w:rsid w:val="008B674B"/>
    <w:rsid w:val="008C0645"/>
    <w:rsid w:val="008C676B"/>
    <w:rsid w:val="008D0253"/>
    <w:rsid w:val="008D22F5"/>
    <w:rsid w:val="008E17FA"/>
    <w:rsid w:val="008E2615"/>
    <w:rsid w:val="008E2876"/>
    <w:rsid w:val="008F0277"/>
    <w:rsid w:val="008F059B"/>
    <w:rsid w:val="008F1430"/>
    <w:rsid w:val="008F1CE1"/>
    <w:rsid w:val="008F2818"/>
    <w:rsid w:val="008F2B1A"/>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72E9A"/>
    <w:rsid w:val="00975355"/>
    <w:rsid w:val="00975957"/>
    <w:rsid w:val="00980004"/>
    <w:rsid w:val="00981DE3"/>
    <w:rsid w:val="009826FF"/>
    <w:rsid w:val="009854A0"/>
    <w:rsid w:val="00992D68"/>
    <w:rsid w:val="009A2755"/>
    <w:rsid w:val="009A5FA7"/>
    <w:rsid w:val="009A6351"/>
    <w:rsid w:val="009B17B3"/>
    <w:rsid w:val="009B2C63"/>
    <w:rsid w:val="009B70E4"/>
    <w:rsid w:val="009C3CD3"/>
    <w:rsid w:val="009C4DC4"/>
    <w:rsid w:val="009C5C1F"/>
    <w:rsid w:val="009C6169"/>
    <w:rsid w:val="009C6BE5"/>
    <w:rsid w:val="009D259A"/>
    <w:rsid w:val="009D460C"/>
    <w:rsid w:val="009D4F6E"/>
    <w:rsid w:val="009E181B"/>
    <w:rsid w:val="009E2C63"/>
    <w:rsid w:val="009E31DB"/>
    <w:rsid w:val="009F27C5"/>
    <w:rsid w:val="009F58D1"/>
    <w:rsid w:val="00A009E9"/>
    <w:rsid w:val="00A1006E"/>
    <w:rsid w:val="00A1036F"/>
    <w:rsid w:val="00A11682"/>
    <w:rsid w:val="00A1307E"/>
    <w:rsid w:val="00A15502"/>
    <w:rsid w:val="00A164E2"/>
    <w:rsid w:val="00A23CE0"/>
    <w:rsid w:val="00A27DCE"/>
    <w:rsid w:val="00A32345"/>
    <w:rsid w:val="00A3496C"/>
    <w:rsid w:val="00A4068B"/>
    <w:rsid w:val="00A42809"/>
    <w:rsid w:val="00A43D27"/>
    <w:rsid w:val="00A510BE"/>
    <w:rsid w:val="00A54B3C"/>
    <w:rsid w:val="00A6340E"/>
    <w:rsid w:val="00A64669"/>
    <w:rsid w:val="00A71200"/>
    <w:rsid w:val="00A91FCD"/>
    <w:rsid w:val="00A93BEB"/>
    <w:rsid w:val="00A94C75"/>
    <w:rsid w:val="00A9502A"/>
    <w:rsid w:val="00AA109D"/>
    <w:rsid w:val="00AA4E37"/>
    <w:rsid w:val="00AA7796"/>
    <w:rsid w:val="00AB1197"/>
    <w:rsid w:val="00AB11B3"/>
    <w:rsid w:val="00AB164A"/>
    <w:rsid w:val="00AB34D4"/>
    <w:rsid w:val="00AB52D8"/>
    <w:rsid w:val="00AB6A0E"/>
    <w:rsid w:val="00AB71F7"/>
    <w:rsid w:val="00AB7FC7"/>
    <w:rsid w:val="00AC0115"/>
    <w:rsid w:val="00AC0BBC"/>
    <w:rsid w:val="00AC3018"/>
    <w:rsid w:val="00AC3DF0"/>
    <w:rsid w:val="00AC454B"/>
    <w:rsid w:val="00AC64B5"/>
    <w:rsid w:val="00AC775E"/>
    <w:rsid w:val="00AD0199"/>
    <w:rsid w:val="00AD16B6"/>
    <w:rsid w:val="00AD2F52"/>
    <w:rsid w:val="00AD60BB"/>
    <w:rsid w:val="00AF0D70"/>
    <w:rsid w:val="00AF1B50"/>
    <w:rsid w:val="00AF70D8"/>
    <w:rsid w:val="00AF7738"/>
    <w:rsid w:val="00AF7FCB"/>
    <w:rsid w:val="00B05605"/>
    <w:rsid w:val="00B05908"/>
    <w:rsid w:val="00B07A75"/>
    <w:rsid w:val="00B147C7"/>
    <w:rsid w:val="00B15344"/>
    <w:rsid w:val="00B16DAC"/>
    <w:rsid w:val="00B1751D"/>
    <w:rsid w:val="00B207C9"/>
    <w:rsid w:val="00B37210"/>
    <w:rsid w:val="00B42945"/>
    <w:rsid w:val="00B4521D"/>
    <w:rsid w:val="00B46CA8"/>
    <w:rsid w:val="00B47F91"/>
    <w:rsid w:val="00B50EBB"/>
    <w:rsid w:val="00B5364A"/>
    <w:rsid w:val="00B66A26"/>
    <w:rsid w:val="00B807A1"/>
    <w:rsid w:val="00B82925"/>
    <w:rsid w:val="00B87410"/>
    <w:rsid w:val="00BA626B"/>
    <w:rsid w:val="00BA6A36"/>
    <w:rsid w:val="00BA6ABD"/>
    <w:rsid w:val="00BB0996"/>
    <w:rsid w:val="00BB3E6D"/>
    <w:rsid w:val="00BB451E"/>
    <w:rsid w:val="00BB6161"/>
    <w:rsid w:val="00BB7501"/>
    <w:rsid w:val="00BB782F"/>
    <w:rsid w:val="00BC1BB0"/>
    <w:rsid w:val="00BD01A9"/>
    <w:rsid w:val="00BD30A7"/>
    <w:rsid w:val="00BD30EB"/>
    <w:rsid w:val="00BE55D2"/>
    <w:rsid w:val="00C02AAA"/>
    <w:rsid w:val="00C10E97"/>
    <w:rsid w:val="00C120BA"/>
    <w:rsid w:val="00C12658"/>
    <w:rsid w:val="00C13A40"/>
    <w:rsid w:val="00C14B94"/>
    <w:rsid w:val="00C2075C"/>
    <w:rsid w:val="00C23547"/>
    <w:rsid w:val="00C25695"/>
    <w:rsid w:val="00C25A46"/>
    <w:rsid w:val="00C2717C"/>
    <w:rsid w:val="00C321E2"/>
    <w:rsid w:val="00C372A4"/>
    <w:rsid w:val="00C437BA"/>
    <w:rsid w:val="00C44A96"/>
    <w:rsid w:val="00C50E10"/>
    <w:rsid w:val="00C55537"/>
    <w:rsid w:val="00C5729C"/>
    <w:rsid w:val="00C61FA2"/>
    <w:rsid w:val="00C6445A"/>
    <w:rsid w:val="00C65305"/>
    <w:rsid w:val="00C67E95"/>
    <w:rsid w:val="00C73B3F"/>
    <w:rsid w:val="00C77C38"/>
    <w:rsid w:val="00C77DC4"/>
    <w:rsid w:val="00C77FFA"/>
    <w:rsid w:val="00C81E91"/>
    <w:rsid w:val="00C837FE"/>
    <w:rsid w:val="00C83CF8"/>
    <w:rsid w:val="00C90D5D"/>
    <w:rsid w:val="00C96D3F"/>
    <w:rsid w:val="00CA48AD"/>
    <w:rsid w:val="00CC0529"/>
    <w:rsid w:val="00CC3832"/>
    <w:rsid w:val="00CC4521"/>
    <w:rsid w:val="00CC6F5F"/>
    <w:rsid w:val="00CE0CC0"/>
    <w:rsid w:val="00CF08CA"/>
    <w:rsid w:val="00CF3BD2"/>
    <w:rsid w:val="00CF6727"/>
    <w:rsid w:val="00CF7549"/>
    <w:rsid w:val="00D0474D"/>
    <w:rsid w:val="00D05720"/>
    <w:rsid w:val="00D14F01"/>
    <w:rsid w:val="00D16742"/>
    <w:rsid w:val="00D23B99"/>
    <w:rsid w:val="00D26E6B"/>
    <w:rsid w:val="00D32327"/>
    <w:rsid w:val="00D358EE"/>
    <w:rsid w:val="00D40680"/>
    <w:rsid w:val="00D429BC"/>
    <w:rsid w:val="00D430B8"/>
    <w:rsid w:val="00D43AF4"/>
    <w:rsid w:val="00D44919"/>
    <w:rsid w:val="00D4544B"/>
    <w:rsid w:val="00D45920"/>
    <w:rsid w:val="00D47143"/>
    <w:rsid w:val="00D548E4"/>
    <w:rsid w:val="00D6013C"/>
    <w:rsid w:val="00D66713"/>
    <w:rsid w:val="00D70ABD"/>
    <w:rsid w:val="00D71742"/>
    <w:rsid w:val="00D71FF8"/>
    <w:rsid w:val="00D73AB0"/>
    <w:rsid w:val="00D74BCC"/>
    <w:rsid w:val="00D770DA"/>
    <w:rsid w:val="00D77366"/>
    <w:rsid w:val="00D815F4"/>
    <w:rsid w:val="00D81A7C"/>
    <w:rsid w:val="00D828D9"/>
    <w:rsid w:val="00D83537"/>
    <w:rsid w:val="00D9234D"/>
    <w:rsid w:val="00DA0FBA"/>
    <w:rsid w:val="00DA6FDE"/>
    <w:rsid w:val="00DB0DD1"/>
    <w:rsid w:val="00DB1CD7"/>
    <w:rsid w:val="00DB3A80"/>
    <w:rsid w:val="00DB5F26"/>
    <w:rsid w:val="00DB68BC"/>
    <w:rsid w:val="00DC16DD"/>
    <w:rsid w:val="00DC3B89"/>
    <w:rsid w:val="00DD07A0"/>
    <w:rsid w:val="00DD3CE9"/>
    <w:rsid w:val="00DD5FCE"/>
    <w:rsid w:val="00DD600A"/>
    <w:rsid w:val="00DE0285"/>
    <w:rsid w:val="00DE1ED4"/>
    <w:rsid w:val="00DE4448"/>
    <w:rsid w:val="00DE523B"/>
    <w:rsid w:val="00DE5EC5"/>
    <w:rsid w:val="00DE7477"/>
    <w:rsid w:val="00DE78DE"/>
    <w:rsid w:val="00DF00BB"/>
    <w:rsid w:val="00DF1256"/>
    <w:rsid w:val="00DF188E"/>
    <w:rsid w:val="00DF4ACE"/>
    <w:rsid w:val="00DF587C"/>
    <w:rsid w:val="00E01633"/>
    <w:rsid w:val="00E037BA"/>
    <w:rsid w:val="00E03D0F"/>
    <w:rsid w:val="00E03DA0"/>
    <w:rsid w:val="00E04EE7"/>
    <w:rsid w:val="00E0700B"/>
    <w:rsid w:val="00E113E8"/>
    <w:rsid w:val="00E17913"/>
    <w:rsid w:val="00E20E3B"/>
    <w:rsid w:val="00E248E4"/>
    <w:rsid w:val="00E32FBE"/>
    <w:rsid w:val="00E336B9"/>
    <w:rsid w:val="00E40A00"/>
    <w:rsid w:val="00E41C2F"/>
    <w:rsid w:val="00E517C2"/>
    <w:rsid w:val="00E5235C"/>
    <w:rsid w:val="00E56382"/>
    <w:rsid w:val="00E642F6"/>
    <w:rsid w:val="00E6762B"/>
    <w:rsid w:val="00E72B7D"/>
    <w:rsid w:val="00E73BD1"/>
    <w:rsid w:val="00E7498E"/>
    <w:rsid w:val="00E80627"/>
    <w:rsid w:val="00E8121D"/>
    <w:rsid w:val="00E905FB"/>
    <w:rsid w:val="00E9074E"/>
    <w:rsid w:val="00E943FD"/>
    <w:rsid w:val="00E956F4"/>
    <w:rsid w:val="00E97D48"/>
    <w:rsid w:val="00EB41F4"/>
    <w:rsid w:val="00EB58C9"/>
    <w:rsid w:val="00EB5BB6"/>
    <w:rsid w:val="00EB6596"/>
    <w:rsid w:val="00EC56AE"/>
    <w:rsid w:val="00ED1257"/>
    <w:rsid w:val="00EE4E9E"/>
    <w:rsid w:val="00EE53A5"/>
    <w:rsid w:val="00F01ACB"/>
    <w:rsid w:val="00F033F1"/>
    <w:rsid w:val="00F10CFE"/>
    <w:rsid w:val="00F1212C"/>
    <w:rsid w:val="00F13714"/>
    <w:rsid w:val="00F154A9"/>
    <w:rsid w:val="00F250EA"/>
    <w:rsid w:val="00F25199"/>
    <w:rsid w:val="00F265CD"/>
    <w:rsid w:val="00F26E20"/>
    <w:rsid w:val="00F312DB"/>
    <w:rsid w:val="00F31586"/>
    <w:rsid w:val="00F36CAF"/>
    <w:rsid w:val="00F43E73"/>
    <w:rsid w:val="00F45CF2"/>
    <w:rsid w:val="00F45F87"/>
    <w:rsid w:val="00F46FC6"/>
    <w:rsid w:val="00F5279C"/>
    <w:rsid w:val="00F5287A"/>
    <w:rsid w:val="00F55262"/>
    <w:rsid w:val="00F5541C"/>
    <w:rsid w:val="00F56894"/>
    <w:rsid w:val="00F57A1F"/>
    <w:rsid w:val="00F64591"/>
    <w:rsid w:val="00F773D2"/>
    <w:rsid w:val="00F80450"/>
    <w:rsid w:val="00F83845"/>
    <w:rsid w:val="00F849BB"/>
    <w:rsid w:val="00F8632D"/>
    <w:rsid w:val="00F87BB7"/>
    <w:rsid w:val="00F9036D"/>
    <w:rsid w:val="00F90A62"/>
    <w:rsid w:val="00F9118E"/>
    <w:rsid w:val="00F927DF"/>
    <w:rsid w:val="00F93500"/>
    <w:rsid w:val="00F95EE9"/>
    <w:rsid w:val="00F97C77"/>
    <w:rsid w:val="00FA002C"/>
    <w:rsid w:val="00FA6C91"/>
    <w:rsid w:val="00FA714C"/>
    <w:rsid w:val="00FB1A79"/>
    <w:rsid w:val="00FB225B"/>
    <w:rsid w:val="00FB3838"/>
    <w:rsid w:val="00FB40B0"/>
    <w:rsid w:val="00FB4B57"/>
    <w:rsid w:val="00FC1454"/>
    <w:rsid w:val="00FC14EE"/>
    <w:rsid w:val="00FC24A4"/>
    <w:rsid w:val="00FC7D5E"/>
    <w:rsid w:val="00FE5826"/>
    <w:rsid w:val="00FE7AE7"/>
    <w:rsid w:val="00FF2B2A"/>
    <w:rsid w:val="010A2A30"/>
    <w:rsid w:val="012D63BC"/>
    <w:rsid w:val="01510052"/>
    <w:rsid w:val="01AA1D3F"/>
    <w:rsid w:val="01D6352B"/>
    <w:rsid w:val="024535A0"/>
    <w:rsid w:val="025713CD"/>
    <w:rsid w:val="02B26E88"/>
    <w:rsid w:val="03103CF0"/>
    <w:rsid w:val="03605A7E"/>
    <w:rsid w:val="03D573A8"/>
    <w:rsid w:val="05482F86"/>
    <w:rsid w:val="05C47699"/>
    <w:rsid w:val="07CB4847"/>
    <w:rsid w:val="083E2F6B"/>
    <w:rsid w:val="08663C4D"/>
    <w:rsid w:val="09423355"/>
    <w:rsid w:val="09E91C03"/>
    <w:rsid w:val="0AAA74E0"/>
    <w:rsid w:val="0B58147D"/>
    <w:rsid w:val="0BE206E2"/>
    <w:rsid w:val="0C0D5F59"/>
    <w:rsid w:val="0C4B7895"/>
    <w:rsid w:val="0D057491"/>
    <w:rsid w:val="0D533015"/>
    <w:rsid w:val="111127BC"/>
    <w:rsid w:val="11AE07E5"/>
    <w:rsid w:val="12E34B5F"/>
    <w:rsid w:val="134B5D3B"/>
    <w:rsid w:val="13DF1765"/>
    <w:rsid w:val="156B205C"/>
    <w:rsid w:val="15A91FED"/>
    <w:rsid w:val="15E156B9"/>
    <w:rsid w:val="161F2532"/>
    <w:rsid w:val="162C3C3A"/>
    <w:rsid w:val="178E523C"/>
    <w:rsid w:val="179E7E02"/>
    <w:rsid w:val="17A806FA"/>
    <w:rsid w:val="17C9185D"/>
    <w:rsid w:val="1B942028"/>
    <w:rsid w:val="1BE932F7"/>
    <w:rsid w:val="1C485287"/>
    <w:rsid w:val="1CBC0E9D"/>
    <w:rsid w:val="1D9C759C"/>
    <w:rsid w:val="1DDD1407"/>
    <w:rsid w:val="1E422969"/>
    <w:rsid w:val="1E547805"/>
    <w:rsid w:val="1E890F8D"/>
    <w:rsid w:val="1F3D120C"/>
    <w:rsid w:val="1FB9548D"/>
    <w:rsid w:val="21315A47"/>
    <w:rsid w:val="23622C60"/>
    <w:rsid w:val="23ED3D6C"/>
    <w:rsid w:val="245A4308"/>
    <w:rsid w:val="2609117A"/>
    <w:rsid w:val="268D42D9"/>
    <w:rsid w:val="269F479D"/>
    <w:rsid w:val="26EA00EF"/>
    <w:rsid w:val="26F12015"/>
    <w:rsid w:val="26F61BE2"/>
    <w:rsid w:val="27BF7FC2"/>
    <w:rsid w:val="297E48B0"/>
    <w:rsid w:val="2AAB5C47"/>
    <w:rsid w:val="2B400DAF"/>
    <w:rsid w:val="2B536BAA"/>
    <w:rsid w:val="2B88714F"/>
    <w:rsid w:val="2BA44FCF"/>
    <w:rsid w:val="2CFA113B"/>
    <w:rsid w:val="2D355E3C"/>
    <w:rsid w:val="2E0802E2"/>
    <w:rsid w:val="2E7C5B4C"/>
    <w:rsid w:val="2E913FDC"/>
    <w:rsid w:val="2F1D5B45"/>
    <w:rsid w:val="2FBE2D84"/>
    <w:rsid w:val="3131735B"/>
    <w:rsid w:val="313E4483"/>
    <w:rsid w:val="36427484"/>
    <w:rsid w:val="38284F1B"/>
    <w:rsid w:val="396E63A7"/>
    <w:rsid w:val="3A0747AD"/>
    <w:rsid w:val="3C0A21FA"/>
    <w:rsid w:val="3C6F7D25"/>
    <w:rsid w:val="3CB5279C"/>
    <w:rsid w:val="3CCC246D"/>
    <w:rsid w:val="3CD025DD"/>
    <w:rsid w:val="3D41514F"/>
    <w:rsid w:val="3D4319E8"/>
    <w:rsid w:val="3DC5180E"/>
    <w:rsid w:val="3E025B80"/>
    <w:rsid w:val="3E365605"/>
    <w:rsid w:val="3EB92D70"/>
    <w:rsid w:val="3FA83FF1"/>
    <w:rsid w:val="40065126"/>
    <w:rsid w:val="404F6598"/>
    <w:rsid w:val="41BD351D"/>
    <w:rsid w:val="41FF55A2"/>
    <w:rsid w:val="44913E48"/>
    <w:rsid w:val="461F369E"/>
    <w:rsid w:val="467725D9"/>
    <w:rsid w:val="47150D60"/>
    <w:rsid w:val="477261B2"/>
    <w:rsid w:val="47732924"/>
    <w:rsid w:val="4775525E"/>
    <w:rsid w:val="4835032C"/>
    <w:rsid w:val="48FB2B49"/>
    <w:rsid w:val="496F0BFB"/>
    <w:rsid w:val="4AD35957"/>
    <w:rsid w:val="4BE77129"/>
    <w:rsid w:val="4C0C1A5F"/>
    <w:rsid w:val="4C48076C"/>
    <w:rsid w:val="4CFC7BF8"/>
    <w:rsid w:val="4D03117E"/>
    <w:rsid w:val="4D40640B"/>
    <w:rsid w:val="4EDB5C80"/>
    <w:rsid w:val="502D711A"/>
    <w:rsid w:val="504827BD"/>
    <w:rsid w:val="50E739B3"/>
    <w:rsid w:val="51362D97"/>
    <w:rsid w:val="52901EC5"/>
    <w:rsid w:val="52CB4BE4"/>
    <w:rsid w:val="531258E5"/>
    <w:rsid w:val="53AA56F7"/>
    <w:rsid w:val="53C06DC4"/>
    <w:rsid w:val="540E41C7"/>
    <w:rsid w:val="542039B0"/>
    <w:rsid w:val="55CF2DF6"/>
    <w:rsid w:val="567354E3"/>
    <w:rsid w:val="56D71D82"/>
    <w:rsid w:val="56F733D4"/>
    <w:rsid w:val="57B72571"/>
    <w:rsid w:val="5806097D"/>
    <w:rsid w:val="584E61E8"/>
    <w:rsid w:val="586631C9"/>
    <w:rsid w:val="58BE38E3"/>
    <w:rsid w:val="58E267D9"/>
    <w:rsid w:val="5B276AEE"/>
    <w:rsid w:val="5BFE4311"/>
    <w:rsid w:val="5C2A7A93"/>
    <w:rsid w:val="5C461A97"/>
    <w:rsid w:val="5D1032C9"/>
    <w:rsid w:val="5DD16269"/>
    <w:rsid w:val="5F1C21C3"/>
    <w:rsid w:val="609570E0"/>
    <w:rsid w:val="613C2F14"/>
    <w:rsid w:val="628404D4"/>
    <w:rsid w:val="62882711"/>
    <w:rsid w:val="635561D4"/>
    <w:rsid w:val="64AD1D49"/>
    <w:rsid w:val="655F0113"/>
    <w:rsid w:val="657B5DDA"/>
    <w:rsid w:val="66243470"/>
    <w:rsid w:val="671B7521"/>
    <w:rsid w:val="6749107D"/>
    <w:rsid w:val="682278DC"/>
    <w:rsid w:val="682D24AB"/>
    <w:rsid w:val="68D50754"/>
    <w:rsid w:val="6959537A"/>
    <w:rsid w:val="6BBE20A7"/>
    <w:rsid w:val="6C705F6D"/>
    <w:rsid w:val="6CB402C6"/>
    <w:rsid w:val="6DF74B57"/>
    <w:rsid w:val="6E900B48"/>
    <w:rsid w:val="6FC43175"/>
    <w:rsid w:val="706A32BC"/>
    <w:rsid w:val="70A703CB"/>
    <w:rsid w:val="712E463F"/>
    <w:rsid w:val="72331F17"/>
    <w:rsid w:val="72F5203C"/>
    <w:rsid w:val="73E62BC2"/>
    <w:rsid w:val="75707881"/>
    <w:rsid w:val="75B570E6"/>
    <w:rsid w:val="777F79AC"/>
    <w:rsid w:val="787D332F"/>
    <w:rsid w:val="78A1501C"/>
    <w:rsid w:val="7B787971"/>
    <w:rsid w:val="7D836308"/>
    <w:rsid w:val="7DCB71A1"/>
    <w:rsid w:val="7F2A392C"/>
    <w:rsid w:val="7F6D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4"/>
    <w:autoRedefine/>
    <w:qFormat/>
    <w:uiPriority w:val="0"/>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 w:val="28"/>
    </w:rPr>
  </w:style>
  <w:style w:type="paragraph" w:styleId="5">
    <w:name w:val="footer"/>
    <w:basedOn w:val="1"/>
    <w:link w:val="13"/>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0"/>
    <w:rPr>
      <w:i/>
    </w:rPr>
  </w:style>
  <w:style w:type="character" w:customStyle="1" w:styleId="12">
    <w:name w:val="页眉 字符"/>
    <w:basedOn w:val="10"/>
    <w:link w:val="6"/>
    <w:autoRedefine/>
    <w:qFormat/>
    <w:uiPriority w:val="0"/>
    <w:rPr>
      <w:rFonts w:ascii="Times New Roman" w:hAnsi="Times New Roman" w:eastAsia="仿宋" w:cs="Times New Roman"/>
      <w:kern w:val="2"/>
      <w:sz w:val="18"/>
      <w:szCs w:val="18"/>
    </w:rPr>
  </w:style>
  <w:style w:type="character" w:customStyle="1" w:styleId="13">
    <w:name w:val="页脚 字符"/>
    <w:basedOn w:val="10"/>
    <w:link w:val="5"/>
    <w:autoRedefine/>
    <w:qFormat/>
    <w:uiPriority w:val="0"/>
    <w:rPr>
      <w:rFonts w:ascii="Times New Roman" w:hAnsi="Times New Roman" w:eastAsia="仿宋" w:cs="Times New Roman"/>
      <w:kern w:val="2"/>
      <w:sz w:val="18"/>
      <w:szCs w:val="18"/>
    </w:rPr>
  </w:style>
  <w:style w:type="character" w:customStyle="1" w:styleId="14">
    <w:name w:val="标题 1 字符"/>
    <w:basedOn w:val="10"/>
    <w:link w:val="2"/>
    <w:autoRedefine/>
    <w:qFormat/>
    <w:uiPriority w:val="0"/>
    <w:rPr>
      <w:rFonts w:ascii="Times New Roman" w:hAnsi="Times New Roman" w:eastAsia="仿宋" w:cs="Times New Roman"/>
      <w:b/>
      <w:bCs/>
      <w:kern w:val="44"/>
      <w:sz w:val="44"/>
      <w:szCs w:val="44"/>
    </w:rPr>
  </w:style>
  <w:style w:type="paragraph" w:customStyle="1" w:styleId="15">
    <w:name w:val="修订1"/>
    <w:autoRedefine/>
    <w:hidden/>
    <w:semiHidden/>
    <w:qFormat/>
    <w:uiPriority w:val="99"/>
    <w:rPr>
      <w:rFonts w:ascii="Times New Roman" w:hAnsi="Times New Roman" w:eastAsia="仿宋" w:cs="Times New Roman"/>
      <w:kern w:val="2"/>
      <w:sz w:val="32"/>
      <w:lang w:val="en-US" w:eastAsia="zh-CN" w:bidi="ar-SA"/>
    </w:rPr>
  </w:style>
  <w:style w:type="paragraph" w:styleId="16">
    <w:name w:val="List Paragraph"/>
    <w:basedOn w:val="1"/>
    <w:autoRedefine/>
    <w:qFormat/>
    <w:uiPriority w:val="99"/>
    <w:pPr>
      <w:ind w:firstLine="420"/>
    </w:pPr>
  </w:style>
  <w:style w:type="paragraph" w:customStyle="1" w:styleId="17">
    <w:name w:val="_Style 154"/>
    <w:basedOn w:val="18"/>
    <w:autoRedefine/>
    <w:qFormat/>
    <w:uiPriority w:val="34"/>
    <w:pPr>
      <w:ind w:firstLine="420" w:firstLineChars="200"/>
    </w:pPr>
    <w:rPr>
      <w:rFonts w:ascii="Calibri" w:hAnsi="Calibri"/>
      <w:szCs w:val="22"/>
    </w:rPr>
  </w:style>
  <w:style w:type="paragraph" w:customStyle="1" w:styleId="18">
    <w:name w:val="_Style 123"/>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
    <w:name w:val="修订2"/>
    <w:autoRedefine/>
    <w:hidden/>
    <w:unhideWhenUsed/>
    <w:qFormat/>
    <w:uiPriority w:val="99"/>
    <w:rPr>
      <w:rFonts w:ascii="Times New Roman" w:hAnsi="Times New Roman" w:eastAsia="仿宋" w:cs="Times New Roman"/>
      <w:kern w:val="2"/>
      <w:sz w:val="32"/>
      <w:lang w:val="en-US" w:eastAsia="zh-CN" w:bidi="ar-SA"/>
    </w:rPr>
  </w:style>
  <w:style w:type="paragraph" w:customStyle="1" w:styleId="20">
    <w:name w:val="修订3"/>
    <w:autoRedefine/>
    <w:hidden/>
    <w:unhideWhenUsed/>
    <w:qFormat/>
    <w:uiPriority w:val="99"/>
    <w:rPr>
      <w:rFonts w:ascii="Times New Roman" w:hAnsi="Times New Roman" w:eastAsia="仿宋" w:cs="Times New Roman"/>
      <w:kern w:val="2"/>
      <w:sz w:val="32"/>
      <w:lang w:val="en-US" w:eastAsia="zh-CN" w:bidi="ar-SA"/>
    </w:rPr>
  </w:style>
  <w:style w:type="paragraph" w:customStyle="1" w:styleId="21">
    <w:name w:val="Revision"/>
    <w:hidden/>
    <w:unhideWhenUsed/>
    <w:qFormat/>
    <w:uiPriority w:val="99"/>
    <w:rPr>
      <w:rFonts w:ascii="Times New Roman" w:hAnsi="Times New Roman" w:eastAsia="仿宋"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3668</Words>
  <Characters>3936</Characters>
  <Lines>46</Lines>
  <Paragraphs>13</Paragraphs>
  <TotalTime>44</TotalTime>
  <ScaleCrop>false</ScaleCrop>
  <LinksUpToDate>false</LinksUpToDate>
  <CharactersWithSpaces>6006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2024-10-29T05:32:00Z</dcterms:created>
  <dc:creator>li.jiang</dc:creator>
  <cp:lastModifiedBy>陈苗</cp:lastModifiedBy>
  <cp:lastPrinted>2024-04-30T07:54:00Z</cp:lastPrinted>
  <dcterms:modified xsi:type="dcterms:W3CDTF">2024-10-29T08:18:03Z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42540A0413B441C9AA9DE1034FA5887A_13</vt:lpwstr>
  </property>
</Properties>
</file>