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91415" w14:textId="77777777" w:rsidR="001A10EE" w:rsidRDefault="00414862">
      <w:pPr>
        <w:rPr>
          <w:bCs/>
          <w:iCs/>
        </w:rPr>
      </w:pPr>
      <w:r>
        <w:rPr>
          <w:bCs/>
          <w:iCs/>
        </w:rPr>
        <w:t>证券代码：</w:t>
      </w:r>
      <w:r>
        <w:rPr>
          <w:bCs/>
          <w:iCs/>
        </w:rPr>
        <w:t xml:space="preserve"> </w:t>
      </w:r>
      <w:r>
        <w:t xml:space="preserve">688398                     </w:t>
      </w:r>
      <w:r>
        <w:rPr>
          <w:rFonts w:hint="eastAsia"/>
        </w:rPr>
        <w:t xml:space="preserve">         </w:t>
      </w:r>
      <w:r>
        <w:t xml:space="preserve">        </w:t>
      </w:r>
      <w:r>
        <w:rPr>
          <w:bCs/>
          <w:iCs/>
        </w:rPr>
        <w:t>证券简称：</w:t>
      </w:r>
      <w:r>
        <w:t>赛特新材</w:t>
      </w:r>
    </w:p>
    <w:p w14:paraId="0F1468C9" w14:textId="77777777" w:rsidR="001A10EE" w:rsidRDefault="00414862">
      <w:pPr>
        <w:pStyle w:val="a9"/>
        <w:ind w:firstLine="643"/>
      </w:pPr>
      <w:r>
        <w:t>福建赛特新材股份有限公司</w:t>
      </w:r>
      <w:r>
        <w:rPr>
          <w:rFonts w:hint="eastAsia"/>
        </w:rPr>
        <w:t>投资者关系活动记录表</w:t>
      </w:r>
    </w:p>
    <w:p w14:paraId="1D04A3F0" w14:textId="1585D0E8" w:rsidR="001A10EE" w:rsidRDefault="00414862">
      <w:pPr>
        <w:ind w:firstLineChars="1700" w:firstLine="3570"/>
      </w:pPr>
      <w:r>
        <w:rPr>
          <w:rFonts w:hint="eastAsia"/>
        </w:rPr>
        <w:t>（</w:t>
      </w:r>
      <w:r>
        <w:rPr>
          <w:rFonts w:hint="eastAsia"/>
        </w:rPr>
        <w:t>202</w:t>
      </w:r>
      <w:r>
        <w:t>4</w:t>
      </w:r>
      <w:r>
        <w:rPr>
          <w:rFonts w:hint="eastAsia"/>
        </w:rPr>
        <w:t>-</w:t>
      </w:r>
      <w:r>
        <w:t>00</w:t>
      </w:r>
      <w:r w:rsidR="002A63A5"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 xml:space="preserve">                              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6917"/>
      </w:tblGrid>
      <w:tr w:rsidR="001A10EE" w14:paraId="2F352736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FB83" w14:textId="77777777" w:rsidR="001A10EE" w:rsidRDefault="00414862">
            <w:pPr>
              <w:ind w:firstLineChars="0" w:firstLine="0"/>
            </w:pPr>
            <w:r>
              <w:t>投资者关系活动类别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BBD1" w14:textId="77777777" w:rsidR="001A10EE" w:rsidRDefault="00414862">
            <w:pPr>
              <w:ind w:firstLineChars="0" w:firstLine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√</w:t>
            </w:r>
            <w:r>
              <w:t>特定对象调研</w:t>
            </w:r>
            <w:r>
              <w:t xml:space="preserve">     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bCs/>
                <w:iCs/>
                <w:color w:val="000000"/>
              </w:rPr>
              <w:t>√</w:t>
            </w:r>
            <w:r>
              <w:rPr>
                <w:rFonts w:hint="eastAsia"/>
                <w:bCs/>
                <w:iCs/>
                <w:color w:val="000000"/>
              </w:rPr>
              <w:t xml:space="preserve"> </w:t>
            </w:r>
            <w:r>
              <w:t>分析师会议</w:t>
            </w:r>
          </w:p>
          <w:p w14:paraId="6A33F1A0" w14:textId="77777777" w:rsidR="001A10EE" w:rsidRDefault="00414862">
            <w:pPr>
              <w:ind w:firstLineChars="0" w:firstLine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□</w:t>
            </w:r>
            <w:r>
              <w:rPr>
                <w:rFonts w:hint="eastAsia"/>
                <w:bCs/>
                <w:iCs/>
                <w:color w:val="000000"/>
              </w:rPr>
              <w:t xml:space="preserve"> </w:t>
            </w:r>
            <w:r>
              <w:t>媒体采访</w:t>
            </w:r>
            <w:r>
              <w:t xml:space="preserve">            </w:t>
            </w:r>
            <w:r>
              <w:rPr>
                <w:bCs/>
                <w:iCs/>
                <w:color w:val="000000"/>
              </w:rPr>
              <w:t>□</w:t>
            </w:r>
            <w:r>
              <w:t>业绩说明会</w:t>
            </w:r>
          </w:p>
          <w:p w14:paraId="65C989DF" w14:textId="77777777" w:rsidR="001A10EE" w:rsidRDefault="00414862">
            <w:pPr>
              <w:ind w:firstLineChars="0" w:firstLine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□</w:t>
            </w:r>
            <w:r>
              <w:rPr>
                <w:rFonts w:hint="eastAsia"/>
                <w:bCs/>
                <w:iCs/>
                <w:color w:val="000000"/>
              </w:rPr>
              <w:t xml:space="preserve"> </w:t>
            </w:r>
            <w:r>
              <w:t>新闻发布会</w:t>
            </w:r>
            <w:r>
              <w:t xml:space="preserve">          </w:t>
            </w:r>
            <w:r>
              <w:rPr>
                <w:bCs/>
                <w:iCs/>
                <w:color w:val="000000"/>
              </w:rPr>
              <w:t>□</w:t>
            </w:r>
            <w:r>
              <w:rPr>
                <w:rFonts w:hint="eastAsia"/>
                <w:bCs/>
                <w:iCs/>
                <w:color w:val="000000"/>
              </w:rPr>
              <w:t xml:space="preserve"> </w:t>
            </w:r>
            <w:r>
              <w:t>路演活动</w:t>
            </w:r>
          </w:p>
          <w:p w14:paraId="7FBB2EC9" w14:textId="77777777" w:rsidR="001A10EE" w:rsidRDefault="00414862">
            <w:pPr>
              <w:ind w:firstLineChars="0" w:firstLine="0"/>
            </w:pPr>
            <w:r>
              <w:t>□</w:t>
            </w:r>
            <w:r>
              <w:rPr>
                <w:rFonts w:hint="eastAsia"/>
              </w:rPr>
              <w:t xml:space="preserve"> </w:t>
            </w:r>
            <w:r>
              <w:t>现场参观</w:t>
            </w:r>
            <w:r>
              <w:tab/>
            </w:r>
          </w:p>
          <w:p w14:paraId="4AFEE21C" w14:textId="77777777" w:rsidR="001A10EE" w:rsidRDefault="00414862">
            <w:pPr>
              <w:ind w:firstLineChars="0" w:firstLine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□</w:t>
            </w:r>
            <w:r>
              <w:rPr>
                <w:rFonts w:hint="eastAsia"/>
                <w:bCs/>
                <w:iCs/>
                <w:color w:val="000000"/>
              </w:rPr>
              <w:t xml:space="preserve"> </w:t>
            </w:r>
            <w:r>
              <w:t>其他</w:t>
            </w:r>
            <w:r>
              <w:t xml:space="preserve"> </w:t>
            </w:r>
            <w:r>
              <w:t>（请文字说明其他活动内容）</w:t>
            </w:r>
          </w:p>
        </w:tc>
      </w:tr>
      <w:tr w:rsidR="001A10EE" w14:paraId="752754E6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10B2" w14:textId="77777777" w:rsidR="001A10EE" w:rsidRDefault="00414862">
            <w:pPr>
              <w:spacing w:line="240" w:lineRule="auto"/>
              <w:ind w:firstLineChars="0" w:firstLine="0"/>
            </w:pPr>
            <w:r>
              <w:t>参与单位名称及人员姓名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3A7A" w14:textId="77777777" w:rsidR="001A10EE" w:rsidRDefault="00414862">
            <w:pPr>
              <w:spacing w:line="240" w:lineRule="auto"/>
              <w:ind w:firstLineChars="0" w:firstLine="0"/>
              <w:rPr>
                <w:lang w:val="en-GB"/>
              </w:rPr>
            </w:pPr>
            <w:r>
              <w:rPr>
                <w:rFonts w:hint="eastAsia"/>
                <w:lang w:val="en-GB"/>
              </w:rPr>
              <w:t>详见附件</w:t>
            </w:r>
            <w:r>
              <w:rPr>
                <w:rFonts w:hint="eastAsia"/>
                <w:lang w:val="en-GB"/>
              </w:rPr>
              <w:t>1</w:t>
            </w:r>
          </w:p>
        </w:tc>
      </w:tr>
      <w:tr w:rsidR="001A10EE" w14:paraId="4BC410E2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020E" w14:textId="77777777" w:rsidR="001A10EE" w:rsidRDefault="00414862">
            <w:pPr>
              <w:spacing w:line="240" w:lineRule="auto"/>
              <w:ind w:firstLineChars="0" w:firstLine="0"/>
            </w:pPr>
            <w:r>
              <w:t>时间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885C" w14:textId="63931488" w:rsidR="001A10EE" w:rsidRDefault="00414862">
            <w:pPr>
              <w:spacing w:line="240" w:lineRule="auto"/>
              <w:ind w:firstLineChars="0" w:firstLine="0"/>
            </w:pPr>
            <w:r>
              <w:t>2024</w:t>
            </w:r>
            <w:r>
              <w:t>年</w:t>
            </w:r>
            <w:r w:rsidR="00BD412D">
              <w:rPr>
                <w:rFonts w:hint="eastAsia"/>
              </w:rPr>
              <w:t>10</w:t>
            </w:r>
            <w:r>
              <w:t>月</w:t>
            </w:r>
            <w:r w:rsidR="00BD412D">
              <w:rPr>
                <w:rFonts w:hint="eastAsia"/>
              </w:rPr>
              <w:t>26</w:t>
            </w:r>
            <w:r w:rsidR="00F85D8A">
              <w:rPr>
                <w:rFonts w:hint="eastAsia"/>
              </w:rPr>
              <w:t>日</w:t>
            </w:r>
            <w:r w:rsidR="00BD412D">
              <w:rPr>
                <w:rFonts w:hint="eastAsia"/>
              </w:rPr>
              <w:t>、</w:t>
            </w:r>
            <w:r w:rsidR="00BD412D">
              <w:rPr>
                <w:rFonts w:hint="eastAsia"/>
              </w:rPr>
              <w:t>27</w:t>
            </w:r>
            <w:r w:rsidR="00F85D8A">
              <w:rPr>
                <w:rFonts w:hint="eastAsia"/>
              </w:rPr>
              <w:t>日</w:t>
            </w:r>
            <w:r w:rsidR="005B63B9">
              <w:rPr>
                <w:rFonts w:hint="eastAsia"/>
              </w:rPr>
              <w:t>、</w:t>
            </w:r>
            <w:r w:rsidR="005B63B9">
              <w:rPr>
                <w:rFonts w:hint="eastAsia"/>
              </w:rPr>
              <w:t>28</w:t>
            </w:r>
            <w:r>
              <w:t>日</w:t>
            </w:r>
          </w:p>
        </w:tc>
      </w:tr>
      <w:tr w:rsidR="001A10EE" w14:paraId="45779463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7CC7" w14:textId="77777777" w:rsidR="001A10EE" w:rsidRDefault="00414862">
            <w:pPr>
              <w:spacing w:line="240" w:lineRule="auto"/>
              <w:ind w:firstLineChars="0" w:firstLine="0"/>
            </w:pPr>
            <w:r>
              <w:t>地点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AD7F" w14:textId="77777777" w:rsidR="001A10EE" w:rsidRDefault="00414862">
            <w:pPr>
              <w:spacing w:line="240" w:lineRule="auto"/>
              <w:ind w:firstLineChars="0" w:firstLine="0"/>
            </w:pPr>
            <w:r>
              <w:rPr>
                <w:rFonts w:hint="eastAsia"/>
              </w:rPr>
              <w:t>网络会议、电话会议</w:t>
            </w:r>
          </w:p>
        </w:tc>
      </w:tr>
      <w:tr w:rsidR="001A10EE" w14:paraId="6D1FDA0E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7D19" w14:textId="77777777" w:rsidR="001A10EE" w:rsidRDefault="00414862">
            <w:pPr>
              <w:spacing w:line="240" w:lineRule="auto"/>
              <w:ind w:firstLineChars="0" w:firstLine="0"/>
            </w:pPr>
            <w:r>
              <w:t>上市公司接待人员姓名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E778" w14:textId="77777777" w:rsidR="001A10EE" w:rsidRDefault="00414862">
            <w:pPr>
              <w:spacing w:line="240" w:lineRule="auto"/>
              <w:ind w:firstLineChars="0" w:firstLine="0"/>
            </w:pPr>
            <w:r>
              <w:t>董事会秘书张必辉</w:t>
            </w:r>
            <w:r>
              <w:rPr>
                <w:rFonts w:hint="eastAsia"/>
              </w:rPr>
              <w:t>、证券事务代表谢义英</w:t>
            </w:r>
          </w:p>
        </w:tc>
      </w:tr>
      <w:tr w:rsidR="001A10EE" w14:paraId="05EFAA64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47C3" w14:textId="77777777" w:rsidR="001A10EE" w:rsidRPr="008D0997" w:rsidRDefault="00414862">
            <w:pPr>
              <w:ind w:firstLineChars="0" w:firstLine="0"/>
            </w:pPr>
            <w:r w:rsidRPr="008D0997">
              <w:t>投资者关系活动主要内容介绍</w:t>
            </w:r>
          </w:p>
          <w:p w14:paraId="04B70DA3" w14:textId="77777777" w:rsidR="001A10EE" w:rsidRDefault="001A10EE"/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C629" w14:textId="2E2D50AA" w:rsidR="00FB4E0B" w:rsidRPr="008D0997" w:rsidRDefault="00FB4E0B" w:rsidP="00FB4E0B">
            <w:pPr>
              <w:ind w:firstLineChars="0" w:firstLine="0"/>
              <w:rPr>
                <w:rFonts w:ascii="宋体" w:hAnsi="宋体" w:cs="微软雅黑" w:hint="eastAsia"/>
                <w:szCs w:val="21"/>
              </w:rPr>
            </w:pPr>
            <w:r w:rsidRPr="008D0997">
              <w:rPr>
                <w:rFonts w:ascii="宋体" w:hAnsi="宋体" w:cs="微软雅黑" w:hint="eastAsia"/>
                <w:szCs w:val="21"/>
              </w:rPr>
              <w:t>一、2024年</w:t>
            </w:r>
            <w:r w:rsidR="00BD412D" w:rsidRPr="008D0997">
              <w:rPr>
                <w:rFonts w:ascii="宋体" w:hAnsi="宋体" w:cs="微软雅黑" w:hint="eastAsia"/>
                <w:szCs w:val="21"/>
              </w:rPr>
              <w:t>前三季度</w:t>
            </w:r>
            <w:r w:rsidRPr="008D0997">
              <w:rPr>
                <w:rFonts w:ascii="宋体" w:hAnsi="宋体" w:cs="微软雅黑" w:hint="eastAsia"/>
                <w:szCs w:val="21"/>
              </w:rPr>
              <w:t>经营情况介绍</w:t>
            </w:r>
          </w:p>
          <w:p w14:paraId="1C12E3FC" w14:textId="4EDF859A" w:rsidR="006F6CA9" w:rsidRPr="008D0997" w:rsidRDefault="006F6CA9" w:rsidP="006F6CA9">
            <w:pPr>
              <w:ind w:firstLineChars="0" w:firstLine="360"/>
              <w:rPr>
                <w:rFonts w:ascii="宋体" w:hAnsi="宋体" w:cs="微软雅黑" w:hint="eastAsia"/>
                <w:szCs w:val="21"/>
              </w:rPr>
            </w:pPr>
            <w:r w:rsidRPr="008D0997">
              <w:rPr>
                <w:rFonts w:ascii="宋体" w:hAnsi="宋体" w:cs="微软雅黑" w:hint="eastAsia"/>
                <w:szCs w:val="21"/>
              </w:rPr>
              <w:t>（一）</w:t>
            </w:r>
            <w:r w:rsidR="00BA5BB0" w:rsidRPr="008D0997">
              <w:rPr>
                <w:rFonts w:ascii="宋体" w:hAnsi="宋体" w:cs="微软雅黑" w:hint="eastAsia"/>
                <w:szCs w:val="21"/>
              </w:rPr>
              <w:t>2024年第三季度收入、利润情况出现一定波动，</w:t>
            </w:r>
            <w:r w:rsidR="00C5398A">
              <w:rPr>
                <w:rFonts w:ascii="宋体" w:hAnsi="宋体" w:cs="微软雅黑" w:hint="eastAsia"/>
                <w:szCs w:val="21"/>
              </w:rPr>
              <w:t>情况</w:t>
            </w:r>
            <w:r w:rsidRPr="008D0997">
              <w:rPr>
                <w:rFonts w:ascii="宋体" w:hAnsi="宋体" w:cs="微软雅黑" w:hint="eastAsia"/>
                <w:szCs w:val="21"/>
              </w:rPr>
              <w:t>如下</w:t>
            </w:r>
            <w:r w:rsidR="00BA5BB0" w:rsidRPr="008D0997">
              <w:rPr>
                <w:rFonts w:ascii="宋体" w:hAnsi="宋体" w:cs="微软雅黑" w:hint="eastAsia"/>
                <w:szCs w:val="21"/>
              </w:rPr>
              <w:t>：</w:t>
            </w:r>
          </w:p>
          <w:p w14:paraId="32512836" w14:textId="0CEF0B96" w:rsidR="00C02021" w:rsidRPr="008D0997" w:rsidRDefault="00D060C7" w:rsidP="00C5398A">
            <w:pPr>
              <w:ind w:firstLineChars="0" w:firstLine="360"/>
              <w:rPr>
                <w:rFonts w:ascii="宋体" w:hAnsi="宋体" w:cs="微软雅黑" w:hint="eastAsia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上半年</w:t>
            </w:r>
            <w:r w:rsidRPr="00D060C7">
              <w:rPr>
                <w:rFonts w:ascii="宋体" w:hAnsi="宋体" w:cs="微软雅黑" w:hint="eastAsia"/>
                <w:szCs w:val="21"/>
              </w:rPr>
              <w:t>受红海局势影响，部分冰箱企业生产</w:t>
            </w:r>
            <w:r>
              <w:rPr>
                <w:rFonts w:ascii="宋体" w:hAnsi="宋体" w:cs="微软雅黑" w:hint="eastAsia"/>
                <w:szCs w:val="21"/>
              </w:rPr>
              <w:t>和采购</w:t>
            </w:r>
            <w:r w:rsidRPr="00D060C7">
              <w:rPr>
                <w:rFonts w:ascii="宋体" w:hAnsi="宋体" w:cs="微软雅黑" w:hint="eastAsia"/>
                <w:szCs w:val="21"/>
              </w:rPr>
              <w:t>节奏前移，</w:t>
            </w:r>
            <w:r w:rsidR="007D4E27">
              <w:rPr>
                <w:rFonts w:ascii="宋体" w:hAnsi="宋体" w:cs="微软雅黑" w:hint="eastAsia"/>
                <w:szCs w:val="21"/>
              </w:rPr>
              <w:t>叠加</w:t>
            </w:r>
            <w:r w:rsidRPr="00D060C7">
              <w:rPr>
                <w:rFonts w:ascii="宋体" w:hAnsi="宋体" w:cs="微软雅黑" w:hint="eastAsia"/>
                <w:szCs w:val="21"/>
              </w:rPr>
              <w:t>国内市场消费意愿较弱，终端需求承压</w:t>
            </w:r>
            <w:r w:rsidR="00AD30D1">
              <w:rPr>
                <w:rFonts w:ascii="宋体" w:hAnsi="宋体" w:cs="微软雅黑"/>
                <w:szCs w:val="21"/>
              </w:rPr>
              <w:t>，</w:t>
            </w:r>
            <w:r>
              <w:rPr>
                <w:rFonts w:ascii="宋体" w:hAnsi="宋体" w:cs="微软雅黑" w:hint="eastAsia"/>
                <w:szCs w:val="21"/>
              </w:rPr>
              <w:t>公司</w:t>
            </w:r>
            <w:r w:rsidR="00BD412D" w:rsidRPr="008D0997">
              <w:rPr>
                <w:rFonts w:ascii="宋体" w:hAnsi="宋体" w:cs="微软雅黑"/>
                <w:szCs w:val="21"/>
              </w:rPr>
              <w:t>5、6月份订单</w:t>
            </w:r>
            <w:r>
              <w:rPr>
                <w:rFonts w:ascii="宋体" w:hAnsi="宋体" w:cs="微软雅黑" w:hint="eastAsia"/>
                <w:szCs w:val="21"/>
              </w:rPr>
              <w:t>量</w:t>
            </w:r>
            <w:r w:rsidR="00BD412D" w:rsidRPr="008D0997">
              <w:rPr>
                <w:rFonts w:ascii="宋体" w:hAnsi="宋体" w:cs="微软雅黑"/>
                <w:szCs w:val="21"/>
              </w:rPr>
              <w:t>下降至较低水平。由于</w:t>
            </w:r>
            <w:r>
              <w:rPr>
                <w:rFonts w:ascii="宋体" w:hAnsi="宋体" w:cs="微软雅黑" w:hint="eastAsia"/>
                <w:szCs w:val="21"/>
              </w:rPr>
              <w:t>从</w:t>
            </w:r>
            <w:r w:rsidR="00BD412D" w:rsidRPr="008D0997">
              <w:rPr>
                <w:rFonts w:ascii="宋体" w:hAnsi="宋体" w:cs="微软雅黑"/>
                <w:szCs w:val="21"/>
              </w:rPr>
              <w:t>订单获取到会计收入确认存在时间差，第三季度营收同比下降9.16%。</w:t>
            </w:r>
            <w:r w:rsidR="007D4E27">
              <w:rPr>
                <w:rFonts w:ascii="宋体" w:hAnsi="宋体" w:cs="微软雅黑" w:hint="eastAsia"/>
                <w:szCs w:val="21"/>
              </w:rPr>
              <w:t>同时</w:t>
            </w:r>
            <w:r w:rsidR="00326027" w:rsidRPr="008D0997">
              <w:rPr>
                <w:rFonts w:ascii="宋体" w:hAnsi="宋体" w:cs="微软雅黑" w:hint="eastAsia"/>
                <w:szCs w:val="21"/>
              </w:rPr>
              <w:t>第三季度</w:t>
            </w:r>
            <w:r w:rsidR="00A23CCD">
              <w:rPr>
                <w:rFonts w:ascii="宋体" w:hAnsi="宋体" w:cs="微软雅黑" w:hint="eastAsia"/>
                <w:szCs w:val="21"/>
              </w:rPr>
              <w:t>主营业务</w:t>
            </w:r>
            <w:r w:rsidR="00326027" w:rsidRPr="008D0997">
              <w:rPr>
                <w:rFonts w:ascii="宋体" w:hAnsi="宋体" w:cs="微软雅黑" w:hint="eastAsia"/>
                <w:szCs w:val="21"/>
              </w:rPr>
              <w:t>内销比例上升至</w:t>
            </w:r>
            <w:r w:rsidR="00326027" w:rsidRPr="008D0997">
              <w:rPr>
                <w:rFonts w:ascii="宋体" w:hAnsi="宋体" w:cs="微软雅黑"/>
                <w:szCs w:val="21"/>
              </w:rPr>
              <w:t>5</w:t>
            </w:r>
            <w:r w:rsidR="00A23CCD">
              <w:rPr>
                <w:rFonts w:ascii="宋体" w:hAnsi="宋体" w:cs="微软雅黑" w:hint="eastAsia"/>
                <w:szCs w:val="21"/>
              </w:rPr>
              <w:t>9</w:t>
            </w:r>
            <w:r w:rsidR="00326027" w:rsidRPr="008D0997">
              <w:rPr>
                <w:rFonts w:ascii="宋体" w:hAnsi="宋体" w:cs="微软雅黑"/>
                <w:szCs w:val="21"/>
              </w:rPr>
              <w:t>%</w:t>
            </w:r>
            <w:r w:rsidR="00326027" w:rsidRPr="008D0997">
              <w:rPr>
                <w:rFonts w:ascii="宋体" w:hAnsi="宋体" w:cs="微软雅黑" w:hint="eastAsia"/>
                <w:szCs w:val="21"/>
              </w:rPr>
              <w:t>，</w:t>
            </w:r>
            <w:r w:rsidR="007D4E27">
              <w:rPr>
                <w:rFonts w:ascii="宋体" w:hAnsi="宋体" w:cs="微软雅黑" w:hint="eastAsia"/>
                <w:szCs w:val="21"/>
              </w:rPr>
              <w:t>加上</w:t>
            </w:r>
            <w:r w:rsidR="00326027" w:rsidRPr="008D0997">
              <w:rPr>
                <w:rFonts w:ascii="宋体" w:hAnsi="宋体" w:cs="微软雅黑" w:hint="eastAsia"/>
                <w:szCs w:val="21"/>
              </w:rPr>
              <w:t>天然气价格上涨</w:t>
            </w:r>
            <w:r w:rsidR="00A23CCD">
              <w:rPr>
                <w:rFonts w:ascii="宋体" w:hAnsi="宋体" w:cs="微软雅黑" w:hint="eastAsia"/>
                <w:szCs w:val="21"/>
              </w:rPr>
              <w:t>等</w:t>
            </w:r>
            <w:r w:rsidR="007D4E27">
              <w:rPr>
                <w:rFonts w:ascii="宋体" w:hAnsi="宋体" w:cs="微软雅黑" w:hint="eastAsia"/>
                <w:szCs w:val="21"/>
              </w:rPr>
              <w:t>原因</w:t>
            </w:r>
            <w:r w:rsidR="00A23CCD">
              <w:rPr>
                <w:rFonts w:ascii="宋体" w:hAnsi="宋体" w:cs="微软雅黑" w:hint="eastAsia"/>
                <w:szCs w:val="21"/>
              </w:rPr>
              <w:t>，</w:t>
            </w:r>
            <w:r w:rsidR="00BD412D" w:rsidRPr="008D0997">
              <w:rPr>
                <w:rFonts w:ascii="宋体" w:hAnsi="宋体" w:cs="微软雅黑"/>
                <w:szCs w:val="21"/>
              </w:rPr>
              <w:t>当季主营业务毛利率下降。</w:t>
            </w:r>
            <w:r w:rsidR="00AD30D1">
              <w:rPr>
                <w:rFonts w:ascii="宋体" w:hAnsi="宋体" w:cs="微软雅黑" w:hint="eastAsia"/>
                <w:szCs w:val="21"/>
              </w:rPr>
              <w:t>第三季度</w:t>
            </w:r>
            <w:r w:rsidR="00AD30D1">
              <w:rPr>
                <w:rFonts w:ascii="宋体" w:hAnsi="宋体" w:cs="微软雅黑"/>
                <w:szCs w:val="21"/>
              </w:rPr>
              <w:t>可转债</w:t>
            </w:r>
            <w:r w:rsidR="00BD412D" w:rsidRPr="008D0997">
              <w:rPr>
                <w:rFonts w:ascii="宋体" w:hAnsi="宋体" w:cs="微软雅黑"/>
                <w:szCs w:val="21"/>
              </w:rPr>
              <w:t>计提</w:t>
            </w:r>
            <w:r w:rsidR="00AD30D1" w:rsidRPr="008D0997">
              <w:rPr>
                <w:rFonts w:ascii="宋体" w:hAnsi="宋体" w:cs="微软雅黑"/>
                <w:szCs w:val="21"/>
              </w:rPr>
              <w:t>利息</w:t>
            </w:r>
            <w:r w:rsidR="00BD412D" w:rsidRPr="008D0997">
              <w:rPr>
                <w:rFonts w:ascii="宋体" w:hAnsi="宋体" w:cs="微软雅黑"/>
                <w:szCs w:val="21"/>
              </w:rPr>
              <w:t>支出</w:t>
            </w:r>
            <w:r w:rsidR="00AD30D1">
              <w:rPr>
                <w:rFonts w:ascii="宋体" w:hAnsi="宋体" w:cs="微软雅黑" w:hint="eastAsia"/>
                <w:szCs w:val="21"/>
              </w:rPr>
              <w:t>超</w:t>
            </w:r>
            <w:r w:rsidR="00326027" w:rsidRPr="008D0997">
              <w:rPr>
                <w:rFonts w:ascii="宋体" w:hAnsi="宋体" w:cs="微软雅黑" w:hint="eastAsia"/>
                <w:szCs w:val="21"/>
              </w:rPr>
              <w:t>500万元</w:t>
            </w:r>
            <w:r w:rsidR="00AD30D1">
              <w:rPr>
                <w:rFonts w:ascii="宋体" w:hAnsi="宋体" w:cs="微软雅黑" w:hint="eastAsia"/>
                <w:szCs w:val="21"/>
              </w:rPr>
              <w:t>，</w:t>
            </w:r>
            <w:r w:rsidR="00BD412D" w:rsidRPr="008D0997">
              <w:rPr>
                <w:rFonts w:ascii="宋体" w:hAnsi="宋体" w:cs="微软雅黑"/>
                <w:szCs w:val="21"/>
              </w:rPr>
              <w:t>人民币</w:t>
            </w:r>
            <w:r w:rsidR="00AD30D1">
              <w:rPr>
                <w:rFonts w:ascii="宋体" w:hAnsi="宋体" w:cs="微软雅黑" w:hint="eastAsia"/>
                <w:szCs w:val="21"/>
              </w:rPr>
              <w:t>汇率</w:t>
            </w:r>
            <w:r w:rsidR="00BD412D" w:rsidRPr="008D0997">
              <w:rPr>
                <w:rFonts w:ascii="宋体" w:hAnsi="宋体" w:cs="微软雅黑"/>
                <w:szCs w:val="21"/>
              </w:rPr>
              <w:t>升值</w:t>
            </w:r>
            <w:r w:rsidR="00AD30D1">
              <w:rPr>
                <w:rFonts w:ascii="宋体" w:hAnsi="宋体" w:cs="微软雅黑" w:hint="eastAsia"/>
                <w:szCs w:val="21"/>
              </w:rPr>
              <w:t>产生</w:t>
            </w:r>
            <w:r w:rsidR="00AD30D1">
              <w:rPr>
                <w:rFonts w:ascii="宋体" w:hAnsi="宋体" w:cs="微软雅黑"/>
                <w:szCs w:val="21"/>
              </w:rPr>
              <w:t>一部分</w:t>
            </w:r>
            <w:r w:rsidR="00BD412D" w:rsidRPr="008D0997">
              <w:rPr>
                <w:rFonts w:ascii="宋体" w:hAnsi="宋体" w:cs="微软雅黑"/>
                <w:szCs w:val="21"/>
              </w:rPr>
              <w:t>汇兑损失，本期的财务费用同比增加。两家子公司维</w:t>
            </w:r>
            <w:r w:rsidR="00BC1266" w:rsidRPr="008D0997">
              <w:rPr>
                <w:rFonts w:ascii="宋体" w:hAnsi="宋体" w:cs="微软雅黑" w:hint="eastAsia"/>
                <w:szCs w:val="21"/>
              </w:rPr>
              <w:t>爱吉</w:t>
            </w:r>
            <w:r w:rsidR="00BD412D" w:rsidRPr="008D0997">
              <w:rPr>
                <w:rFonts w:ascii="宋体" w:hAnsi="宋体" w:cs="微软雅黑"/>
                <w:szCs w:val="21"/>
              </w:rPr>
              <w:t>和安徽赛特</w:t>
            </w:r>
            <w:r w:rsidR="00AD30D1">
              <w:rPr>
                <w:rFonts w:ascii="宋体" w:hAnsi="宋体" w:cs="微软雅黑" w:hint="eastAsia"/>
                <w:szCs w:val="21"/>
              </w:rPr>
              <w:t>分别处于设备调试和产能爬坡期，</w:t>
            </w:r>
            <w:r w:rsidR="00BD412D" w:rsidRPr="008D0997">
              <w:rPr>
                <w:rFonts w:ascii="宋体" w:hAnsi="宋体" w:cs="微软雅黑"/>
                <w:szCs w:val="21"/>
              </w:rPr>
              <w:t>第三季度出现</w:t>
            </w:r>
            <w:r w:rsidR="00972D3B">
              <w:rPr>
                <w:rFonts w:ascii="宋体" w:hAnsi="宋体" w:cs="微软雅黑" w:hint="eastAsia"/>
                <w:szCs w:val="21"/>
              </w:rPr>
              <w:t>较大</w:t>
            </w:r>
            <w:r w:rsidR="00BD412D" w:rsidRPr="008D0997">
              <w:rPr>
                <w:rFonts w:ascii="宋体" w:hAnsi="宋体" w:cs="微软雅黑"/>
                <w:szCs w:val="21"/>
              </w:rPr>
              <w:t>亏损</w:t>
            </w:r>
            <w:r w:rsidR="00BC1266" w:rsidRPr="008D0997">
              <w:rPr>
                <w:rFonts w:ascii="宋体" w:hAnsi="宋体" w:cs="微软雅黑" w:hint="eastAsia"/>
                <w:szCs w:val="21"/>
              </w:rPr>
              <w:t>。</w:t>
            </w:r>
          </w:p>
          <w:p w14:paraId="3331F7D9" w14:textId="221D2814" w:rsidR="006F6CA9" w:rsidRPr="008D0997" w:rsidRDefault="006F6CA9" w:rsidP="00BC1266">
            <w:pPr>
              <w:rPr>
                <w:rFonts w:ascii="宋体" w:hAnsi="宋体" w:cs="微软雅黑" w:hint="eastAsia"/>
                <w:szCs w:val="21"/>
              </w:rPr>
            </w:pPr>
            <w:r w:rsidRPr="008D0997">
              <w:rPr>
                <w:rFonts w:ascii="宋体" w:hAnsi="宋体" w:cs="微软雅黑" w:hint="eastAsia"/>
                <w:szCs w:val="21"/>
              </w:rPr>
              <w:t>（二）目前下游市场需求以及订单变化情况：</w:t>
            </w:r>
          </w:p>
          <w:p w14:paraId="64D09509" w14:textId="23AABCAF" w:rsidR="008A3C5C" w:rsidRDefault="008A3C5C" w:rsidP="00DC12BF">
            <w:pPr>
              <w:rPr>
                <w:rFonts w:ascii="宋体" w:hAnsi="宋体" w:cs="微软雅黑" w:hint="eastAsia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2024年7、8月份，国家发改委等多个部门推出</w:t>
            </w:r>
            <w:r w:rsidRPr="008A3C5C">
              <w:rPr>
                <w:rFonts w:ascii="宋体" w:hAnsi="宋体" w:cs="微软雅黑" w:hint="eastAsia"/>
                <w:szCs w:val="21"/>
              </w:rPr>
              <w:t>关于加力支持大规模设备更新和消费品以旧换新的若干措施，对个人消费者购买1级和2级能效标准的冰箱分别给予20%和15%以旧换新补贴。</w:t>
            </w:r>
          </w:p>
          <w:p w14:paraId="430CE3B1" w14:textId="04500FDF" w:rsidR="00F2050B" w:rsidRPr="00F2050B" w:rsidRDefault="00F2050B" w:rsidP="00F2050B">
            <w:pPr>
              <w:rPr>
                <w:rFonts w:ascii="宋体" w:hAnsi="宋体" w:cs="微软雅黑" w:hint="eastAsia"/>
                <w:szCs w:val="21"/>
              </w:rPr>
            </w:pPr>
            <w:r w:rsidRPr="00F2050B">
              <w:rPr>
                <w:rFonts w:ascii="宋体" w:hAnsi="宋体" w:cs="微软雅黑" w:hint="eastAsia"/>
                <w:szCs w:val="21"/>
              </w:rPr>
              <w:t>商务部公开信息显示，截至10月15日，中央补贴支出131.7亿元，带动8大类家电产品实现销售690.9亿元，杠杆效应显著。目前以旧换新8大类家电中，1级能效产品销售额占比达90%以上。</w:t>
            </w:r>
          </w:p>
          <w:p w14:paraId="61B77EDF" w14:textId="4010BACF" w:rsidR="00F2050B" w:rsidRDefault="00F2050B" w:rsidP="00DC12BF">
            <w:pPr>
              <w:rPr>
                <w:rFonts w:ascii="宋体" w:hAnsi="宋体" w:cs="微软雅黑" w:hint="eastAsia"/>
                <w:szCs w:val="21"/>
              </w:rPr>
            </w:pPr>
            <w:r w:rsidRPr="00F2050B">
              <w:rPr>
                <w:rFonts w:ascii="宋体" w:hAnsi="宋体" w:cs="微软雅黑" w:hint="eastAsia"/>
                <w:szCs w:val="21"/>
              </w:rPr>
              <w:t>受</w:t>
            </w:r>
            <w:r>
              <w:rPr>
                <w:rFonts w:ascii="宋体" w:hAnsi="宋体" w:cs="微软雅黑" w:hint="eastAsia"/>
                <w:szCs w:val="21"/>
              </w:rPr>
              <w:t>利好政策</w:t>
            </w:r>
            <w:r w:rsidRPr="00F2050B">
              <w:rPr>
                <w:rFonts w:ascii="宋体" w:hAnsi="宋体" w:cs="微软雅黑" w:hint="eastAsia"/>
                <w:szCs w:val="21"/>
              </w:rPr>
              <w:t>拉动，</w:t>
            </w:r>
            <w:r>
              <w:rPr>
                <w:rFonts w:ascii="宋体" w:hAnsi="宋体" w:cs="微软雅黑" w:hint="eastAsia"/>
                <w:szCs w:val="21"/>
              </w:rPr>
              <w:t>冰箱企业尤其是头部</w:t>
            </w:r>
            <w:r w:rsidRPr="00F2050B">
              <w:rPr>
                <w:rFonts w:ascii="宋体" w:hAnsi="宋体" w:cs="微软雅黑" w:hint="eastAsia"/>
                <w:szCs w:val="21"/>
              </w:rPr>
              <w:t>企业对真空隔热板的需求逐步回升，公司10</w:t>
            </w:r>
            <w:r w:rsidR="00036C14">
              <w:rPr>
                <w:rFonts w:ascii="宋体" w:hAnsi="宋体" w:cs="微软雅黑" w:hint="eastAsia"/>
                <w:szCs w:val="21"/>
              </w:rPr>
              <w:t>月份的订单已</w:t>
            </w:r>
            <w:r w:rsidRPr="00F2050B">
              <w:rPr>
                <w:rFonts w:ascii="宋体" w:hAnsi="宋体" w:cs="微软雅黑" w:hint="eastAsia"/>
                <w:szCs w:val="21"/>
              </w:rPr>
              <w:t>达到去年的相对高点。预计今年第四季度订单</w:t>
            </w:r>
            <w:r w:rsidR="0040204B">
              <w:rPr>
                <w:rFonts w:ascii="宋体" w:hAnsi="宋体" w:cs="微软雅黑" w:hint="eastAsia"/>
                <w:szCs w:val="21"/>
              </w:rPr>
              <w:t>需求</w:t>
            </w:r>
            <w:r w:rsidRPr="00F2050B">
              <w:rPr>
                <w:rFonts w:ascii="宋体" w:hAnsi="宋体" w:cs="微软雅黑" w:hint="eastAsia"/>
                <w:szCs w:val="21"/>
              </w:rPr>
              <w:t>会保持</w:t>
            </w:r>
            <w:r w:rsidR="0040204B">
              <w:rPr>
                <w:rFonts w:ascii="宋体" w:hAnsi="宋体" w:cs="微软雅黑" w:hint="eastAsia"/>
                <w:szCs w:val="21"/>
              </w:rPr>
              <w:t>持续旺盛</w:t>
            </w:r>
            <w:r w:rsidRPr="00F2050B">
              <w:rPr>
                <w:rFonts w:ascii="宋体" w:hAnsi="宋体" w:cs="微软雅黑" w:hint="eastAsia"/>
                <w:szCs w:val="21"/>
              </w:rPr>
              <w:t>。</w:t>
            </w:r>
          </w:p>
          <w:p w14:paraId="0DDD29C0" w14:textId="29ACB5FC" w:rsidR="00FB4E0B" w:rsidRPr="008D0997" w:rsidRDefault="00BA5496" w:rsidP="00FB4E0B">
            <w:pPr>
              <w:ind w:firstLineChars="0" w:firstLine="0"/>
              <w:rPr>
                <w:rFonts w:ascii="宋体" w:hAnsi="宋体" w:cs="微软雅黑" w:hint="eastAsia"/>
                <w:szCs w:val="21"/>
              </w:rPr>
            </w:pPr>
            <w:r w:rsidRPr="008D0997">
              <w:rPr>
                <w:rFonts w:ascii="宋体" w:hAnsi="宋体" w:cs="微软雅黑" w:hint="eastAsia"/>
                <w:szCs w:val="21"/>
              </w:rPr>
              <w:lastRenderedPageBreak/>
              <w:t>二、问答</w:t>
            </w:r>
          </w:p>
          <w:p w14:paraId="78975455" w14:textId="2560DFBC" w:rsidR="00FB4E0B" w:rsidRPr="008D0997" w:rsidRDefault="00BA5496" w:rsidP="008D0997">
            <w:pPr>
              <w:rPr>
                <w:rFonts w:ascii="宋体" w:hAnsi="宋体" w:cs="微软雅黑" w:hint="eastAsia"/>
                <w:szCs w:val="21"/>
              </w:rPr>
            </w:pPr>
            <w:r w:rsidRPr="008D0997">
              <w:rPr>
                <w:rFonts w:ascii="宋体" w:hAnsi="宋体" w:cs="微软雅黑" w:hint="eastAsia"/>
                <w:szCs w:val="21"/>
              </w:rPr>
              <w:t>1、</w:t>
            </w:r>
            <w:r w:rsidR="006F6CA9" w:rsidRPr="008D0997">
              <w:rPr>
                <w:rFonts w:ascii="宋体" w:hAnsi="宋体" w:cs="微软雅黑" w:hint="eastAsia"/>
                <w:szCs w:val="21"/>
              </w:rPr>
              <w:t>2024年第</w:t>
            </w:r>
            <w:r w:rsidR="00BD412D" w:rsidRPr="008D0997">
              <w:rPr>
                <w:rFonts w:ascii="宋体" w:hAnsi="宋体" w:cs="微软雅黑"/>
                <w:szCs w:val="21"/>
              </w:rPr>
              <w:t>三季度内销</w:t>
            </w:r>
            <w:r w:rsidR="006F6CA9" w:rsidRPr="008D0997">
              <w:rPr>
                <w:rFonts w:ascii="宋体" w:hAnsi="宋体" w:cs="微软雅黑" w:hint="eastAsia"/>
                <w:szCs w:val="21"/>
              </w:rPr>
              <w:t>占比</w:t>
            </w:r>
            <w:r w:rsidR="00BD412D" w:rsidRPr="008D0997">
              <w:rPr>
                <w:rFonts w:ascii="宋体" w:hAnsi="宋体" w:cs="微软雅黑"/>
                <w:szCs w:val="21"/>
              </w:rPr>
              <w:t>高于外销</w:t>
            </w:r>
            <w:r w:rsidR="006F6CA9" w:rsidRPr="008D0997">
              <w:rPr>
                <w:rFonts w:ascii="宋体" w:hAnsi="宋体" w:cs="微软雅黑" w:hint="eastAsia"/>
                <w:szCs w:val="21"/>
              </w:rPr>
              <w:t>，不同于以往的</w:t>
            </w:r>
            <w:r w:rsidR="00BD412D" w:rsidRPr="008D0997">
              <w:rPr>
                <w:rFonts w:ascii="宋体" w:hAnsi="宋体" w:cs="微软雅黑"/>
                <w:szCs w:val="21"/>
              </w:rPr>
              <w:t>外销</w:t>
            </w:r>
            <w:r w:rsidR="006F6CA9" w:rsidRPr="008D0997">
              <w:rPr>
                <w:rFonts w:ascii="宋体" w:hAnsi="宋体" w:cs="微软雅黑" w:hint="eastAsia"/>
                <w:szCs w:val="21"/>
              </w:rPr>
              <w:t>高于内销，</w:t>
            </w:r>
            <w:r w:rsidR="00BD412D" w:rsidRPr="008D0997">
              <w:rPr>
                <w:rFonts w:ascii="宋体" w:hAnsi="宋体" w:cs="微软雅黑"/>
                <w:szCs w:val="21"/>
              </w:rPr>
              <w:t>出现这个变化的原因是什么？</w:t>
            </w:r>
          </w:p>
          <w:p w14:paraId="5679944A" w14:textId="1AB845AE" w:rsidR="00FB4E0B" w:rsidRPr="008D0997" w:rsidRDefault="00BA5496" w:rsidP="008D0997">
            <w:pPr>
              <w:rPr>
                <w:rFonts w:ascii="宋体" w:hAnsi="宋体" w:cs="微软雅黑" w:hint="eastAsia"/>
                <w:szCs w:val="21"/>
              </w:rPr>
            </w:pPr>
            <w:r w:rsidRPr="008D0997">
              <w:rPr>
                <w:rFonts w:ascii="宋体" w:hAnsi="宋体" w:cs="微软雅黑" w:hint="eastAsia"/>
                <w:szCs w:val="21"/>
              </w:rPr>
              <w:t>答</w:t>
            </w:r>
            <w:r w:rsidR="00FB4E0B" w:rsidRPr="008D0997">
              <w:rPr>
                <w:rFonts w:ascii="宋体" w:hAnsi="宋体" w:cs="微软雅黑" w:hint="eastAsia"/>
                <w:szCs w:val="21"/>
              </w:rPr>
              <w:t>：</w:t>
            </w:r>
            <w:r w:rsidR="006F6CA9" w:rsidRPr="008D0997">
              <w:rPr>
                <w:rFonts w:ascii="宋体" w:hAnsi="宋体" w:cs="微软雅黑" w:hint="eastAsia"/>
                <w:szCs w:val="21"/>
              </w:rPr>
              <w:t>因部分海外客户在</w:t>
            </w:r>
            <w:r w:rsidR="00BD412D" w:rsidRPr="008D0997">
              <w:rPr>
                <w:rFonts w:ascii="宋体" w:hAnsi="宋体" w:cs="微软雅黑"/>
                <w:szCs w:val="21"/>
              </w:rPr>
              <w:t>去年</w:t>
            </w:r>
            <w:r w:rsidR="007A14E3" w:rsidRPr="008D0997">
              <w:rPr>
                <w:rFonts w:ascii="宋体" w:hAnsi="宋体" w:cs="微软雅黑" w:hint="eastAsia"/>
                <w:szCs w:val="21"/>
              </w:rPr>
              <w:t>底到今年初，</w:t>
            </w:r>
            <w:r w:rsidR="006F6CA9" w:rsidRPr="008D0997">
              <w:rPr>
                <w:rFonts w:ascii="宋体" w:hAnsi="宋体" w:cs="微软雅黑" w:hint="eastAsia"/>
                <w:szCs w:val="21"/>
              </w:rPr>
              <w:t>为应对</w:t>
            </w:r>
            <w:r w:rsidR="00BD412D" w:rsidRPr="008D0997">
              <w:rPr>
                <w:rFonts w:ascii="宋体" w:hAnsi="宋体" w:cs="微软雅黑"/>
                <w:szCs w:val="21"/>
              </w:rPr>
              <w:t>红海危机，</w:t>
            </w:r>
            <w:r w:rsidR="007A14E3" w:rsidRPr="008D0997">
              <w:rPr>
                <w:rFonts w:ascii="宋体" w:hAnsi="宋体" w:cs="微软雅黑" w:hint="eastAsia"/>
                <w:szCs w:val="21"/>
              </w:rPr>
              <w:t>增加</w:t>
            </w:r>
            <w:r w:rsidR="00BD412D" w:rsidRPr="008D0997">
              <w:rPr>
                <w:rFonts w:ascii="宋体" w:hAnsi="宋体" w:cs="微软雅黑"/>
                <w:szCs w:val="21"/>
              </w:rPr>
              <w:t>库存</w:t>
            </w:r>
            <w:r w:rsidR="00C450FB" w:rsidRPr="008D0997">
              <w:rPr>
                <w:rFonts w:ascii="宋体" w:hAnsi="宋体" w:cs="微软雅黑" w:hint="eastAsia"/>
                <w:szCs w:val="21"/>
              </w:rPr>
              <w:t>，</w:t>
            </w:r>
            <w:r w:rsidR="007A14E3" w:rsidRPr="008D0997">
              <w:rPr>
                <w:rFonts w:ascii="宋体" w:hAnsi="宋体" w:cs="微软雅黑" w:hint="eastAsia"/>
                <w:szCs w:val="21"/>
              </w:rPr>
              <w:t>将采购</w:t>
            </w:r>
            <w:r w:rsidR="00071706">
              <w:rPr>
                <w:rFonts w:ascii="宋体" w:hAnsi="宋体" w:cs="微软雅黑" w:hint="eastAsia"/>
                <w:szCs w:val="21"/>
              </w:rPr>
              <w:t>和生产</w:t>
            </w:r>
            <w:r w:rsidR="007A14E3" w:rsidRPr="008D0997">
              <w:rPr>
                <w:rFonts w:ascii="宋体" w:hAnsi="宋体" w:cs="微软雅黑" w:hint="eastAsia"/>
                <w:szCs w:val="21"/>
              </w:rPr>
              <w:t>计划前移</w:t>
            </w:r>
            <w:r w:rsidR="005F66F7">
              <w:rPr>
                <w:rFonts w:ascii="宋体" w:hAnsi="宋体" w:cs="微软雅黑" w:hint="eastAsia"/>
                <w:szCs w:val="21"/>
              </w:rPr>
              <w:t>，对二季度订单产生虹吸效应</w:t>
            </w:r>
            <w:r w:rsidR="00461474">
              <w:rPr>
                <w:rFonts w:ascii="宋体" w:hAnsi="宋体" w:cs="微软雅黑" w:hint="eastAsia"/>
                <w:szCs w:val="21"/>
              </w:rPr>
              <w:t>；</w:t>
            </w:r>
            <w:r w:rsidR="00071706">
              <w:rPr>
                <w:rFonts w:ascii="宋体" w:hAnsi="宋体" w:cs="微软雅黑" w:hint="eastAsia"/>
                <w:szCs w:val="21"/>
              </w:rPr>
              <w:t>部分跨国</w:t>
            </w:r>
            <w:r w:rsidR="007A14E3" w:rsidRPr="008D0997">
              <w:rPr>
                <w:rFonts w:ascii="宋体" w:hAnsi="宋体" w:cs="微软雅黑" w:hint="eastAsia"/>
                <w:szCs w:val="21"/>
              </w:rPr>
              <w:t>客户增加其在中国境内</w:t>
            </w:r>
            <w:r w:rsidR="00071706">
              <w:rPr>
                <w:rFonts w:ascii="宋体" w:hAnsi="宋体" w:cs="微软雅黑" w:hint="eastAsia"/>
                <w:szCs w:val="21"/>
              </w:rPr>
              <w:t>制造基地</w:t>
            </w:r>
            <w:r w:rsidR="007A14E3" w:rsidRPr="008D0997">
              <w:rPr>
                <w:rFonts w:ascii="宋体" w:hAnsi="宋体" w:cs="微软雅黑" w:hint="eastAsia"/>
                <w:szCs w:val="21"/>
              </w:rPr>
              <w:t>的产能配置</w:t>
            </w:r>
            <w:r w:rsidR="00461474">
              <w:rPr>
                <w:rFonts w:ascii="宋体" w:hAnsi="宋体" w:cs="微软雅黑" w:hint="eastAsia"/>
                <w:szCs w:val="21"/>
              </w:rPr>
              <w:t>；</w:t>
            </w:r>
            <w:r w:rsidR="003C0867">
              <w:rPr>
                <w:rFonts w:ascii="宋体" w:hAnsi="宋体" w:cs="微软雅黑" w:hint="eastAsia"/>
                <w:szCs w:val="21"/>
              </w:rPr>
              <w:t>20</w:t>
            </w:r>
            <w:r w:rsidR="00071706">
              <w:rPr>
                <w:rFonts w:ascii="宋体" w:hAnsi="宋体" w:cs="微软雅黑" w:hint="eastAsia"/>
                <w:szCs w:val="21"/>
              </w:rPr>
              <w:t>24年</w:t>
            </w:r>
            <w:r w:rsidR="007A14E3" w:rsidRPr="008D0997">
              <w:rPr>
                <w:rFonts w:ascii="宋体" w:hAnsi="宋体" w:cs="微软雅黑" w:hint="eastAsia"/>
                <w:szCs w:val="21"/>
              </w:rPr>
              <w:t>中国</w:t>
            </w:r>
            <w:r w:rsidR="00071706">
              <w:rPr>
                <w:rFonts w:ascii="宋体" w:hAnsi="宋体" w:cs="微软雅黑" w:hint="eastAsia"/>
                <w:szCs w:val="21"/>
              </w:rPr>
              <w:t>冰箱产品出口及</w:t>
            </w:r>
            <w:r w:rsidR="007A14E3" w:rsidRPr="008D0997">
              <w:rPr>
                <w:rFonts w:ascii="宋体" w:hAnsi="宋体" w:cs="微软雅黑" w:hint="eastAsia"/>
                <w:szCs w:val="21"/>
              </w:rPr>
              <w:t>代工出口</w:t>
            </w:r>
            <w:r w:rsidR="00071706">
              <w:rPr>
                <w:rFonts w:ascii="宋体" w:hAnsi="宋体" w:cs="微软雅黑" w:hint="eastAsia"/>
                <w:szCs w:val="21"/>
              </w:rPr>
              <w:t>增长较快，同时叠加以旧换新政策，国内客户对真空绝热板的需求上升。</w:t>
            </w:r>
          </w:p>
          <w:p w14:paraId="113AD159" w14:textId="6A062647" w:rsidR="00FB4E0B" w:rsidRPr="008D0997" w:rsidRDefault="001516DC" w:rsidP="008D0997">
            <w:pPr>
              <w:rPr>
                <w:rFonts w:ascii="宋体" w:hAnsi="宋体" w:cs="微软雅黑" w:hint="eastAsia"/>
                <w:szCs w:val="21"/>
              </w:rPr>
            </w:pPr>
            <w:r w:rsidRPr="008D0997">
              <w:rPr>
                <w:rFonts w:ascii="宋体" w:hAnsi="宋体" w:cs="微软雅黑" w:hint="eastAsia"/>
                <w:szCs w:val="21"/>
              </w:rPr>
              <w:t>2</w:t>
            </w:r>
            <w:r w:rsidR="006D63E9" w:rsidRPr="008D0997">
              <w:rPr>
                <w:rFonts w:ascii="宋体" w:hAnsi="宋体" w:cs="微软雅黑" w:hint="eastAsia"/>
                <w:szCs w:val="21"/>
              </w:rPr>
              <w:t>、</w:t>
            </w:r>
            <w:r w:rsidR="00BD412D" w:rsidRPr="008D0997">
              <w:rPr>
                <w:rFonts w:ascii="宋体" w:hAnsi="宋体" w:cs="微软雅黑"/>
                <w:szCs w:val="21"/>
              </w:rPr>
              <w:t>两个子公司的亏损</w:t>
            </w:r>
            <w:r w:rsidRPr="008D0997">
              <w:rPr>
                <w:rFonts w:ascii="宋体" w:hAnsi="宋体" w:cs="微软雅黑" w:hint="eastAsia"/>
                <w:szCs w:val="21"/>
              </w:rPr>
              <w:t>影响了</w:t>
            </w:r>
            <w:r w:rsidRPr="008D0997">
              <w:rPr>
                <w:rFonts w:ascii="宋体" w:hAnsi="宋体" w:cs="微软雅黑"/>
                <w:szCs w:val="21"/>
              </w:rPr>
              <w:t>三季度利润</w:t>
            </w:r>
            <w:r w:rsidR="00BD412D" w:rsidRPr="008D0997">
              <w:rPr>
                <w:rFonts w:ascii="宋体" w:hAnsi="宋体" w:cs="微软雅黑"/>
                <w:szCs w:val="21"/>
              </w:rPr>
              <w:t>。</w:t>
            </w:r>
            <w:r w:rsidRPr="008D0997">
              <w:rPr>
                <w:rFonts w:ascii="宋体" w:hAnsi="宋体" w:cs="微软雅黑" w:hint="eastAsia"/>
                <w:szCs w:val="21"/>
              </w:rPr>
              <w:t>请问第四季度</w:t>
            </w:r>
            <w:r w:rsidR="00BD412D" w:rsidRPr="008D0997">
              <w:rPr>
                <w:rFonts w:ascii="宋体" w:hAnsi="宋体" w:cs="微软雅黑"/>
                <w:szCs w:val="21"/>
              </w:rPr>
              <w:t>这两个子公司有没有减亏的一个可能？</w:t>
            </w:r>
            <w:r w:rsidRPr="008D0997">
              <w:rPr>
                <w:rFonts w:ascii="宋体" w:hAnsi="宋体" w:cs="微软雅黑"/>
                <w:szCs w:val="21"/>
              </w:rPr>
              <w:t xml:space="preserve"> </w:t>
            </w:r>
          </w:p>
          <w:p w14:paraId="3472095D" w14:textId="2033D654" w:rsidR="00FB4E0B" w:rsidRPr="008D0997" w:rsidRDefault="00BA5496" w:rsidP="00A10D72">
            <w:pPr>
              <w:rPr>
                <w:rFonts w:ascii="宋体" w:hAnsi="宋体" w:cs="微软雅黑" w:hint="eastAsia"/>
                <w:szCs w:val="21"/>
              </w:rPr>
            </w:pPr>
            <w:r w:rsidRPr="008D0997">
              <w:rPr>
                <w:rFonts w:ascii="宋体" w:hAnsi="宋体" w:cs="微软雅黑" w:hint="eastAsia"/>
                <w:szCs w:val="21"/>
              </w:rPr>
              <w:t>答</w:t>
            </w:r>
            <w:r w:rsidR="00FB4E0B" w:rsidRPr="008D0997">
              <w:rPr>
                <w:rFonts w:ascii="宋体" w:hAnsi="宋体" w:cs="微软雅黑" w:hint="eastAsia"/>
                <w:szCs w:val="21"/>
              </w:rPr>
              <w:t>：</w:t>
            </w:r>
            <w:r w:rsidR="00EB32B0" w:rsidRPr="008D0997">
              <w:rPr>
                <w:rFonts w:ascii="宋体" w:hAnsi="宋体" w:cs="微软雅黑" w:hint="eastAsia"/>
                <w:szCs w:val="21"/>
              </w:rPr>
              <w:t>维爱吉</w:t>
            </w:r>
            <w:r w:rsidR="00BD412D" w:rsidRPr="008D0997">
              <w:rPr>
                <w:rFonts w:ascii="宋体" w:hAnsi="宋体" w:cs="微软雅黑"/>
                <w:szCs w:val="21"/>
              </w:rPr>
              <w:t>目前</w:t>
            </w:r>
            <w:r w:rsidR="00D127ED">
              <w:rPr>
                <w:rFonts w:ascii="宋体" w:hAnsi="宋体" w:cs="微软雅黑" w:hint="eastAsia"/>
                <w:szCs w:val="21"/>
              </w:rPr>
              <w:t>处于</w:t>
            </w:r>
            <w:r w:rsidR="00BD412D" w:rsidRPr="008D0997">
              <w:rPr>
                <w:rFonts w:ascii="宋体" w:hAnsi="宋体" w:cs="微软雅黑"/>
                <w:szCs w:val="21"/>
              </w:rPr>
              <w:t>打样</w:t>
            </w:r>
            <w:r w:rsidR="001516DC" w:rsidRPr="008D0997">
              <w:rPr>
                <w:rFonts w:ascii="宋体" w:hAnsi="宋体" w:cs="微软雅黑" w:hint="eastAsia"/>
                <w:szCs w:val="21"/>
              </w:rPr>
              <w:t>和</w:t>
            </w:r>
            <w:r w:rsidR="00BD412D" w:rsidRPr="008D0997">
              <w:rPr>
                <w:rFonts w:ascii="宋体" w:hAnsi="宋体" w:cs="微软雅黑"/>
                <w:szCs w:val="21"/>
              </w:rPr>
              <w:t>设备安装调试阶段</w:t>
            </w:r>
            <w:r w:rsidR="001516DC" w:rsidRPr="008D0997">
              <w:rPr>
                <w:rFonts w:ascii="宋体" w:hAnsi="宋体" w:cs="微软雅黑" w:hint="eastAsia"/>
                <w:szCs w:val="21"/>
              </w:rPr>
              <w:t>，</w:t>
            </w:r>
            <w:r w:rsidR="00DC12BF" w:rsidRPr="008D0997">
              <w:rPr>
                <w:rFonts w:ascii="宋体" w:hAnsi="宋体" w:cs="微软雅黑" w:hint="eastAsia"/>
                <w:szCs w:val="21"/>
              </w:rPr>
              <w:t>四季度</w:t>
            </w:r>
            <w:r w:rsidR="00BD412D" w:rsidRPr="008D0997">
              <w:rPr>
                <w:rFonts w:ascii="宋体" w:hAnsi="宋体" w:cs="微软雅黑"/>
                <w:szCs w:val="21"/>
              </w:rPr>
              <w:t>整体亏损</w:t>
            </w:r>
            <w:r w:rsidR="00EB32B0" w:rsidRPr="008D0997">
              <w:rPr>
                <w:rFonts w:ascii="宋体" w:hAnsi="宋体" w:cs="微软雅黑" w:hint="eastAsia"/>
                <w:szCs w:val="21"/>
              </w:rPr>
              <w:t>状况</w:t>
            </w:r>
            <w:r w:rsidR="00C73089">
              <w:rPr>
                <w:rFonts w:ascii="宋体" w:hAnsi="宋体" w:cs="微软雅黑" w:hint="eastAsia"/>
                <w:szCs w:val="21"/>
              </w:rPr>
              <w:t>将</w:t>
            </w:r>
            <w:r w:rsidR="00BD412D" w:rsidRPr="008D0997">
              <w:rPr>
                <w:rFonts w:ascii="宋体" w:hAnsi="宋体" w:cs="微软雅黑"/>
                <w:szCs w:val="21"/>
              </w:rPr>
              <w:t>会延续。安徽赛特随着</w:t>
            </w:r>
            <w:r w:rsidR="00D127ED">
              <w:rPr>
                <w:rFonts w:ascii="宋体" w:hAnsi="宋体" w:cs="微软雅黑" w:hint="eastAsia"/>
                <w:szCs w:val="21"/>
              </w:rPr>
              <w:t>公司</w:t>
            </w:r>
            <w:r w:rsidR="00BD412D" w:rsidRPr="008D0997">
              <w:rPr>
                <w:rFonts w:ascii="宋体" w:hAnsi="宋体" w:cs="微软雅黑"/>
                <w:szCs w:val="21"/>
              </w:rPr>
              <w:t>订单</w:t>
            </w:r>
            <w:r w:rsidR="00D127ED">
              <w:rPr>
                <w:rFonts w:ascii="宋体" w:hAnsi="宋体" w:cs="微软雅黑" w:hint="eastAsia"/>
                <w:szCs w:val="21"/>
              </w:rPr>
              <w:t>的增长</w:t>
            </w:r>
            <w:r w:rsidR="00BD412D" w:rsidRPr="008D0997">
              <w:rPr>
                <w:rFonts w:ascii="宋体" w:hAnsi="宋体" w:cs="微软雅黑"/>
                <w:szCs w:val="21"/>
              </w:rPr>
              <w:t>，</w:t>
            </w:r>
            <w:r w:rsidR="00D127ED">
              <w:rPr>
                <w:rFonts w:ascii="宋体" w:hAnsi="宋体" w:cs="微软雅黑" w:hint="eastAsia"/>
                <w:szCs w:val="21"/>
              </w:rPr>
              <w:t>其</w:t>
            </w:r>
            <w:r w:rsidR="00BD412D" w:rsidRPr="008D0997">
              <w:rPr>
                <w:rFonts w:ascii="宋体" w:hAnsi="宋体" w:cs="微软雅黑"/>
                <w:szCs w:val="21"/>
              </w:rPr>
              <w:t>产能利用率</w:t>
            </w:r>
            <w:r w:rsidR="00D127ED">
              <w:rPr>
                <w:rFonts w:ascii="宋体" w:hAnsi="宋体" w:cs="微软雅黑" w:hint="eastAsia"/>
                <w:szCs w:val="21"/>
              </w:rPr>
              <w:t>十月份</w:t>
            </w:r>
            <w:r w:rsidR="00BD412D" w:rsidRPr="008D0997">
              <w:rPr>
                <w:rFonts w:ascii="宋体" w:hAnsi="宋体" w:cs="微软雅黑"/>
                <w:szCs w:val="21"/>
              </w:rPr>
              <w:t>已</w:t>
            </w:r>
            <w:r w:rsidR="00D127ED">
              <w:rPr>
                <w:rFonts w:ascii="宋体" w:hAnsi="宋体" w:cs="微软雅黑" w:hint="eastAsia"/>
                <w:szCs w:val="21"/>
              </w:rPr>
              <w:t>有</w:t>
            </w:r>
            <w:r w:rsidR="001516DC" w:rsidRPr="008D0997">
              <w:rPr>
                <w:rFonts w:ascii="宋体" w:hAnsi="宋体" w:cs="微软雅黑" w:hint="eastAsia"/>
                <w:szCs w:val="21"/>
              </w:rPr>
              <w:t>提升</w:t>
            </w:r>
            <w:r w:rsidR="00D127ED">
              <w:rPr>
                <w:rFonts w:ascii="宋体" w:hAnsi="宋体" w:cs="微软雅黑" w:hint="eastAsia"/>
                <w:szCs w:val="21"/>
              </w:rPr>
              <w:t>，</w:t>
            </w:r>
            <w:r w:rsidR="00BD412D" w:rsidRPr="008D0997">
              <w:rPr>
                <w:rFonts w:ascii="宋体" w:hAnsi="宋体" w:cs="微软雅黑"/>
                <w:szCs w:val="21"/>
              </w:rPr>
              <w:t>亏损幅度</w:t>
            </w:r>
            <w:r w:rsidR="001516DC" w:rsidRPr="008D0997">
              <w:rPr>
                <w:rFonts w:ascii="宋体" w:hAnsi="宋体" w:cs="微软雅黑" w:hint="eastAsia"/>
                <w:szCs w:val="21"/>
              </w:rPr>
              <w:t>有望</w:t>
            </w:r>
            <w:r w:rsidR="00D127ED">
              <w:rPr>
                <w:rFonts w:ascii="宋体" w:hAnsi="宋体" w:cs="微软雅黑" w:hint="eastAsia"/>
                <w:szCs w:val="21"/>
              </w:rPr>
              <w:t>收窄</w:t>
            </w:r>
            <w:r w:rsidR="00BD412D" w:rsidRPr="008D0997">
              <w:rPr>
                <w:rFonts w:ascii="宋体" w:hAnsi="宋体" w:cs="微软雅黑"/>
                <w:szCs w:val="21"/>
              </w:rPr>
              <w:t>。</w:t>
            </w:r>
          </w:p>
          <w:p w14:paraId="0678B952" w14:textId="07A71F4C" w:rsidR="00FB4E0B" w:rsidRPr="008D0997" w:rsidRDefault="00257B25" w:rsidP="008D0997">
            <w:pPr>
              <w:rPr>
                <w:rFonts w:ascii="宋体" w:hAnsi="宋体" w:cs="微软雅黑" w:hint="eastAsia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3</w:t>
            </w:r>
            <w:r w:rsidR="006D63E9" w:rsidRPr="008D0997">
              <w:rPr>
                <w:rFonts w:ascii="宋体" w:hAnsi="宋体" w:cs="微软雅黑" w:hint="eastAsia"/>
                <w:szCs w:val="21"/>
              </w:rPr>
              <w:t>、</w:t>
            </w:r>
            <w:r w:rsidR="00CD7EC0" w:rsidRPr="008D0997">
              <w:rPr>
                <w:rFonts w:ascii="宋体" w:hAnsi="宋体" w:cs="微软雅黑" w:hint="eastAsia"/>
                <w:szCs w:val="21"/>
              </w:rPr>
              <w:t>维爱吉</w:t>
            </w:r>
            <w:r w:rsidR="00BD412D" w:rsidRPr="008D0997">
              <w:rPr>
                <w:rFonts w:ascii="宋体" w:hAnsi="宋体" w:cs="微软雅黑"/>
                <w:szCs w:val="21"/>
              </w:rPr>
              <w:t>真空玻璃的进展</w:t>
            </w:r>
            <w:r w:rsidR="00CD7EC0" w:rsidRPr="008D0997">
              <w:rPr>
                <w:rFonts w:ascii="宋体" w:hAnsi="宋体" w:cs="微软雅黑" w:hint="eastAsia"/>
                <w:szCs w:val="21"/>
              </w:rPr>
              <w:t>情况</w:t>
            </w:r>
            <w:r w:rsidR="00BD412D" w:rsidRPr="008D0997">
              <w:rPr>
                <w:rFonts w:ascii="宋体" w:hAnsi="宋体" w:cs="微软雅黑"/>
                <w:szCs w:val="21"/>
              </w:rPr>
              <w:t>？</w:t>
            </w:r>
          </w:p>
          <w:p w14:paraId="563DE935" w14:textId="12A22C29" w:rsidR="00365F72" w:rsidRPr="008D0997" w:rsidRDefault="00BA5496" w:rsidP="00365F72">
            <w:pPr>
              <w:rPr>
                <w:rFonts w:ascii="宋体" w:hAnsi="宋体" w:cs="微软雅黑" w:hint="eastAsia"/>
                <w:szCs w:val="21"/>
              </w:rPr>
            </w:pPr>
            <w:r w:rsidRPr="008D0997">
              <w:rPr>
                <w:rFonts w:ascii="宋体" w:hAnsi="宋体" w:cs="微软雅黑" w:hint="eastAsia"/>
                <w:szCs w:val="21"/>
              </w:rPr>
              <w:t>答</w:t>
            </w:r>
            <w:r w:rsidR="00FB4E0B" w:rsidRPr="008D0997">
              <w:rPr>
                <w:rFonts w:ascii="宋体" w:hAnsi="宋体" w:cs="微软雅黑" w:hint="eastAsia"/>
                <w:szCs w:val="21"/>
              </w:rPr>
              <w:t>：</w:t>
            </w:r>
            <w:r w:rsidR="00263CAE" w:rsidRPr="008D0997">
              <w:rPr>
                <w:rFonts w:ascii="宋体" w:hAnsi="宋体" w:cs="微软雅黑" w:hint="eastAsia"/>
                <w:szCs w:val="21"/>
              </w:rPr>
              <w:t>维爱吉</w:t>
            </w:r>
            <w:r w:rsidR="00BD412D" w:rsidRPr="008D0997">
              <w:rPr>
                <w:rFonts w:ascii="宋体" w:hAnsi="宋体" w:cs="微软雅黑"/>
                <w:szCs w:val="21"/>
              </w:rPr>
              <w:t>目前有三条</w:t>
            </w:r>
            <w:r w:rsidR="00263CAE" w:rsidRPr="008D0997">
              <w:rPr>
                <w:rFonts w:ascii="宋体" w:hAnsi="宋体" w:cs="微软雅黑" w:hint="eastAsia"/>
                <w:szCs w:val="21"/>
              </w:rPr>
              <w:t>生产</w:t>
            </w:r>
            <w:r w:rsidR="00BD412D" w:rsidRPr="008D0997">
              <w:rPr>
                <w:rFonts w:ascii="宋体" w:hAnsi="宋体" w:cs="微软雅黑"/>
                <w:szCs w:val="21"/>
              </w:rPr>
              <w:t>线，一</w:t>
            </w:r>
            <w:r w:rsidR="00263CAE" w:rsidRPr="008D0997">
              <w:rPr>
                <w:rFonts w:ascii="宋体" w:hAnsi="宋体" w:cs="微软雅黑" w:hint="eastAsia"/>
                <w:szCs w:val="21"/>
              </w:rPr>
              <w:t>条</w:t>
            </w:r>
            <w:r w:rsidR="007E4835">
              <w:rPr>
                <w:rFonts w:ascii="宋体" w:hAnsi="宋体" w:cs="微软雅黑" w:hint="eastAsia"/>
                <w:szCs w:val="21"/>
              </w:rPr>
              <w:t>旧</w:t>
            </w:r>
            <w:r w:rsidR="00257B25">
              <w:rPr>
                <w:rFonts w:ascii="宋体" w:hAnsi="宋体" w:cs="微软雅黑" w:hint="eastAsia"/>
                <w:szCs w:val="21"/>
              </w:rPr>
              <w:t>线（即原</w:t>
            </w:r>
            <w:r w:rsidR="00263CAE" w:rsidRPr="008D0997">
              <w:rPr>
                <w:rFonts w:ascii="宋体" w:hAnsi="宋体" w:cs="微软雅黑" w:hint="eastAsia"/>
                <w:szCs w:val="21"/>
              </w:rPr>
              <w:t>中试线</w:t>
            </w:r>
            <w:r w:rsidR="00257B25">
              <w:rPr>
                <w:rFonts w:ascii="宋体" w:hAnsi="宋体" w:cs="微软雅黑" w:hint="eastAsia"/>
                <w:szCs w:val="21"/>
              </w:rPr>
              <w:t>）</w:t>
            </w:r>
            <w:r w:rsidR="00263CAE" w:rsidRPr="008D0997">
              <w:rPr>
                <w:rFonts w:ascii="宋体" w:hAnsi="宋体" w:cs="微软雅黑" w:hint="eastAsia"/>
                <w:szCs w:val="21"/>
              </w:rPr>
              <w:t>和</w:t>
            </w:r>
            <w:r w:rsidR="00BD412D" w:rsidRPr="008D0997">
              <w:rPr>
                <w:rFonts w:ascii="宋体" w:hAnsi="宋体" w:cs="微软雅黑"/>
                <w:szCs w:val="21"/>
              </w:rPr>
              <w:t>两</w:t>
            </w:r>
            <w:r w:rsidR="00263CAE" w:rsidRPr="008D0997">
              <w:rPr>
                <w:rFonts w:ascii="宋体" w:hAnsi="宋体" w:cs="微软雅黑" w:hint="eastAsia"/>
                <w:szCs w:val="21"/>
              </w:rPr>
              <w:t>条</w:t>
            </w:r>
            <w:r w:rsidR="00BD412D" w:rsidRPr="008D0997">
              <w:rPr>
                <w:rFonts w:ascii="宋体" w:hAnsi="宋体" w:cs="微软雅黑"/>
                <w:szCs w:val="21"/>
              </w:rPr>
              <w:t>新</w:t>
            </w:r>
            <w:r w:rsidR="00263CAE" w:rsidRPr="008D0997">
              <w:rPr>
                <w:rFonts w:ascii="宋体" w:hAnsi="宋体" w:cs="微软雅黑" w:hint="eastAsia"/>
                <w:szCs w:val="21"/>
              </w:rPr>
              <w:t>生产线</w:t>
            </w:r>
            <w:r w:rsidR="00BD412D" w:rsidRPr="008D0997">
              <w:rPr>
                <w:rFonts w:ascii="宋体" w:hAnsi="宋体" w:cs="微软雅黑"/>
                <w:szCs w:val="21"/>
              </w:rPr>
              <w:t>。</w:t>
            </w:r>
            <w:r w:rsidR="007E4835">
              <w:rPr>
                <w:rFonts w:ascii="宋体" w:hAnsi="宋体" w:cs="微软雅黑" w:hint="eastAsia"/>
                <w:szCs w:val="21"/>
              </w:rPr>
              <w:t>旧</w:t>
            </w:r>
            <w:r w:rsidR="00257B25">
              <w:rPr>
                <w:rFonts w:ascii="宋体" w:hAnsi="宋体" w:cs="微软雅黑" w:hint="eastAsia"/>
                <w:szCs w:val="21"/>
              </w:rPr>
              <w:t>线已恢复</w:t>
            </w:r>
            <w:r w:rsidR="00BD412D" w:rsidRPr="008D0997">
              <w:rPr>
                <w:rFonts w:ascii="宋体" w:hAnsi="宋体" w:cs="微软雅黑"/>
                <w:szCs w:val="21"/>
              </w:rPr>
              <w:t>小批量生产，满足部分客户打样需求</w:t>
            </w:r>
            <w:r w:rsidR="003B50BC" w:rsidRPr="008D0997">
              <w:rPr>
                <w:rFonts w:ascii="宋体" w:hAnsi="宋体" w:cs="微软雅黑" w:hint="eastAsia"/>
                <w:szCs w:val="21"/>
              </w:rPr>
              <w:t>。</w:t>
            </w:r>
            <w:r w:rsidR="00BD412D" w:rsidRPr="008D0997">
              <w:rPr>
                <w:rFonts w:ascii="宋体" w:hAnsi="宋体" w:cs="微软雅黑"/>
                <w:szCs w:val="21"/>
              </w:rPr>
              <w:t>两条新线设备基本</w:t>
            </w:r>
            <w:r w:rsidR="007E4835">
              <w:rPr>
                <w:rFonts w:ascii="宋体" w:hAnsi="宋体" w:cs="微软雅黑" w:hint="eastAsia"/>
                <w:szCs w:val="21"/>
              </w:rPr>
              <w:t>完成</w:t>
            </w:r>
            <w:r w:rsidR="003B50BC" w:rsidRPr="008D0997">
              <w:rPr>
                <w:rFonts w:ascii="宋体" w:hAnsi="宋体" w:cs="微软雅黑" w:hint="eastAsia"/>
                <w:szCs w:val="21"/>
              </w:rPr>
              <w:t>安装</w:t>
            </w:r>
            <w:r w:rsidR="007E4835">
              <w:rPr>
                <w:rFonts w:ascii="宋体" w:hAnsi="宋体" w:cs="微软雅黑" w:hint="eastAsia"/>
                <w:szCs w:val="21"/>
              </w:rPr>
              <w:t>，后续将</w:t>
            </w:r>
            <w:r w:rsidR="003C0867">
              <w:rPr>
                <w:rFonts w:ascii="宋体" w:hAnsi="宋体" w:cs="微软雅黑" w:hint="eastAsia"/>
                <w:szCs w:val="21"/>
              </w:rPr>
              <w:t>先后</w:t>
            </w:r>
            <w:r w:rsidR="005E4C2A">
              <w:rPr>
                <w:rFonts w:ascii="宋体" w:hAnsi="宋体" w:cs="微软雅黑" w:hint="eastAsia"/>
                <w:szCs w:val="21"/>
              </w:rPr>
              <w:t>转</w:t>
            </w:r>
            <w:r w:rsidR="007E4835">
              <w:rPr>
                <w:rFonts w:ascii="宋体" w:hAnsi="宋体" w:cs="微软雅黑" w:hint="eastAsia"/>
                <w:szCs w:val="21"/>
              </w:rPr>
              <w:t>入调试阶段</w:t>
            </w:r>
            <w:r w:rsidR="00BD412D" w:rsidRPr="008D0997">
              <w:rPr>
                <w:rFonts w:ascii="宋体" w:hAnsi="宋体" w:cs="微软雅黑"/>
                <w:szCs w:val="21"/>
              </w:rPr>
              <w:t>。</w:t>
            </w:r>
          </w:p>
          <w:p w14:paraId="74C4889D" w14:textId="244264B1" w:rsidR="00FB4E0B" w:rsidRPr="008D0997" w:rsidRDefault="00571DE0" w:rsidP="008D0997">
            <w:pPr>
              <w:rPr>
                <w:rFonts w:ascii="宋体" w:hAnsi="宋体" w:cs="微软雅黑" w:hint="eastAsia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4</w:t>
            </w:r>
            <w:r w:rsidR="006D63E9" w:rsidRPr="008D0997">
              <w:rPr>
                <w:rFonts w:ascii="宋体" w:hAnsi="宋体" w:cs="微软雅黑" w:hint="eastAsia"/>
                <w:szCs w:val="21"/>
              </w:rPr>
              <w:t>、</w:t>
            </w:r>
            <w:r w:rsidR="00840935">
              <w:rPr>
                <w:rFonts w:ascii="宋体" w:hAnsi="宋体" w:cs="微软雅黑" w:hint="eastAsia"/>
                <w:szCs w:val="21"/>
              </w:rPr>
              <w:t>欧洲市场的情况及趋势</w:t>
            </w:r>
            <w:r w:rsidR="00BD412D" w:rsidRPr="008D0997">
              <w:rPr>
                <w:rFonts w:ascii="宋体" w:hAnsi="宋体" w:cs="微软雅黑"/>
                <w:szCs w:val="21"/>
              </w:rPr>
              <w:t>？</w:t>
            </w:r>
          </w:p>
          <w:p w14:paraId="1E55F45D" w14:textId="3CDD7918" w:rsidR="00FB4E0B" w:rsidRPr="008D0997" w:rsidRDefault="00BA5496" w:rsidP="008D0997">
            <w:pPr>
              <w:rPr>
                <w:rFonts w:ascii="宋体" w:hAnsi="宋体" w:cs="微软雅黑" w:hint="eastAsia"/>
                <w:szCs w:val="21"/>
              </w:rPr>
            </w:pPr>
            <w:r w:rsidRPr="008D0997">
              <w:rPr>
                <w:rFonts w:ascii="宋体" w:hAnsi="宋体" w:cs="微软雅黑" w:hint="eastAsia"/>
                <w:szCs w:val="21"/>
              </w:rPr>
              <w:t>答</w:t>
            </w:r>
            <w:r w:rsidR="00FB4E0B" w:rsidRPr="008D0997">
              <w:rPr>
                <w:rFonts w:ascii="宋体" w:hAnsi="宋体" w:cs="微软雅黑" w:hint="eastAsia"/>
                <w:szCs w:val="21"/>
              </w:rPr>
              <w:t>：</w:t>
            </w:r>
            <w:r w:rsidR="00BD412D" w:rsidRPr="008D0997">
              <w:rPr>
                <w:rFonts w:ascii="宋体" w:hAnsi="宋体" w:cs="微软雅黑"/>
                <w:szCs w:val="21"/>
              </w:rPr>
              <w:t>今年</w:t>
            </w:r>
            <w:r w:rsidR="006D63E9" w:rsidRPr="008D0997">
              <w:rPr>
                <w:rFonts w:ascii="宋体" w:hAnsi="宋体" w:cs="微软雅黑" w:hint="eastAsia"/>
                <w:szCs w:val="21"/>
              </w:rPr>
              <w:t>欧洲市场订单</w:t>
            </w:r>
            <w:r w:rsidR="00BD412D" w:rsidRPr="008D0997">
              <w:rPr>
                <w:rFonts w:ascii="宋体" w:hAnsi="宋体" w:cs="微软雅黑"/>
                <w:szCs w:val="21"/>
              </w:rPr>
              <w:t>相对平稳。</w:t>
            </w:r>
            <w:r w:rsidR="006D63E9" w:rsidRPr="008D0997">
              <w:rPr>
                <w:rFonts w:ascii="宋体" w:hAnsi="宋体" w:cs="微软雅黑" w:hint="eastAsia"/>
                <w:szCs w:val="21"/>
              </w:rPr>
              <w:t>目前</w:t>
            </w:r>
            <w:r w:rsidR="00C07F31" w:rsidRPr="008D0997">
              <w:rPr>
                <w:rFonts w:ascii="宋体" w:hAnsi="宋体" w:cs="微软雅黑"/>
                <w:szCs w:val="21"/>
              </w:rPr>
              <w:t>欧洲</w:t>
            </w:r>
            <w:r w:rsidR="006D63E9" w:rsidRPr="008D0997">
              <w:rPr>
                <w:rFonts w:ascii="宋体" w:hAnsi="宋体" w:cs="微软雅黑"/>
                <w:szCs w:val="21"/>
              </w:rPr>
              <w:t>C</w:t>
            </w:r>
            <w:r w:rsidR="00C07F31">
              <w:rPr>
                <w:rFonts w:ascii="宋体" w:hAnsi="宋体" w:cs="微软雅黑"/>
                <w:szCs w:val="21"/>
              </w:rPr>
              <w:t>级以上</w:t>
            </w:r>
            <w:r w:rsidR="006D63E9" w:rsidRPr="008D0997">
              <w:rPr>
                <w:rFonts w:ascii="宋体" w:hAnsi="宋体" w:cs="微软雅黑"/>
                <w:szCs w:val="21"/>
              </w:rPr>
              <w:t>冰箱占比</w:t>
            </w:r>
            <w:r w:rsidR="00C07F31">
              <w:rPr>
                <w:rFonts w:ascii="宋体" w:hAnsi="宋体" w:cs="微软雅黑" w:hint="eastAsia"/>
                <w:szCs w:val="21"/>
              </w:rPr>
              <w:t>约为</w:t>
            </w:r>
            <w:r w:rsidR="006D63E9" w:rsidRPr="008D0997">
              <w:rPr>
                <w:rFonts w:ascii="宋体" w:hAnsi="宋体" w:cs="微软雅黑"/>
                <w:szCs w:val="21"/>
              </w:rPr>
              <w:t>5%</w:t>
            </w:r>
            <w:r w:rsidR="00C07F31">
              <w:rPr>
                <w:rFonts w:ascii="宋体" w:hAnsi="宋体" w:cs="微软雅黑" w:hint="eastAsia"/>
                <w:szCs w:val="21"/>
              </w:rPr>
              <w:t>，</w:t>
            </w:r>
            <w:r w:rsidR="006D63E9" w:rsidRPr="008D0997">
              <w:rPr>
                <w:rFonts w:ascii="宋体" w:hAnsi="宋体" w:cs="微软雅黑"/>
                <w:szCs w:val="21"/>
              </w:rPr>
              <w:t>在</w:t>
            </w:r>
            <w:r w:rsidR="00C07F31">
              <w:rPr>
                <w:rFonts w:ascii="宋体" w:hAnsi="宋体" w:cs="微软雅黑" w:hint="eastAsia"/>
                <w:szCs w:val="21"/>
              </w:rPr>
              <w:t>全球共同推进</w:t>
            </w:r>
            <w:r w:rsidR="006D63E9" w:rsidRPr="008D0997">
              <w:rPr>
                <w:rFonts w:ascii="宋体" w:hAnsi="宋体" w:cs="微软雅黑"/>
                <w:szCs w:val="21"/>
              </w:rPr>
              <w:t>节能减排</w:t>
            </w:r>
            <w:r w:rsidR="00C07F31">
              <w:rPr>
                <w:rFonts w:ascii="宋体" w:hAnsi="宋体" w:cs="微软雅黑" w:hint="eastAsia"/>
                <w:szCs w:val="21"/>
              </w:rPr>
              <w:t>、</w:t>
            </w:r>
            <w:r w:rsidR="00C07F31" w:rsidRPr="008D0997">
              <w:rPr>
                <w:rFonts w:ascii="宋体" w:hAnsi="宋体" w:cs="微软雅黑"/>
                <w:szCs w:val="21"/>
              </w:rPr>
              <w:t>欧洲能源价格上涨</w:t>
            </w:r>
            <w:r w:rsidR="006D63E9" w:rsidRPr="008D0997">
              <w:rPr>
                <w:rFonts w:ascii="宋体" w:hAnsi="宋体" w:cs="微软雅黑"/>
                <w:szCs w:val="21"/>
              </w:rPr>
              <w:t>的</w:t>
            </w:r>
            <w:r w:rsidR="00C07F31">
              <w:rPr>
                <w:rFonts w:ascii="宋体" w:hAnsi="宋体" w:cs="微软雅黑" w:hint="eastAsia"/>
                <w:szCs w:val="21"/>
              </w:rPr>
              <w:t>背景</w:t>
            </w:r>
            <w:r w:rsidR="006D63E9" w:rsidRPr="008D0997">
              <w:rPr>
                <w:rFonts w:ascii="宋体" w:hAnsi="宋体" w:cs="微软雅黑"/>
                <w:szCs w:val="21"/>
              </w:rPr>
              <w:t>下，</w:t>
            </w:r>
            <w:r w:rsidR="00C07F31">
              <w:rPr>
                <w:rFonts w:ascii="宋体" w:hAnsi="宋体" w:cs="微软雅黑"/>
                <w:szCs w:val="21"/>
              </w:rPr>
              <w:t>高能效</w:t>
            </w:r>
            <w:r w:rsidR="006D63E9" w:rsidRPr="008D0997">
              <w:rPr>
                <w:rFonts w:ascii="宋体" w:hAnsi="宋体" w:cs="微软雅黑"/>
                <w:szCs w:val="21"/>
              </w:rPr>
              <w:t>冰箱的整体渗透率</w:t>
            </w:r>
            <w:r w:rsidR="00F80CCD">
              <w:rPr>
                <w:rFonts w:ascii="宋体" w:hAnsi="宋体" w:cs="微软雅黑" w:hint="eastAsia"/>
                <w:szCs w:val="21"/>
              </w:rPr>
              <w:t>仍</w:t>
            </w:r>
            <w:r w:rsidR="006F0AB4" w:rsidRPr="008D0997">
              <w:rPr>
                <w:rFonts w:ascii="宋体" w:hAnsi="宋体" w:cs="微软雅黑" w:hint="eastAsia"/>
                <w:szCs w:val="21"/>
              </w:rPr>
              <w:t>将</w:t>
            </w:r>
            <w:r w:rsidR="00C07F31">
              <w:rPr>
                <w:rFonts w:ascii="宋体" w:hAnsi="宋体" w:cs="微软雅黑" w:hint="eastAsia"/>
                <w:szCs w:val="21"/>
              </w:rPr>
              <w:t>逐步</w:t>
            </w:r>
            <w:r w:rsidR="006D63E9" w:rsidRPr="008D0997">
              <w:rPr>
                <w:rFonts w:ascii="宋体" w:hAnsi="宋体" w:cs="微软雅黑"/>
                <w:szCs w:val="21"/>
              </w:rPr>
              <w:t>提升</w:t>
            </w:r>
            <w:r w:rsidR="006F0AB4" w:rsidRPr="008D0997">
              <w:rPr>
                <w:rFonts w:ascii="宋体" w:hAnsi="宋体" w:cs="微软雅黑" w:hint="eastAsia"/>
                <w:szCs w:val="21"/>
              </w:rPr>
              <w:t>，</w:t>
            </w:r>
            <w:r w:rsidR="00C07F31">
              <w:rPr>
                <w:rFonts w:ascii="宋体" w:hAnsi="宋体" w:cs="微软雅黑" w:hint="eastAsia"/>
                <w:szCs w:val="21"/>
              </w:rPr>
              <w:t>从而增加</w:t>
            </w:r>
            <w:r w:rsidR="006F0AB4" w:rsidRPr="008D0997">
              <w:rPr>
                <w:rFonts w:ascii="宋体" w:hAnsi="宋体" w:cs="微软雅黑"/>
                <w:szCs w:val="21"/>
              </w:rPr>
              <w:t>对</w:t>
            </w:r>
            <w:r w:rsidR="00C07F31">
              <w:rPr>
                <w:rFonts w:ascii="宋体" w:hAnsi="宋体" w:cs="微软雅黑" w:hint="eastAsia"/>
                <w:szCs w:val="21"/>
              </w:rPr>
              <w:t>真空</w:t>
            </w:r>
            <w:r w:rsidR="006F0AB4" w:rsidRPr="008D0997">
              <w:rPr>
                <w:rFonts w:ascii="宋体" w:hAnsi="宋体" w:cs="微软雅黑"/>
                <w:szCs w:val="21"/>
              </w:rPr>
              <w:t>隔热板的需求</w:t>
            </w:r>
            <w:r w:rsidR="006D63E9" w:rsidRPr="008D0997">
              <w:rPr>
                <w:rFonts w:ascii="宋体" w:hAnsi="宋体" w:cs="微软雅黑" w:hint="eastAsia"/>
                <w:szCs w:val="21"/>
              </w:rPr>
              <w:t>。</w:t>
            </w:r>
          </w:p>
          <w:p w14:paraId="628C5160" w14:textId="65A65C81" w:rsidR="00FB4E0B" w:rsidRPr="008D0997" w:rsidRDefault="00571DE0" w:rsidP="008D0997">
            <w:pPr>
              <w:rPr>
                <w:rFonts w:ascii="宋体" w:hAnsi="宋体" w:cs="微软雅黑" w:hint="eastAsia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5</w:t>
            </w:r>
            <w:r w:rsidR="006F0AB4" w:rsidRPr="008D0997">
              <w:rPr>
                <w:rFonts w:ascii="宋体" w:hAnsi="宋体" w:cs="微软雅黑" w:hint="eastAsia"/>
                <w:szCs w:val="21"/>
              </w:rPr>
              <w:t>、中国冰箱能效</w:t>
            </w:r>
            <w:r w:rsidR="00BD412D" w:rsidRPr="008D0997">
              <w:rPr>
                <w:rFonts w:ascii="宋体" w:hAnsi="宋体" w:cs="微软雅黑"/>
                <w:szCs w:val="21"/>
              </w:rPr>
              <w:t>新标准</w:t>
            </w:r>
            <w:r w:rsidR="006F0AB4" w:rsidRPr="008D0997">
              <w:rPr>
                <w:rFonts w:ascii="宋体" w:hAnsi="宋体" w:cs="微软雅黑" w:hint="eastAsia"/>
                <w:szCs w:val="21"/>
              </w:rPr>
              <w:t>修订进展如何</w:t>
            </w:r>
            <w:r w:rsidR="00BD412D" w:rsidRPr="008D0997">
              <w:rPr>
                <w:rFonts w:ascii="宋体" w:hAnsi="宋体" w:cs="微软雅黑"/>
                <w:szCs w:val="21"/>
              </w:rPr>
              <w:t>？</w:t>
            </w:r>
          </w:p>
          <w:p w14:paraId="6B1AB163" w14:textId="18DEE60E" w:rsidR="00BD412D" w:rsidRPr="008D0997" w:rsidRDefault="006F0AB4" w:rsidP="00F80CCD">
            <w:pPr>
              <w:rPr>
                <w:rFonts w:ascii="宋体" w:hAnsi="宋体" w:cs="微软雅黑" w:hint="eastAsia"/>
                <w:szCs w:val="21"/>
              </w:rPr>
            </w:pPr>
            <w:r w:rsidRPr="008D0997">
              <w:rPr>
                <w:rFonts w:ascii="宋体" w:hAnsi="宋体" w:cs="微软雅黑" w:hint="eastAsia"/>
                <w:szCs w:val="21"/>
              </w:rPr>
              <w:t>答：</w:t>
            </w:r>
            <w:r w:rsidR="00F80CCD">
              <w:rPr>
                <w:rFonts w:ascii="宋体" w:hAnsi="宋体" w:cs="微软雅黑" w:hint="eastAsia"/>
                <w:szCs w:val="21"/>
              </w:rPr>
              <w:t>国内</w:t>
            </w:r>
            <w:r w:rsidRPr="008D0997">
              <w:rPr>
                <w:rFonts w:ascii="宋体" w:hAnsi="宋体" w:cs="微软雅黑" w:hint="eastAsia"/>
                <w:szCs w:val="21"/>
              </w:rPr>
              <w:t>冰箱能效新标准的修订</w:t>
            </w:r>
            <w:r w:rsidR="007838F5" w:rsidRPr="008D0997">
              <w:rPr>
                <w:rFonts w:ascii="宋体" w:hAnsi="宋体" w:cs="微软雅黑" w:hint="eastAsia"/>
                <w:szCs w:val="21"/>
              </w:rPr>
              <w:t>工作</w:t>
            </w:r>
            <w:r w:rsidR="008E06D1">
              <w:rPr>
                <w:rFonts w:ascii="宋体" w:hAnsi="宋体" w:cs="微软雅黑" w:hint="eastAsia"/>
                <w:szCs w:val="21"/>
              </w:rPr>
              <w:t>正在推进过程中</w:t>
            </w:r>
            <w:r w:rsidRPr="008D0997">
              <w:rPr>
                <w:rFonts w:ascii="宋体" w:hAnsi="宋体" w:cs="微软雅黑" w:hint="eastAsia"/>
                <w:szCs w:val="21"/>
              </w:rPr>
              <w:t>，</w:t>
            </w:r>
            <w:r w:rsidR="008E06D1">
              <w:rPr>
                <w:rFonts w:ascii="宋体" w:hAnsi="宋体" w:cs="微软雅黑" w:hint="eastAsia"/>
                <w:szCs w:val="21"/>
              </w:rPr>
              <w:t>并于</w:t>
            </w:r>
            <w:r w:rsidRPr="008D0997">
              <w:rPr>
                <w:rFonts w:ascii="宋体" w:hAnsi="宋体" w:cs="微软雅黑" w:hint="eastAsia"/>
                <w:szCs w:val="21"/>
              </w:rPr>
              <w:t>2024年的</w:t>
            </w:r>
            <w:r w:rsidR="00BD412D" w:rsidRPr="008D0997">
              <w:rPr>
                <w:rFonts w:ascii="宋体" w:hAnsi="宋体" w:cs="微软雅黑"/>
                <w:szCs w:val="21"/>
              </w:rPr>
              <w:t>7月和10月</w:t>
            </w:r>
            <w:r w:rsidR="008E06D1">
              <w:rPr>
                <w:rFonts w:ascii="宋体" w:hAnsi="宋体" w:cs="微软雅黑" w:hint="eastAsia"/>
                <w:szCs w:val="21"/>
              </w:rPr>
              <w:t>先后</w:t>
            </w:r>
            <w:r w:rsidR="008E06D1">
              <w:rPr>
                <w:rFonts w:ascii="宋体" w:hAnsi="宋体" w:cs="微软雅黑"/>
                <w:szCs w:val="21"/>
              </w:rPr>
              <w:t>召开</w:t>
            </w:r>
            <w:r w:rsidR="00BD412D" w:rsidRPr="008D0997">
              <w:rPr>
                <w:rFonts w:ascii="宋体" w:hAnsi="宋体" w:cs="微软雅黑"/>
                <w:szCs w:val="21"/>
              </w:rPr>
              <w:t>两次</w:t>
            </w:r>
            <w:r w:rsidR="008E06D1">
              <w:rPr>
                <w:rFonts w:ascii="宋体" w:hAnsi="宋体" w:cs="微软雅黑" w:hint="eastAsia"/>
                <w:szCs w:val="21"/>
              </w:rPr>
              <w:t>研讨会</w:t>
            </w:r>
            <w:r w:rsidR="007838F5" w:rsidRPr="008D0997">
              <w:rPr>
                <w:rFonts w:ascii="宋体" w:hAnsi="宋体" w:cs="微软雅黑" w:hint="eastAsia"/>
                <w:szCs w:val="21"/>
              </w:rPr>
              <w:t>，</w:t>
            </w:r>
            <w:r w:rsidR="00F80CCD">
              <w:rPr>
                <w:rFonts w:ascii="宋体" w:hAnsi="宋体" w:cs="微软雅黑" w:hint="eastAsia"/>
                <w:szCs w:val="21"/>
              </w:rPr>
              <w:t>公司均</w:t>
            </w:r>
            <w:r w:rsidRPr="008D0997">
              <w:rPr>
                <w:rFonts w:ascii="宋体" w:hAnsi="宋体" w:cs="微软雅黑" w:hint="eastAsia"/>
                <w:szCs w:val="21"/>
              </w:rPr>
              <w:t>派核心技术人员参与。</w:t>
            </w:r>
            <w:r w:rsidR="00F80CCD" w:rsidRPr="00F80CCD">
              <w:rPr>
                <w:rFonts w:ascii="宋体" w:hAnsi="宋体" w:cs="微软雅黑" w:hint="eastAsia"/>
                <w:szCs w:val="21"/>
              </w:rPr>
              <w:t>新修订能效标准</w:t>
            </w:r>
            <w:r w:rsidR="00F80CCD">
              <w:rPr>
                <w:rFonts w:ascii="宋体" w:hAnsi="宋体" w:cs="微软雅黑" w:hint="eastAsia"/>
                <w:szCs w:val="21"/>
              </w:rPr>
              <w:t>以达到国际先进水平为目标，</w:t>
            </w:r>
            <w:r w:rsidR="00F80CCD" w:rsidRPr="00F80CCD">
              <w:rPr>
                <w:rFonts w:ascii="宋体" w:hAnsi="宋体" w:cs="微软雅黑" w:hint="eastAsia"/>
                <w:szCs w:val="21"/>
              </w:rPr>
              <w:t>将对冰箱冷柜等产品的节能水平提出更高要求。</w:t>
            </w:r>
            <w:r w:rsidR="00B021F4" w:rsidRPr="008D0997">
              <w:rPr>
                <w:rFonts w:ascii="宋体" w:hAnsi="宋体" w:cs="微软雅黑" w:hint="eastAsia"/>
                <w:szCs w:val="21"/>
              </w:rPr>
              <w:t>正如欧洲能效</w:t>
            </w:r>
            <w:r w:rsidR="00F873F0" w:rsidRPr="008D0997">
              <w:rPr>
                <w:rFonts w:ascii="宋体" w:hAnsi="宋体" w:cs="微软雅黑" w:hint="eastAsia"/>
                <w:szCs w:val="21"/>
              </w:rPr>
              <w:t>新</w:t>
            </w:r>
            <w:r w:rsidR="00B021F4" w:rsidRPr="008D0997">
              <w:rPr>
                <w:rFonts w:ascii="宋体" w:hAnsi="宋体" w:cs="微软雅黑" w:hint="eastAsia"/>
                <w:szCs w:val="21"/>
              </w:rPr>
              <w:t>标准对真空绝热板市场</w:t>
            </w:r>
            <w:r w:rsidR="0041270A">
              <w:rPr>
                <w:rFonts w:ascii="宋体" w:hAnsi="宋体" w:cs="微软雅黑" w:hint="eastAsia"/>
                <w:szCs w:val="21"/>
              </w:rPr>
              <w:t>需求</w:t>
            </w:r>
            <w:r w:rsidR="008E06D1">
              <w:rPr>
                <w:rFonts w:ascii="宋体" w:hAnsi="宋体" w:cs="微软雅黑" w:hint="eastAsia"/>
                <w:szCs w:val="21"/>
              </w:rPr>
              <w:t>产生积极影响</w:t>
            </w:r>
            <w:r w:rsidR="00B021F4" w:rsidRPr="008D0997">
              <w:rPr>
                <w:rFonts w:ascii="宋体" w:hAnsi="宋体" w:cs="微软雅黑" w:hint="eastAsia"/>
                <w:szCs w:val="21"/>
              </w:rPr>
              <w:t>，</w:t>
            </w:r>
            <w:r w:rsidR="00F873F0">
              <w:rPr>
                <w:rFonts w:ascii="宋体" w:hAnsi="宋体" w:cs="微软雅黑" w:hint="eastAsia"/>
                <w:szCs w:val="21"/>
              </w:rPr>
              <w:t>新国标将</w:t>
            </w:r>
            <w:r w:rsidR="00F873F0" w:rsidRPr="00F80CCD">
              <w:rPr>
                <w:rFonts w:ascii="宋体" w:hAnsi="宋体" w:cs="微软雅黑" w:hint="eastAsia"/>
                <w:szCs w:val="21"/>
              </w:rPr>
              <w:t>引导冰箱企业加快开发和生产更高能效等级的产品</w:t>
            </w:r>
            <w:r w:rsidR="00F873F0">
              <w:rPr>
                <w:rFonts w:ascii="宋体" w:hAnsi="宋体" w:cs="微软雅黑" w:hint="eastAsia"/>
                <w:szCs w:val="21"/>
              </w:rPr>
              <w:t>，从而</w:t>
            </w:r>
            <w:r w:rsidR="008E06D1">
              <w:rPr>
                <w:rFonts w:ascii="宋体" w:hAnsi="宋体" w:cs="微软雅黑"/>
                <w:szCs w:val="21"/>
              </w:rPr>
              <w:t>对</w:t>
            </w:r>
            <w:r w:rsidR="00F873F0">
              <w:rPr>
                <w:rFonts w:ascii="宋体" w:hAnsi="宋体" w:cs="微软雅黑"/>
                <w:szCs w:val="21"/>
              </w:rPr>
              <w:t>真空隔热板</w:t>
            </w:r>
            <w:r w:rsidR="00BD412D" w:rsidRPr="008D0997">
              <w:rPr>
                <w:rFonts w:ascii="宋体" w:hAnsi="宋体" w:cs="微软雅黑"/>
                <w:szCs w:val="21"/>
              </w:rPr>
              <w:t>行业</w:t>
            </w:r>
            <w:r w:rsidR="008E06D1">
              <w:rPr>
                <w:rFonts w:ascii="宋体" w:hAnsi="宋体" w:cs="微软雅黑" w:hint="eastAsia"/>
                <w:szCs w:val="21"/>
              </w:rPr>
              <w:t>的发展</w:t>
            </w:r>
            <w:r w:rsidR="007838F5" w:rsidRPr="008D0997">
              <w:rPr>
                <w:rFonts w:ascii="宋体" w:hAnsi="宋体" w:cs="微软雅黑" w:hint="eastAsia"/>
                <w:szCs w:val="21"/>
              </w:rPr>
              <w:t>起到</w:t>
            </w:r>
            <w:r w:rsidR="007838F5" w:rsidRPr="008D0997">
              <w:rPr>
                <w:rFonts w:ascii="宋体" w:hAnsi="宋体" w:cs="微软雅黑"/>
                <w:szCs w:val="21"/>
              </w:rPr>
              <w:t>中长期</w:t>
            </w:r>
            <w:r w:rsidR="007838F5" w:rsidRPr="008D0997">
              <w:rPr>
                <w:rFonts w:ascii="宋体" w:hAnsi="宋体" w:cs="微软雅黑" w:hint="eastAsia"/>
                <w:szCs w:val="21"/>
              </w:rPr>
              <w:t>的</w:t>
            </w:r>
            <w:r w:rsidR="00BD412D" w:rsidRPr="008D0997">
              <w:rPr>
                <w:rFonts w:ascii="宋体" w:hAnsi="宋体" w:cs="微软雅黑"/>
                <w:szCs w:val="21"/>
              </w:rPr>
              <w:t>促进作用。</w:t>
            </w:r>
          </w:p>
          <w:p w14:paraId="780E4347" w14:textId="6FA85C7A" w:rsidR="00FB4E0B" w:rsidRPr="008D0997" w:rsidRDefault="00571DE0" w:rsidP="008D0997">
            <w:pPr>
              <w:rPr>
                <w:rFonts w:ascii="宋体" w:hAnsi="宋体" w:cs="微软雅黑" w:hint="eastAsia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6</w:t>
            </w:r>
            <w:r w:rsidR="00B021F4" w:rsidRPr="008D0997">
              <w:rPr>
                <w:rFonts w:ascii="宋体" w:hAnsi="宋体" w:cs="微软雅黑" w:hint="eastAsia"/>
                <w:szCs w:val="21"/>
              </w:rPr>
              <w:t>、</w:t>
            </w:r>
            <w:r w:rsidR="00C62F49" w:rsidRPr="008D0997">
              <w:rPr>
                <w:rFonts w:ascii="宋体" w:hAnsi="宋体" w:cs="微软雅黑"/>
                <w:szCs w:val="21"/>
              </w:rPr>
              <w:t>关于</w:t>
            </w:r>
            <w:r w:rsidR="00B021F4" w:rsidRPr="008D0997">
              <w:rPr>
                <w:rFonts w:ascii="宋体" w:hAnsi="宋体" w:cs="微软雅黑" w:hint="eastAsia"/>
                <w:szCs w:val="21"/>
              </w:rPr>
              <w:t>公司</w:t>
            </w:r>
            <w:r w:rsidR="00C62F49" w:rsidRPr="008D0997">
              <w:rPr>
                <w:rFonts w:ascii="宋体" w:hAnsi="宋体" w:cs="微软雅黑"/>
                <w:szCs w:val="21"/>
              </w:rPr>
              <w:t>在</w:t>
            </w:r>
            <w:r w:rsidR="002A5E16">
              <w:rPr>
                <w:rFonts w:ascii="宋体" w:hAnsi="宋体" w:cs="微软雅黑" w:hint="eastAsia"/>
                <w:szCs w:val="21"/>
              </w:rPr>
              <w:t>新能源</w:t>
            </w:r>
            <w:r w:rsidR="00C62F49" w:rsidRPr="008D0997">
              <w:rPr>
                <w:rFonts w:ascii="宋体" w:hAnsi="宋体" w:cs="微软雅黑"/>
                <w:szCs w:val="21"/>
              </w:rPr>
              <w:t>汽车领域</w:t>
            </w:r>
            <w:r w:rsidR="00C62F49" w:rsidRPr="008D0997">
              <w:rPr>
                <w:rFonts w:ascii="宋体" w:hAnsi="宋体" w:cs="微软雅黑" w:hint="eastAsia"/>
                <w:szCs w:val="21"/>
              </w:rPr>
              <w:t>应用市场开发的</w:t>
            </w:r>
            <w:r w:rsidR="00C62F49" w:rsidRPr="008D0997">
              <w:rPr>
                <w:rFonts w:ascii="宋体" w:hAnsi="宋体" w:cs="微软雅黑"/>
                <w:szCs w:val="21"/>
              </w:rPr>
              <w:t>进展？</w:t>
            </w:r>
          </w:p>
          <w:p w14:paraId="617993F5" w14:textId="6BA01FFA" w:rsidR="00FB4E0B" w:rsidRPr="008D0997" w:rsidRDefault="00491957" w:rsidP="008D0997">
            <w:pPr>
              <w:rPr>
                <w:rFonts w:ascii="宋体" w:hAnsi="宋体" w:cs="微软雅黑" w:hint="eastAsia"/>
                <w:szCs w:val="21"/>
              </w:rPr>
            </w:pPr>
            <w:r w:rsidRPr="008D0997">
              <w:rPr>
                <w:rFonts w:ascii="宋体" w:hAnsi="宋体" w:cs="微软雅黑" w:hint="eastAsia"/>
                <w:szCs w:val="21"/>
              </w:rPr>
              <w:t>答</w:t>
            </w:r>
            <w:r w:rsidR="00FB4E0B" w:rsidRPr="008D0997">
              <w:rPr>
                <w:rFonts w:ascii="宋体" w:hAnsi="宋体" w:cs="微软雅黑" w:hint="eastAsia"/>
                <w:szCs w:val="21"/>
              </w:rPr>
              <w:t>：</w:t>
            </w:r>
            <w:r w:rsidR="00C62F49" w:rsidRPr="008D0997">
              <w:rPr>
                <w:rFonts w:ascii="宋体" w:hAnsi="宋体" w:cs="微软雅黑"/>
                <w:szCs w:val="21"/>
              </w:rPr>
              <w:t>我们</w:t>
            </w:r>
            <w:r w:rsidR="00B021F4" w:rsidRPr="008D0997">
              <w:rPr>
                <w:rFonts w:ascii="宋体" w:hAnsi="宋体" w:cs="微软雅黑" w:hint="eastAsia"/>
                <w:szCs w:val="21"/>
              </w:rPr>
              <w:t>将超薄VIP应用于新能源汽车电池包外保温，</w:t>
            </w:r>
            <w:r w:rsidR="002A5E16">
              <w:rPr>
                <w:rFonts w:ascii="宋体" w:hAnsi="宋体" w:cs="微软雅黑" w:hint="eastAsia"/>
                <w:szCs w:val="21"/>
              </w:rPr>
              <w:t>能够</w:t>
            </w:r>
            <w:r w:rsidR="002A5E16" w:rsidRPr="002A5E16">
              <w:rPr>
                <w:rFonts w:ascii="宋体" w:hAnsi="宋体" w:cs="微软雅黑" w:hint="eastAsia"/>
                <w:szCs w:val="21"/>
              </w:rPr>
              <w:t>减少电池组在</w:t>
            </w:r>
            <w:r w:rsidR="002A5E16">
              <w:rPr>
                <w:rFonts w:ascii="宋体" w:hAnsi="宋体" w:cs="微软雅黑" w:hint="eastAsia"/>
                <w:szCs w:val="21"/>
              </w:rPr>
              <w:t>低温</w:t>
            </w:r>
            <w:r w:rsidR="00D633C6">
              <w:rPr>
                <w:rFonts w:ascii="宋体" w:hAnsi="宋体" w:cs="微软雅黑" w:hint="eastAsia"/>
                <w:szCs w:val="21"/>
              </w:rPr>
              <w:t>环境下</w:t>
            </w:r>
            <w:r w:rsidR="002A5E16" w:rsidRPr="002A5E16">
              <w:rPr>
                <w:rFonts w:ascii="宋体" w:hAnsi="宋体" w:cs="微软雅黑" w:hint="eastAsia"/>
                <w:szCs w:val="21"/>
              </w:rPr>
              <w:t>的能量损失，提高电池的能量利用效率</w:t>
            </w:r>
            <w:r w:rsidR="005F1AAC">
              <w:rPr>
                <w:rFonts w:ascii="宋体" w:hAnsi="宋体" w:cs="微软雅黑" w:hint="eastAsia"/>
                <w:szCs w:val="21"/>
              </w:rPr>
              <w:t>。</w:t>
            </w:r>
            <w:r w:rsidR="005F1AAC" w:rsidRPr="005F1AAC">
              <w:rPr>
                <w:rFonts w:ascii="宋体" w:hAnsi="宋体" w:cs="微软雅黑" w:hint="eastAsia"/>
                <w:szCs w:val="21"/>
              </w:rPr>
              <w:t>超薄VIP</w:t>
            </w:r>
            <w:r w:rsidR="005F1AAC">
              <w:rPr>
                <w:rFonts w:ascii="宋体" w:hAnsi="宋体" w:cs="微软雅黑" w:hint="eastAsia"/>
                <w:szCs w:val="21"/>
              </w:rPr>
              <w:t>具有一定的技术门槛，</w:t>
            </w:r>
            <w:r w:rsidR="005F1AAC" w:rsidRPr="005F1AAC">
              <w:rPr>
                <w:rFonts w:ascii="宋体" w:hAnsi="宋体" w:cs="微软雅黑" w:hint="eastAsia"/>
                <w:szCs w:val="21"/>
              </w:rPr>
              <w:t>对封装工艺、材料、设备</w:t>
            </w:r>
            <w:r w:rsidR="005F1AAC">
              <w:rPr>
                <w:rFonts w:ascii="宋体" w:hAnsi="宋体" w:cs="微软雅黑" w:hint="eastAsia"/>
                <w:szCs w:val="21"/>
              </w:rPr>
              <w:t>均有其</w:t>
            </w:r>
            <w:r w:rsidR="005F1AAC" w:rsidRPr="005F1AAC">
              <w:rPr>
                <w:rFonts w:ascii="宋体" w:hAnsi="宋体" w:cs="微软雅黑" w:hint="eastAsia"/>
                <w:szCs w:val="21"/>
              </w:rPr>
              <w:t>特定的要求，</w:t>
            </w:r>
            <w:r w:rsidR="0028163D">
              <w:rPr>
                <w:rFonts w:ascii="宋体" w:hAnsi="宋体" w:cs="微软雅黑" w:hint="eastAsia"/>
                <w:szCs w:val="21"/>
              </w:rPr>
              <w:t>产品已获得某车企及其上游某知名电池企业的认可，实现</w:t>
            </w:r>
            <w:r w:rsidR="00B021F4" w:rsidRPr="008D0997">
              <w:rPr>
                <w:rFonts w:ascii="宋体" w:hAnsi="宋体" w:cs="微软雅黑" w:hint="eastAsia"/>
                <w:szCs w:val="21"/>
              </w:rPr>
              <w:t>小批量供货</w:t>
            </w:r>
            <w:r w:rsidR="00C62F49" w:rsidRPr="008D0997">
              <w:rPr>
                <w:rFonts w:ascii="宋体" w:hAnsi="宋体" w:cs="微软雅黑"/>
                <w:szCs w:val="21"/>
              </w:rPr>
              <w:t>。</w:t>
            </w:r>
            <w:r w:rsidR="006F5CE3">
              <w:rPr>
                <w:rFonts w:ascii="宋体" w:hAnsi="宋体" w:cs="微软雅黑" w:hint="eastAsia"/>
                <w:szCs w:val="21"/>
              </w:rPr>
              <w:t>公司将以此为突破口，进一步带动</w:t>
            </w:r>
            <w:r w:rsidR="00C62F49" w:rsidRPr="008D0997">
              <w:rPr>
                <w:rFonts w:ascii="宋体" w:hAnsi="宋体" w:cs="微软雅黑"/>
                <w:szCs w:val="21"/>
              </w:rPr>
              <w:t>金属</w:t>
            </w:r>
            <w:r w:rsidRPr="008D0997">
              <w:rPr>
                <w:rFonts w:ascii="宋体" w:hAnsi="宋体" w:cs="微软雅黑" w:hint="eastAsia"/>
                <w:szCs w:val="21"/>
              </w:rPr>
              <w:t>V</w:t>
            </w:r>
            <w:r w:rsidR="00C62F49" w:rsidRPr="008D0997">
              <w:rPr>
                <w:rFonts w:ascii="宋体" w:hAnsi="宋体" w:cs="微软雅黑"/>
                <w:szCs w:val="21"/>
              </w:rPr>
              <w:t>IP</w:t>
            </w:r>
            <w:r w:rsidR="006F5CE3">
              <w:rPr>
                <w:rFonts w:ascii="宋体" w:hAnsi="宋体" w:cs="微软雅黑" w:hint="eastAsia"/>
                <w:szCs w:val="21"/>
              </w:rPr>
              <w:t>在新能源</w:t>
            </w:r>
            <w:r w:rsidR="001F6F10">
              <w:rPr>
                <w:rFonts w:ascii="宋体" w:hAnsi="宋体" w:cs="微软雅黑" w:hint="eastAsia"/>
                <w:szCs w:val="21"/>
              </w:rPr>
              <w:t>汽车</w:t>
            </w:r>
            <w:r w:rsidR="00C5398A">
              <w:rPr>
                <w:rFonts w:ascii="宋体" w:hAnsi="宋体" w:cs="微软雅黑" w:hint="eastAsia"/>
                <w:szCs w:val="21"/>
              </w:rPr>
              <w:t>领域的应用</w:t>
            </w:r>
            <w:r w:rsidR="006F5CE3">
              <w:rPr>
                <w:rFonts w:ascii="宋体" w:hAnsi="宋体" w:cs="微软雅黑" w:hint="eastAsia"/>
                <w:szCs w:val="21"/>
              </w:rPr>
              <w:t>即</w:t>
            </w:r>
            <w:r w:rsidR="00C62F49" w:rsidRPr="008D0997">
              <w:rPr>
                <w:rFonts w:ascii="宋体" w:hAnsi="宋体" w:cs="微软雅黑"/>
                <w:szCs w:val="21"/>
              </w:rPr>
              <w:t>电芯和电芯</w:t>
            </w:r>
            <w:r w:rsidR="006F5CE3">
              <w:rPr>
                <w:rFonts w:ascii="宋体" w:hAnsi="宋体" w:cs="微软雅黑" w:hint="eastAsia"/>
                <w:szCs w:val="21"/>
              </w:rPr>
              <w:t>之</w:t>
            </w:r>
            <w:r w:rsidR="00C62F49" w:rsidRPr="008D0997">
              <w:rPr>
                <w:rFonts w:ascii="宋体" w:hAnsi="宋体" w:cs="微软雅黑"/>
                <w:szCs w:val="21"/>
              </w:rPr>
              <w:t>间</w:t>
            </w:r>
            <w:r w:rsidR="006F5CE3">
              <w:rPr>
                <w:rFonts w:ascii="宋体" w:hAnsi="宋体" w:cs="微软雅黑" w:hint="eastAsia"/>
                <w:szCs w:val="21"/>
              </w:rPr>
              <w:t>的</w:t>
            </w:r>
            <w:r w:rsidR="00C62F49" w:rsidRPr="008D0997">
              <w:rPr>
                <w:rFonts w:ascii="宋体" w:hAnsi="宋体" w:cs="微软雅黑"/>
                <w:szCs w:val="21"/>
              </w:rPr>
              <w:t>隔热。</w:t>
            </w:r>
          </w:p>
          <w:p w14:paraId="72FB6DB4" w14:textId="051B89A0" w:rsidR="00FB4E0B" w:rsidRPr="008D0997" w:rsidRDefault="00571DE0" w:rsidP="008D0997">
            <w:pPr>
              <w:rPr>
                <w:rFonts w:ascii="宋体" w:hAnsi="宋体" w:cs="微软雅黑" w:hint="eastAsia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lastRenderedPageBreak/>
              <w:t>7</w:t>
            </w:r>
            <w:r w:rsidR="00FB4E0B" w:rsidRPr="008D0997">
              <w:rPr>
                <w:rFonts w:ascii="宋体" w:hAnsi="宋体" w:cs="微软雅黑" w:hint="eastAsia"/>
                <w:szCs w:val="21"/>
              </w:rPr>
              <w:t>、</w:t>
            </w:r>
            <w:r w:rsidR="005B63B9" w:rsidRPr="008D0997">
              <w:rPr>
                <w:rFonts w:ascii="宋体" w:hAnsi="宋体" w:cs="微软雅黑"/>
                <w:szCs w:val="21"/>
              </w:rPr>
              <w:t>金属VIP</w:t>
            </w:r>
            <w:r w:rsidR="00C51C4E" w:rsidRPr="008D0997">
              <w:rPr>
                <w:rFonts w:ascii="宋体" w:hAnsi="宋体" w:cs="微软雅黑"/>
                <w:szCs w:val="21"/>
              </w:rPr>
              <w:t>的</w:t>
            </w:r>
            <w:r w:rsidR="005B63B9" w:rsidRPr="008D0997">
              <w:rPr>
                <w:rFonts w:ascii="宋体" w:hAnsi="宋体" w:cs="微软雅黑"/>
                <w:szCs w:val="21"/>
              </w:rPr>
              <w:t>客户验证进展？</w:t>
            </w:r>
          </w:p>
          <w:p w14:paraId="229D363D" w14:textId="4FB16C11" w:rsidR="00FB4E0B" w:rsidRPr="008D0997" w:rsidRDefault="008D0997" w:rsidP="008D0997">
            <w:pPr>
              <w:rPr>
                <w:rFonts w:ascii="宋体" w:hAnsi="宋体" w:cs="微软雅黑" w:hint="eastAsia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答</w:t>
            </w:r>
            <w:r w:rsidR="00FB4E0B" w:rsidRPr="008D0997">
              <w:rPr>
                <w:rFonts w:ascii="宋体" w:hAnsi="宋体" w:cs="微软雅黑" w:hint="eastAsia"/>
                <w:szCs w:val="21"/>
              </w:rPr>
              <w:t>：</w:t>
            </w:r>
            <w:r w:rsidR="001F6F10">
              <w:rPr>
                <w:rFonts w:ascii="宋体" w:hAnsi="宋体" w:cs="微软雅黑" w:hint="eastAsia"/>
                <w:szCs w:val="21"/>
              </w:rPr>
              <w:t>最近</w:t>
            </w:r>
            <w:r w:rsidR="001F6F10" w:rsidRPr="008D0997">
              <w:rPr>
                <w:rFonts w:ascii="宋体" w:hAnsi="宋体" w:cs="微软雅黑"/>
                <w:szCs w:val="21"/>
              </w:rPr>
              <w:t>两年</w:t>
            </w:r>
            <w:r w:rsidR="001F6F10">
              <w:rPr>
                <w:rFonts w:ascii="宋体" w:hAnsi="宋体" w:cs="微软雅黑" w:hint="eastAsia"/>
                <w:szCs w:val="21"/>
              </w:rPr>
              <w:t>公司针对</w:t>
            </w:r>
            <w:r w:rsidR="001F6F10" w:rsidRPr="001F6F10">
              <w:rPr>
                <w:rFonts w:ascii="宋体" w:hAnsi="宋体" w:cs="微软雅黑" w:hint="eastAsia"/>
                <w:szCs w:val="21"/>
              </w:rPr>
              <w:t>新能源电池、新能源汽车、储能电站、高温电器及设备</w:t>
            </w:r>
            <w:r w:rsidR="001F6F10">
              <w:rPr>
                <w:rFonts w:ascii="宋体" w:hAnsi="宋体" w:cs="微软雅黑" w:hint="eastAsia"/>
                <w:szCs w:val="21"/>
              </w:rPr>
              <w:t>等领域，</w:t>
            </w:r>
            <w:r w:rsidR="00D633C6">
              <w:rPr>
                <w:rFonts w:ascii="宋体" w:hAnsi="宋体" w:cs="微软雅黑" w:hint="eastAsia"/>
                <w:szCs w:val="21"/>
              </w:rPr>
              <w:t>持续</w:t>
            </w:r>
            <w:r w:rsidR="001F6F10">
              <w:rPr>
                <w:rFonts w:ascii="宋体" w:hAnsi="宋体" w:cs="微软雅黑" w:hint="eastAsia"/>
                <w:szCs w:val="21"/>
              </w:rPr>
              <w:t>开展</w:t>
            </w:r>
            <w:r w:rsidR="001F6F10" w:rsidRPr="001F6F10">
              <w:rPr>
                <w:rFonts w:ascii="宋体" w:hAnsi="宋体" w:cs="微软雅黑" w:hint="eastAsia"/>
                <w:szCs w:val="21"/>
              </w:rPr>
              <w:t>金属VIP</w:t>
            </w:r>
            <w:r w:rsidR="001F6F10">
              <w:rPr>
                <w:rFonts w:ascii="宋体" w:hAnsi="宋体" w:cs="微软雅黑" w:hint="eastAsia"/>
                <w:szCs w:val="21"/>
              </w:rPr>
              <w:t>的应用推广</w:t>
            </w:r>
            <w:r w:rsidR="005B63B9" w:rsidRPr="008D0997">
              <w:rPr>
                <w:rFonts w:ascii="宋体" w:hAnsi="宋体" w:cs="微软雅黑"/>
                <w:szCs w:val="21"/>
              </w:rPr>
              <w:t>。</w:t>
            </w:r>
            <w:r w:rsidR="001F6F10">
              <w:rPr>
                <w:rFonts w:ascii="宋体" w:hAnsi="宋体" w:cs="微软雅黑" w:hint="eastAsia"/>
                <w:szCs w:val="21"/>
              </w:rPr>
              <w:t>目前已获得日本某客户的小批量订单，</w:t>
            </w:r>
            <w:r w:rsidR="005B63B9" w:rsidRPr="008D0997">
              <w:rPr>
                <w:rFonts w:ascii="宋体" w:hAnsi="宋体" w:cs="微软雅黑"/>
                <w:szCs w:val="21"/>
              </w:rPr>
              <w:t>主要用</w:t>
            </w:r>
            <w:r w:rsidR="001F6F10">
              <w:rPr>
                <w:rFonts w:ascii="宋体" w:hAnsi="宋体" w:cs="微软雅黑" w:hint="eastAsia"/>
                <w:szCs w:val="21"/>
              </w:rPr>
              <w:t>于</w:t>
            </w:r>
            <w:r w:rsidR="00C51C4E" w:rsidRPr="008D0997">
              <w:rPr>
                <w:rFonts w:ascii="宋体" w:hAnsi="宋体" w:cs="微软雅黑" w:hint="eastAsia"/>
                <w:szCs w:val="21"/>
              </w:rPr>
              <w:t>加热炉</w:t>
            </w:r>
            <w:r w:rsidR="001F6F10">
              <w:rPr>
                <w:rFonts w:ascii="宋体" w:hAnsi="宋体" w:cs="微软雅黑" w:hint="eastAsia"/>
                <w:szCs w:val="21"/>
              </w:rPr>
              <w:t>的</w:t>
            </w:r>
            <w:r w:rsidR="00C51C4E" w:rsidRPr="008D0997">
              <w:rPr>
                <w:rFonts w:ascii="宋体" w:hAnsi="宋体" w:cs="微软雅黑" w:hint="eastAsia"/>
                <w:szCs w:val="21"/>
              </w:rPr>
              <w:t>保温</w:t>
            </w:r>
            <w:r w:rsidR="001F6F10">
              <w:rPr>
                <w:rFonts w:ascii="宋体" w:hAnsi="宋体" w:cs="微软雅黑" w:hint="eastAsia"/>
                <w:szCs w:val="21"/>
              </w:rPr>
              <w:t>隔热</w:t>
            </w:r>
            <w:r w:rsidR="005B63B9" w:rsidRPr="008D0997">
              <w:rPr>
                <w:rFonts w:ascii="宋体" w:hAnsi="宋体" w:cs="微软雅黑"/>
                <w:szCs w:val="21"/>
              </w:rPr>
              <w:t>。</w:t>
            </w:r>
          </w:p>
          <w:p w14:paraId="04369123" w14:textId="45AF533E" w:rsidR="00FB4E0B" w:rsidRPr="008D0997" w:rsidRDefault="001F6F10" w:rsidP="008D0997">
            <w:pPr>
              <w:rPr>
                <w:rFonts w:ascii="宋体" w:hAnsi="宋体" w:cs="微软雅黑" w:hint="eastAsia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8</w:t>
            </w:r>
            <w:r w:rsidR="00C51C4E" w:rsidRPr="008D0997">
              <w:rPr>
                <w:rFonts w:ascii="宋体" w:hAnsi="宋体" w:cs="微软雅黑" w:hint="eastAsia"/>
                <w:szCs w:val="21"/>
              </w:rPr>
              <w:t>、</w:t>
            </w:r>
            <w:r w:rsidR="005B63B9" w:rsidRPr="008D0997">
              <w:rPr>
                <w:rFonts w:ascii="宋体" w:hAnsi="宋体" w:cs="微软雅黑"/>
                <w:szCs w:val="21"/>
              </w:rPr>
              <w:t>请问下调</w:t>
            </w:r>
            <w:r w:rsidR="00C51C4E" w:rsidRPr="008D0997">
              <w:rPr>
                <w:rFonts w:ascii="宋体" w:hAnsi="宋体" w:cs="微软雅黑" w:hint="eastAsia"/>
                <w:szCs w:val="21"/>
              </w:rPr>
              <w:t>“赛特转债”</w:t>
            </w:r>
            <w:r w:rsidR="005B63B9" w:rsidRPr="008D0997">
              <w:rPr>
                <w:rFonts w:ascii="宋体" w:hAnsi="宋体" w:cs="微软雅黑"/>
                <w:szCs w:val="21"/>
              </w:rPr>
              <w:t>转股价</w:t>
            </w:r>
            <w:r w:rsidR="00C51C4E" w:rsidRPr="008D0997">
              <w:rPr>
                <w:rFonts w:ascii="宋体" w:hAnsi="宋体" w:cs="微软雅黑" w:hint="eastAsia"/>
                <w:szCs w:val="21"/>
              </w:rPr>
              <w:t>格是</w:t>
            </w:r>
            <w:r w:rsidR="005B63B9" w:rsidRPr="008D0997">
              <w:rPr>
                <w:rFonts w:ascii="宋体" w:hAnsi="宋体" w:cs="微软雅黑"/>
                <w:szCs w:val="21"/>
              </w:rPr>
              <w:t>出于什么考虑？</w:t>
            </w:r>
          </w:p>
          <w:p w14:paraId="7D92DB30" w14:textId="5E20C239" w:rsidR="001A10EE" w:rsidRPr="008D0997" w:rsidRDefault="00C51C4E" w:rsidP="009603F3">
            <w:pPr>
              <w:rPr>
                <w:rFonts w:ascii="宋体" w:hAnsi="宋体" w:cs="微软雅黑" w:hint="eastAsia"/>
                <w:szCs w:val="21"/>
              </w:rPr>
            </w:pPr>
            <w:r w:rsidRPr="008D0997">
              <w:rPr>
                <w:rFonts w:ascii="宋体" w:hAnsi="宋体" w:cs="微软雅黑" w:hint="eastAsia"/>
                <w:szCs w:val="21"/>
              </w:rPr>
              <w:t>答：</w:t>
            </w:r>
            <w:r w:rsidR="009603F3">
              <w:rPr>
                <w:rFonts w:ascii="宋体" w:hAnsi="宋体" w:cs="微软雅黑" w:hint="eastAsia"/>
                <w:szCs w:val="21"/>
              </w:rPr>
              <w:t>增强</w:t>
            </w:r>
            <w:r w:rsidR="00996ACF">
              <w:rPr>
                <w:rFonts w:ascii="宋体" w:hAnsi="宋体" w:cs="微软雅黑" w:hint="eastAsia"/>
                <w:szCs w:val="21"/>
              </w:rPr>
              <w:t>持有人未来</w:t>
            </w:r>
            <w:r w:rsidR="00C450FB" w:rsidRPr="008D0997">
              <w:rPr>
                <w:rFonts w:ascii="宋体" w:hAnsi="宋体" w:cs="微软雅黑"/>
                <w:szCs w:val="21"/>
              </w:rPr>
              <w:t>转股</w:t>
            </w:r>
            <w:r w:rsidR="00996ACF">
              <w:rPr>
                <w:rFonts w:ascii="宋体" w:hAnsi="宋体" w:cs="微软雅黑" w:hint="eastAsia"/>
                <w:szCs w:val="21"/>
              </w:rPr>
              <w:t>意愿</w:t>
            </w:r>
            <w:r w:rsidR="00C450FB" w:rsidRPr="008D0997">
              <w:rPr>
                <w:rFonts w:ascii="宋体" w:hAnsi="宋体" w:cs="微软雅黑" w:hint="eastAsia"/>
                <w:szCs w:val="21"/>
              </w:rPr>
              <w:t>，</w:t>
            </w:r>
            <w:r w:rsidR="00996ACF">
              <w:rPr>
                <w:rFonts w:ascii="宋体" w:hAnsi="宋体" w:cs="微软雅黑" w:hint="eastAsia"/>
                <w:szCs w:val="21"/>
              </w:rPr>
              <w:t>降低</w:t>
            </w:r>
            <w:r w:rsidR="00996ACF">
              <w:rPr>
                <w:rFonts w:ascii="宋体" w:hAnsi="宋体" w:cs="微软雅黑"/>
                <w:szCs w:val="21"/>
              </w:rPr>
              <w:t>可转债</w:t>
            </w:r>
            <w:r w:rsidR="005B63B9" w:rsidRPr="008D0997">
              <w:rPr>
                <w:rFonts w:ascii="宋体" w:hAnsi="宋体" w:cs="微软雅黑"/>
                <w:szCs w:val="21"/>
              </w:rPr>
              <w:t>利息对</w:t>
            </w:r>
            <w:r w:rsidR="00996ACF">
              <w:rPr>
                <w:rFonts w:ascii="宋体" w:hAnsi="宋体" w:cs="微软雅黑" w:hint="eastAsia"/>
                <w:szCs w:val="21"/>
              </w:rPr>
              <w:t>公司业绩的</w:t>
            </w:r>
            <w:r w:rsidR="005B63B9" w:rsidRPr="008D0997">
              <w:rPr>
                <w:rFonts w:ascii="宋体" w:hAnsi="宋体" w:cs="微软雅黑"/>
                <w:szCs w:val="21"/>
              </w:rPr>
              <w:t>影响</w:t>
            </w:r>
            <w:r w:rsidR="00996ACF">
              <w:rPr>
                <w:rFonts w:ascii="宋体" w:hAnsi="宋体" w:cs="微软雅黑" w:hint="eastAsia"/>
                <w:szCs w:val="21"/>
              </w:rPr>
              <w:t>；适度控制公司</w:t>
            </w:r>
            <w:r w:rsidR="005B63B9" w:rsidRPr="008D0997">
              <w:rPr>
                <w:rFonts w:ascii="宋体" w:hAnsi="宋体" w:cs="微软雅黑"/>
                <w:szCs w:val="21"/>
              </w:rPr>
              <w:t>总股本</w:t>
            </w:r>
            <w:r w:rsidR="00996ACF">
              <w:rPr>
                <w:rFonts w:ascii="宋体" w:hAnsi="宋体" w:cs="微软雅黑" w:hint="eastAsia"/>
                <w:szCs w:val="21"/>
              </w:rPr>
              <w:t>规模；基于现有业务长期趋势向好，又有多项新产品即将走向市场，公司</w:t>
            </w:r>
            <w:r w:rsidR="005B63B9" w:rsidRPr="008D0997">
              <w:rPr>
                <w:rFonts w:ascii="宋体" w:hAnsi="宋体" w:cs="微软雅黑"/>
                <w:szCs w:val="21"/>
              </w:rPr>
              <w:t>对</w:t>
            </w:r>
            <w:r w:rsidR="00996ACF">
              <w:rPr>
                <w:rFonts w:ascii="宋体" w:hAnsi="宋体" w:cs="微软雅黑" w:hint="eastAsia"/>
                <w:szCs w:val="21"/>
              </w:rPr>
              <w:t>未来</w:t>
            </w:r>
            <w:r w:rsidR="00C5398A">
              <w:rPr>
                <w:rFonts w:ascii="宋体" w:hAnsi="宋体" w:cs="微软雅黑" w:hint="eastAsia"/>
                <w:szCs w:val="21"/>
              </w:rPr>
              <w:t>发展</w:t>
            </w:r>
            <w:r w:rsidR="00996ACF">
              <w:rPr>
                <w:rFonts w:ascii="宋体" w:hAnsi="宋体" w:cs="微软雅黑" w:hint="eastAsia"/>
                <w:szCs w:val="21"/>
              </w:rPr>
              <w:t>有信心。</w:t>
            </w:r>
          </w:p>
        </w:tc>
      </w:tr>
      <w:tr w:rsidR="001A10EE" w14:paraId="428BE65D" w14:textId="77777777" w:rsidTr="000932BE">
        <w:trPr>
          <w:trHeight w:val="48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6BCF" w14:textId="77777777" w:rsidR="001A10EE" w:rsidRDefault="00414862">
            <w:pPr>
              <w:spacing w:line="240" w:lineRule="auto"/>
              <w:ind w:firstLineChars="0" w:firstLine="0"/>
            </w:pPr>
            <w:r>
              <w:lastRenderedPageBreak/>
              <w:t>附件清单（如有）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C7DA" w14:textId="77777777" w:rsidR="001A10EE" w:rsidRDefault="00414862">
            <w:pPr>
              <w:spacing w:line="240" w:lineRule="auto"/>
              <w:ind w:firstLineChars="0" w:firstLine="0"/>
            </w:pPr>
            <w:r>
              <w:rPr>
                <w:rFonts w:hint="eastAsia"/>
              </w:rPr>
              <w:t>见附件</w:t>
            </w:r>
            <w:r>
              <w:rPr>
                <w:rFonts w:hint="eastAsia"/>
              </w:rPr>
              <w:t>1</w:t>
            </w:r>
          </w:p>
        </w:tc>
      </w:tr>
      <w:tr w:rsidR="001A10EE" w14:paraId="05F61A18" w14:textId="77777777" w:rsidTr="000932BE">
        <w:trPr>
          <w:trHeight w:val="54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547B" w14:textId="77777777" w:rsidR="001A10EE" w:rsidRDefault="00414862">
            <w:pPr>
              <w:spacing w:line="240" w:lineRule="auto"/>
            </w:pPr>
            <w:r>
              <w:t>日期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AC3B" w14:textId="5EE121F2" w:rsidR="001A10EE" w:rsidRDefault="00414862">
            <w:pPr>
              <w:spacing w:line="240" w:lineRule="auto"/>
              <w:ind w:firstLineChars="0" w:firstLine="0"/>
            </w:pPr>
            <w:r>
              <w:t>2024-</w:t>
            </w:r>
            <w:r w:rsidR="005B63B9">
              <w:rPr>
                <w:rFonts w:hint="eastAsia"/>
              </w:rPr>
              <w:t>10</w:t>
            </w:r>
            <w:r>
              <w:t>-</w:t>
            </w:r>
            <w:r w:rsidR="005B63B9">
              <w:rPr>
                <w:rFonts w:hint="eastAsia"/>
              </w:rPr>
              <w:t>2</w:t>
            </w:r>
            <w:r w:rsidR="00D633C6">
              <w:rPr>
                <w:rFonts w:hint="eastAsia"/>
              </w:rPr>
              <w:t>9</w:t>
            </w:r>
          </w:p>
        </w:tc>
      </w:tr>
    </w:tbl>
    <w:p w14:paraId="4D53C935" w14:textId="77777777" w:rsidR="001A10EE" w:rsidRDefault="001A10EE"/>
    <w:p w14:paraId="225AE2D4" w14:textId="77777777" w:rsidR="001A10EE" w:rsidRDefault="00414862">
      <w:r>
        <w:br w:type="page"/>
      </w:r>
      <w:r>
        <w:rPr>
          <w:rFonts w:hint="eastAsia"/>
        </w:rPr>
        <w:lastRenderedPageBreak/>
        <w:t>附件</w:t>
      </w:r>
      <w:r>
        <w:t>1</w:t>
      </w:r>
      <w:r>
        <w:rPr>
          <w:rFonts w:hint="eastAsia"/>
        </w:rPr>
        <w:t>：参会人员名单</w:t>
      </w:r>
    </w:p>
    <w:p w14:paraId="13BC9A10" w14:textId="77777777" w:rsidR="001A10EE" w:rsidRDefault="001A10EE" w:rsidP="000932BE">
      <w:pPr>
        <w:ind w:firstLineChars="0" w:firstLine="0"/>
      </w:pPr>
    </w:p>
    <w:tbl>
      <w:tblPr>
        <w:tblStyle w:val="a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454"/>
        <w:gridCol w:w="5842"/>
      </w:tblGrid>
      <w:tr w:rsidR="00C00597" w:rsidRPr="00B43A38" w14:paraId="7E442C89" w14:textId="77777777" w:rsidTr="00B43A38">
        <w:trPr>
          <w:trHeight w:val="346"/>
        </w:trPr>
        <w:tc>
          <w:tcPr>
            <w:tcW w:w="2518" w:type="dxa"/>
            <w:vAlign w:val="center"/>
          </w:tcPr>
          <w:p w14:paraId="456F1062" w14:textId="58886E28" w:rsidR="00C00597" w:rsidRPr="00B43A38" w:rsidRDefault="00C00597" w:rsidP="00B43A38">
            <w:pPr>
              <w:spacing w:line="240" w:lineRule="auto"/>
              <w:rPr>
                <w:rFonts w:ascii="宋体" w:hAnsi="宋体" w:hint="eastAsia"/>
                <w:szCs w:val="21"/>
              </w:rPr>
            </w:pPr>
            <w:r w:rsidRPr="00B43A38">
              <w:rPr>
                <w:rFonts w:ascii="宋体" w:hAnsi="宋体" w:hint="eastAsia"/>
                <w:szCs w:val="21"/>
              </w:rPr>
              <w:t>人员姓名</w:t>
            </w:r>
          </w:p>
        </w:tc>
        <w:tc>
          <w:tcPr>
            <w:tcW w:w="6004" w:type="dxa"/>
            <w:vAlign w:val="center"/>
          </w:tcPr>
          <w:p w14:paraId="50D45EC3" w14:textId="5E2854F6" w:rsidR="00C00597" w:rsidRPr="00B43A38" w:rsidRDefault="00C00597" w:rsidP="00B43A38">
            <w:pPr>
              <w:spacing w:line="240" w:lineRule="auto"/>
              <w:rPr>
                <w:rFonts w:ascii="宋体" w:hAnsi="宋体" w:hint="eastAsia"/>
                <w:szCs w:val="21"/>
              </w:rPr>
            </w:pPr>
            <w:r w:rsidRPr="00B43A38">
              <w:rPr>
                <w:rFonts w:ascii="宋体" w:hAnsi="宋体" w:hint="eastAsia"/>
                <w:szCs w:val="21"/>
              </w:rPr>
              <w:t>单位名称</w:t>
            </w:r>
          </w:p>
        </w:tc>
      </w:tr>
      <w:tr w:rsidR="00C00597" w:rsidRPr="00B43A38" w14:paraId="62E98626" w14:textId="77777777" w:rsidTr="00B43A38">
        <w:trPr>
          <w:trHeight w:val="277"/>
        </w:trPr>
        <w:tc>
          <w:tcPr>
            <w:tcW w:w="2518" w:type="dxa"/>
            <w:noWrap/>
            <w:vAlign w:val="center"/>
          </w:tcPr>
          <w:p w14:paraId="186D91D6" w14:textId="6A088AA4" w:rsidR="00C00597" w:rsidRPr="00B43A38" w:rsidRDefault="00C00597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B43A38">
              <w:rPr>
                <w:rFonts w:ascii="宋体" w:hAnsi="宋体" w:hint="eastAsia"/>
                <w:color w:val="000000"/>
                <w:szCs w:val="21"/>
              </w:rPr>
              <w:t>赵靓</w:t>
            </w:r>
          </w:p>
        </w:tc>
        <w:tc>
          <w:tcPr>
            <w:tcW w:w="6004" w:type="dxa"/>
            <w:noWrap/>
            <w:vAlign w:val="center"/>
          </w:tcPr>
          <w:p w14:paraId="3E808134" w14:textId="7EFF95AE" w:rsidR="00C00597" w:rsidRPr="00B43A38" w:rsidRDefault="00C00597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B43A38">
              <w:rPr>
                <w:rFonts w:ascii="宋体" w:hAnsi="宋体" w:hint="eastAsia"/>
                <w:color w:val="000000"/>
                <w:szCs w:val="21"/>
              </w:rPr>
              <w:t>广发证券发展研究中心</w:t>
            </w:r>
          </w:p>
        </w:tc>
      </w:tr>
      <w:tr w:rsidR="00C00597" w:rsidRPr="00B43A38" w14:paraId="25CE5838" w14:textId="77777777" w:rsidTr="00B43A38">
        <w:trPr>
          <w:trHeight w:val="277"/>
        </w:trPr>
        <w:tc>
          <w:tcPr>
            <w:tcW w:w="2518" w:type="dxa"/>
            <w:noWrap/>
            <w:vAlign w:val="center"/>
          </w:tcPr>
          <w:p w14:paraId="33CC4CFA" w14:textId="28DE8367" w:rsidR="00C00597" w:rsidRPr="00B43A38" w:rsidRDefault="00C00597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B43A38">
              <w:rPr>
                <w:rFonts w:ascii="宋体" w:hAnsi="宋体" w:hint="eastAsia"/>
                <w:color w:val="000000"/>
                <w:szCs w:val="21"/>
              </w:rPr>
              <w:t>唐毅</w:t>
            </w:r>
          </w:p>
        </w:tc>
        <w:tc>
          <w:tcPr>
            <w:tcW w:w="6004" w:type="dxa"/>
            <w:noWrap/>
            <w:vAlign w:val="center"/>
          </w:tcPr>
          <w:p w14:paraId="3FB1DF3F" w14:textId="04E30D55" w:rsidR="00C00597" w:rsidRPr="00B43A38" w:rsidRDefault="00C00597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B43A38">
              <w:rPr>
                <w:rFonts w:ascii="宋体" w:hAnsi="宋体" w:hint="eastAsia"/>
                <w:color w:val="000000"/>
                <w:szCs w:val="21"/>
              </w:rPr>
              <w:t>Brilliance Capital Management Ltd 才华资本</w:t>
            </w:r>
          </w:p>
        </w:tc>
      </w:tr>
      <w:tr w:rsidR="00C00597" w:rsidRPr="00B43A38" w14:paraId="55F7ECB2" w14:textId="77777777" w:rsidTr="00B43A38">
        <w:trPr>
          <w:trHeight w:val="277"/>
        </w:trPr>
        <w:tc>
          <w:tcPr>
            <w:tcW w:w="2518" w:type="dxa"/>
            <w:noWrap/>
            <w:vAlign w:val="center"/>
          </w:tcPr>
          <w:p w14:paraId="781B1822" w14:textId="267398B1" w:rsidR="00C00597" w:rsidRPr="00B43A38" w:rsidRDefault="00C00597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B43A38">
              <w:rPr>
                <w:rFonts w:ascii="宋体" w:hAnsi="宋体" w:hint="eastAsia"/>
                <w:color w:val="000000"/>
                <w:szCs w:val="21"/>
              </w:rPr>
              <w:t>钱倩云</w:t>
            </w:r>
          </w:p>
        </w:tc>
        <w:tc>
          <w:tcPr>
            <w:tcW w:w="6004" w:type="dxa"/>
            <w:noWrap/>
            <w:vAlign w:val="center"/>
          </w:tcPr>
          <w:p w14:paraId="4279CE9B" w14:textId="649F90AD" w:rsidR="00C00597" w:rsidRPr="00B43A38" w:rsidRDefault="00C00597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B43A38">
              <w:rPr>
                <w:rFonts w:ascii="宋体" w:hAnsi="宋体" w:hint="eastAsia"/>
                <w:color w:val="000000"/>
                <w:szCs w:val="21"/>
              </w:rPr>
              <w:t>招银理财有限责任公司</w:t>
            </w:r>
          </w:p>
        </w:tc>
      </w:tr>
      <w:tr w:rsidR="00C00597" w:rsidRPr="00B43A38" w14:paraId="22541EFE" w14:textId="77777777" w:rsidTr="00B43A38">
        <w:trPr>
          <w:trHeight w:val="277"/>
        </w:trPr>
        <w:tc>
          <w:tcPr>
            <w:tcW w:w="2518" w:type="dxa"/>
            <w:noWrap/>
            <w:vAlign w:val="center"/>
          </w:tcPr>
          <w:p w14:paraId="580C5C6A" w14:textId="1E40BF38" w:rsidR="00C00597" w:rsidRPr="00B43A38" w:rsidRDefault="00C00597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B43A38">
              <w:rPr>
                <w:rFonts w:ascii="宋体" w:hAnsi="宋体" w:hint="eastAsia"/>
                <w:color w:val="000000"/>
                <w:szCs w:val="21"/>
              </w:rPr>
              <w:t>高晖</w:t>
            </w:r>
          </w:p>
        </w:tc>
        <w:tc>
          <w:tcPr>
            <w:tcW w:w="6004" w:type="dxa"/>
            <w:noWrap/>
            <w:vAlign w:val="center"/>
          </w:tcPr>
          <w:p w14:paraId="6D4244BE" w14:textId="1CF85DC7" w:rsidR="00C00597" w:rsidRPr="00B43A38" w:rsidRDefault="00C00597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B43A38">
              <w:rPr>
                <w:rFonts w:ascii="宋体" w:hAnsi="宋体" w:hint="eastAsia"/>
                <w:color w:val="000000"/>
                <w:szCs w:val="21"/>
              </w:rPr>
              <w:t>博时基金管理有限公司</w:t>
            </w:r>
          </w:p>
        </w:tc>
      </w:tr>
      <w:tr w:rsidR="00C00597" w:rsidRPr="00B43A38" w14:paraId="3F985119" w14:textId="77777777" w:rsidTr="00B43A38">
        <w:trPr>
          <w:trHeight w:val="277"/>
        </w:trPr>
        <w:tc>
          <w:tcPr>
            <w:tcW w:w="2518" w:type="dxa"/>
            <w:noWrap/>
            <w:vAlign w:val="center"/>
          </w:tcPr>
          <w:p w14:paraId="1035B464" w14:textId="23211011" w:rsidR="00C00597" w:rsidRPr="00B43A38" w:rsidRDefault="00C00597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B43A38">
              <w:rPr>
                <w:rFonts w:ascii="宋体" w:hAnsi="宋体" w:hint="eastAsia"/>
                <w:color w:val="000000"/>
                <w:szCs w:val="21"/>
              </w:rPr>
              <w:t>苏静仪</w:t>
            </w:r>
          </w:p>
        </w:tc>
        <w:tc>
          <w:tcPr>
            <w:tcW w:w="6004" w:type="dxa"/>
            <w:noWrap/>
            <w:vAlign w:val="center"/>
          </w:tcPr>
          <w:p w14:paraId="77562A0E" w14:textId="4C855961" w:rsidR="00C00597" w:rsidRPr="00B43A38" w:rsidRDefault="00C00597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B43A38">
              <w:rPr>
                <w:rFonts w:ascii="宋体" w:hAnsi="宋体" w:hint="eastAsia"/>
                <w:color w:val="000000"/>
                <w:szCs w:val="21"/>
              </w:rPr>
              <w:t>Taikang Asset Management (Hong Kong)  Company Limited 泰康资产管理(香港)有限公司</w:t>
            </w:r>
          </w:p>
        </w:tc>
      </w:tr>
      <w:tr w:rsidR="00C00597" w:rsidRPr="00B43A38" w14:paraId="7F32A25B" w14:textId="77777777" w:rsidTr="00B43A38">
        <w:trPr>
          <w:trHeight w:val="277"/>
        </w:trPr>
        <w:tc>
          <w:tcPr>
            <w:tcW w:w="2518" w:type="dxa"/>
            <w:noWrap/>
            <w:vAlign w:val="center"/>
          </w:tcPr>
          <w:p w14:paraId="516C0938" w14:textId="7B63BCBD" w:rsidR="00C00597" w:rsidRPr="00B43A38" w:rsidRDefault="00C00597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B43A38">
              <w:rPr>
                <w:rFonts w:ascii="宋体" w:hAnsi="宋体" w:hint="eastAsia"/>
                <w:color w:val="000000"/>
                <w:szCs w:val="21"/>
              </w:rPr>
              <w:t>佘伟民</w:t>
            </w:r>
          </w:p>
        </w:tc>
        <w:tc>
          <w:tcPr>
            <w:tcW w:w="6004" w:type="dxa"/>
            <w:noWrap/>
            <w:vAlign w:val="center"/>
          </w:tcPr>
          <w:p w14:paraId="38AA7AB7" w14:textId="729E2EA0" w:rsidR="00C00597" w:rsidRPr="00B43A38" w:rsidRDefault="00C00597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B43A38">
              <w:rPr>
                <w:rFonts w:ascii="宋体" w:hAnsi="宋体" w:hint="eastAsia"/>
                <w:color w:val="000000"/>
                <w:szCs w:val="21"/>
              </w:rPr>
              <w:t>沐德资产管理(北京)有限公司</w:t>
            </w:r>
          </w:p>
        </w:tc>
      </w:tr>
      <w:tr w:rsidR="00C00597" w:rsidRPr="00B43A38" w14:paraId="1AFFFCD3" w14:textId="77777777" w:rsidTr="00B43A38">
        <w:trPr>
          <w:trHeight w:val="277"/>
        </w:trPr>
        <w:tc>
          <w:tcPr>
            <w:tcW w:w="2518" w:type="dxa"/>
            <w:noWrap/>
            <w:vAlign w:val="center"/>
          </w:tcPr>
          <w:p w14:paraId="2F5C6317" w14:textId="2887338F" w:rsidR="00C00597" w:rsidRPr="00B43A38" w:rsidRDefault="00C00597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B43A38">
              <w:rPr>
                <w:rFonts w:ascii="宋体" w:hAnsi="宋体" w:hint="eastAsia"/>
                <w:color w:val="000000"/>
                <w:szCs w:val="21"/>
              </w:rPr>
              <w:t>李洲</w:t>
            </w:r>
          </w:p>
        </w:tc>
        <w:tc>
          <w:tcPr>
            <w:tcW w:w="6004" w:type="dxa"/>
            <w:noWrap/>
            <w:vAlign w:val="center"/>
          </w:tcPr>
          <w:p w14:paraId="06523676" w14:textId="323A7EA9" w:rsidR="00C00597" w:rsidRPr="00B43A38" w:rsidRDefault="00C00597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B43A38">
              <w:rPr>
                <w:rFonts w:ascii="宋体" w:hAnsi="宋体" w:hint="eastAsia"/>
                <w:color w:val="000000"/>
                <w:szCs w:val="21"/>
              </w:rPr>
              <w:t>深圳前海华杉投资管理有限公司</w:t>
            </w:r>
          </w:p>
        </w:tc>
      </w:tr>
      <w:tr w:rsidR="00C00597" w:rsidRPr="00B43A38" w14:paraId="2AF743CA" w14:textId="77777777" w:rsidTr="00B43A38">
        <w:trPr>
          <w:trHeight w:val="277"/>
        </w:trPr>
        <w:tc>
          <w:tcPr>
            <w:tcW w:w="2518" w:type="dxa"/>
            <w:noWrap/>
            <w:vAlign w:val="center"/>
          </w:tcPr>
          <w:p w14:paraId="6992E7B7" w14:textId="3BEE78F4" w:rsidR="00C00597" w:rsidRPr="00B43A38" w:rsidRDefault="00C00597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B43A38">
              <w:rPr>
                <w:rFonts w:ascii="宋体" w:hAnsi="宋体" w:hint="eastAsia"/>
                <w:color w:val="000000"/>
                <w:szCs w:val="21"/>
              </w:rPr>
              <w:t>吴鑫然</w:t>
            </w:r>
          </w:p>
        </w:tc>
        <w:tc>
          <w:tcPr>
            <w:tcW w:w="6004" w:type="dxa"/>
            <w:noWrap/>
            <w:vAlign w:val="center"/>
          </w:tcPr>
          <w:p w14:paraId="43D0591B" w14:textId="44868B9B" w:rsidR="00C00597" w:rsidRPr="00B43A38" w:rsidRDefault="00C00597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B43A38">
              <w:rPr>
                <w:rFonts w:ascii="宋体" w:hAnsi="宋体" w:hint="eastAsia"/>
                <w:color w:val="000000"/>
                <w:szCs w:val="21"/>
              </w:rPr>
              <w:t>发展研究中心</w:t>
            </w:r>
          </w:p>
        </w:tc>
      </w:tr>
      <w:tr w:rsidR="00C00597" w:rsidRPr="00B43A38" w14:paraId="040349A9" w14:textId="77777777" w:rsidTr="00B43A38">
        <w:trPr>
          <w:trHeight w:val="277"/>
        </w:trPr>
        <w:tc>
          <w:tcPr>
            <w:tcW w:w="2518" w:type="dxa"/>
            <w:noWrap/>
            <w:vAlign w:val="center"/>
          </w:tcPr>
          <w:p w14:paraId="6AF07432" w14:textId="75E542E3" w:rsidR="00C00597" w:rsidRPr="00B43A38" w:rsidRDefault="00C00597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B43A38">
              <w:rPr>
                <w:rFonts w:ascii="宋体" w:hAnsi="宋体" w:hint="eastAsia"/>
                <w:color w:val="000000"/>
                <w:szCs w:val="21"/>
              </w:rPr>
              <w:t>余湛</w:t>
            </w:r>
          </w:p>
        </w:tc>
        <w:tc>
          <w:tcPr>
            <w:tcW w:w="6004" w:type="dxa"/>
            <w:noWrap/>
            <w:vAlign w:val="center"/>
          </w:tcPr>
          <w:p w14:paraId="25A69DDF" w14:textId="29342CCE" w:rsidR="00C00597" w:rsidRPr="00B43A38" w:rsidRDefault="00C00597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B43A38">
              <w:rPr>
                <w:rFonts w:ascii="宋体" w:hAnsi="宋体" w:hint="eastAsia"/>
                <w:color w:val="000000"/>
                <w:szCs w:val="21"/>
              </w:rPr>
              <w:t>上海道合私募基金管理有限公司</w:t>
            </w:r>
          </w:p>
        </w:tc>
      </w:tr>
      <w:tr w:rsidR="00C00597" w:rsidRPr="00B43A38" w14:paraId="7D1EB9E2" w14:textId="77777777" w:rsidTr="00B43A38">
        <w:trPr>
          <w:trHeight w:val="277"/>
        </w:trPr>
        <w:tc>
          <w:tcPr>
            <w:tcW w:w="2518" w:type="dxa"/>
            <w:noWrap/>
            <w:vAlign w:val="center"/>
          </w:tcPr>
          <w:p w14:paraId="606A7702" w14:textId="269D9ED0" w:rsidR="00C00597" w:rsidRPr="00B43A38" w:rsidRDefault="00C00597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B43A38">
              <w:rPr>
                <w:rFonts w:ascii="宋体" w:hAnsi="宋体" w:hint="eastAsia"/>
                <w:color w:val="000000"/>
                <w:szCs w:val="21"/>
              </w:rPr>
              <w:t>傅浩</w:t>
            </w:r>
          </w:p>
        </w:tc>
        <w:tc>
          <w:tcPr>
            <w:tcW w:w="6004" w:type="dxa"/>
            <w:noWrap/>
            <w:vAlign w:val="center"/>
          </w:tcPr>
          <w:p w14:paraId="6F647D10" w14:textId="764562DE" w:rsidR="00C00597" w:rsidRPr="00B43A38" w:rsidRDefault="00C00597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B43A38">
              <w:rPr>
                <w:rFonts w:ascii="宋体" w:hAnsi="宋体" w:hint="eastAsia"/>
                <w:color w:val="000000"/>
                <w:szCs w:val="21"/>
              </w:rPr>
              <w:t>华美国际投资集团有限公司</w:t>
            </w:r>
          </w:p>
        </w:tc>
      </w:tr>
      <w:tr w:rsidR="00C00597" w:rsidRPr="00B43A38" w14:paraId="76075742" w14:textId="77777777" w:rsidTr="00B43A38">
        <w:trPr>
          <w:trHeight w:val="277"/>
        </w:trPr>
        <w:tc>
          <w:tcPr>
            <w:tcW w:w="2518" w:type="dxa"/>
            <w:noWrap/>
            <w:vAlign w:val="center"/>
          </w:tcPr>
          <w:p w14:paraId="1ECE02AC" w14:textId="1375E925" w:rsidR="00C00597" w:rsidRPr="00B43A38" w:rsidRDefault="00C00597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B43A38">
              <w:rPr>
                <w:rFonts w:ascii="宋体" w:hAnsi="宋体" w:hint="eastAsia"/>
                <w:color w:val="000000"/>
                <w:szCs w:val="21"/>
              </w:rPr>
              <w:t>孙强</w:t>
            </w:r>
          </w:p>
        </w:tc>
        <w:tc>
          <w:tcPr>
            <w:tcW w:w="6004" w:type="dxa"/>
            <w:noWrap/>
            <w:vAlign w:val="center"/>
          </w:tcPr>
          <w:p w14:paraId="604945CB" w14:textId="08E8D0FC" w:rsidR="00C00597" w:rsidRPr="00B43A38" w:rsidRDefault="00C00597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B43A38">
              <w:rPr>
                <w:rFonts w:ascii="宋体" w:hAnsi="宋体" w:hint="eastAsia"/>
                <w:color w:val="000000"/>
                <w:szCs w:val="21"/>
              </w:rPr>
              <w:t>PINPOINT ASSET MANAGEMENT LIMITED</w:t>
            </w:r>
          </w:p>
        </w:tc>
      </w:tr>
      <w:tr w:rsidR="00C00597" w:rsidRPr="00B43A38" w14:paraId="634ACE39" w14:textId="77777777" w:rsidTr="00B43A38">
        <w:trPr>
          <w:trHeight w:val="277"/>
        </w:trPr>
        <w:tc>
          <w:tcPr>
            <w:tcW w:w="2518" w:type="dxa"/>
            <w:noWrap/>
            <w:vAlign w:val="center"/>
          </w:tcPr>
          <w:p w14:paraId="12AB6901" w14:textId="5488DE6B" w:rsidR="00C00597" w:rsidRPr="00B43A38" w:rsidRDefault="00C00597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B43A38">
              <w:rPr>
                <w:rFonts w:ascii="宋体" w:hAnsi="宋体" w:hint="eastAsia"/>
                <w:color w:val="000000"/>
                <w:szCs w:val="21"/>
              </w:rPr>
              <w:t>杨琳</w:t>
            </w:r>
          </w:p>
        </w:tc>
        <w:tc>
          <w:tcPr>
            <w:tcW w:w="6004" w:type="dxa"/>
            <w:noWrap/>
            <w:vAlign w:val="center"/>
          </w:tcPr>
          <w:p w14:paraId="54E7FFBD" w14:textId="0CC6C791" w:rsidR="00C00597" w:rsidRPr="00B43A38" w:rsidRDefault="00C00597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B43A38">
              <w:rPr>
                <w:rFonts w:ascii="宋体" w:hAnsi="宋体" w:hint="eastAsia"/>
                <w:color w:val="000000"/>
                <w:szCs w:val="21"/>
              </w:rPr>
              <w:t>中国人寿资产管理有限公司</w:t>
            </w:r>
          </w:p>
        </w:tc>
      </w:tr>
      <w:tr w:rsidR="00C00597" w:rsidRPr="00B43A38" w14:paraId="072DF5A8" w14:textId="77777777" w:rsidTr="00B43A38">
        <w:trPr>
          <w:trHeight w:val="277"/>
        </w:trPr>
        <w:tc>
          <w:tcPr>
            <w:tcW w:w="2518" w:type="dxa"/>
            <w:noWrap/>
            <w:vAlign w:val="center"/>
          </w:tcPr>
          <w:p w14:paraId="47D6555F" w14:textId="4BE4BBE9" w:rsidR="00C00597" w:rsidRPr="00B43A38" w:rsidRDefault="00C00597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B43A38">
              <w:rPr>
                <w:rFonts w:ascii="宋体" w:hAnsi="宋体" w:hint="eastAsia"/>
                <w:color w:val="000000"/>
                <w:szCs w:val="21"/>
              </w:rPr>
              <w:t>胡嘉祥</w:t>
            </w:r>
          </w:p>
        </w:tc>
        <w:tc>
          <w:tcPr>
            <w:tcW w:w="6004" w:type="dxa"/>
            <w:noWrap/>
            <w:vAlign w:val="center"/>
          </w:tcPr>
          <w:p w14:paraId="0495F03D" w14:textId="56C02980" w:rsidR="00C00597" w:rsidRPr="00B43A38" w:rsidRDefault="00C00597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B43A38">
              <w:rPr>
                <w:rFonts w:ascii="宋体" w:hAnsi="宋体" w:hint="eastAsia"/>
                <w:color w:val="000000"/>
                <w:szCs w:val="21"/>
              </w:rPr>
              <w:t>海富通基金管理有限公司</w:t>
            </w:r>
          </w:p>
        </w:tc>
      </w:tr>
      <w:tr w:rsidR="00C00597" w:rsidRPr="00B43A38" w14:paraId="4F8157CD" w14:textId="77777777" w:rsidTr="00B43A38">
        <w:trPr>
          <w:trHeight w:val="277"/>
        </w:trPr>
        <w:tc>
          <w:tcPr>
            <w:tcW w:w="2518" w:type="dxa"/>
            <w:noWrap/>
            <w:vAlign w:val="center"/>
          </w:tcPr>
          <w:p w14:paraId="25A56B84" w14:textId="2109AA7F" w:rsidR="00C00597" w:rsidRPr="00B43A38" w:rsidRDefault="00C00597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B43A38">
              <w:rPr>
                <w:rFonts w:ascii="宋体" w:hAnsi="宋体" w:hint="eastAsia"/>
                <w:color w:val="000000"/>
                <w:szCs w:val="21"/>
              </w:rPr>
              <w:t>李博华</w:t>
            </w:r>
          </w:p>
        </w:tc>
        <w:tc>
          <w:tcPr>
            <w:tcW w:w="6004" w:type="dxa"/>
            <w:noWrap/>
            <w:vAlign w:val="center"/>
          </w:tcPr>
          <w:p w14:paraId="561A7181" w14:textId="2504F775" w:rsidR="00C00597" w:rsidRPr="00B43A38" w:rsidRDefault="00C00597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B43A38">
              <w:rPr>
                <w:rFonts w:ascii="宋体" w:hAnsi="宋体" w:hint="eastAsia"/>
                <w:color w:val="000000"/>
                <w:szCs w:val="21"/>
              </w:rPr>
              <w:t>长信基金管理有限责任公司</w:t>
            </w:r>
          </w:p>
        </w:tc>
      </w:tr>
      <w:tr w:rsidR="00C00597" w:rsidRPr="00B43A38" w14:paraId="6373D746" w14:textId="77777777" w:rsidTr="00B43A38">
        <w:trPr>
          <w:trHeight w:val="277"/>
        </w:trPr>
        <w:tc>
          <w:tcPr>
            <w:tcW w:w="2518" w:type="dxa"/>
            <w:noWrap/>
            <w:vAlign w:val="center"/>
          </w:tcPr>
          <w:p w14:paraId="3DF375D9" w14:textId="1477625B" w:rsidR="00C00597" w:rsidRPr="00B43A38" w:rsidRDefault="00C00597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B43A38">
              <w:rPr>
                <w:rFonts w:ascii="宋体" w:hAnsi="宋体" w:hint="eastAsia"/>
                <w:color w:val="000000"/>
                <w:szCs w:val="21"/>
              </w:rPr>
              <w:t>周昊</w:t>
            </w:r>
          </w:p>
        </w:tc>
        <w:tc>
          <w:tcPr>
            <w:tcW w:w="6004" w:type="dxa"/>
            <w:noWrap/>
            <w:vAlign w:val="center"/>
          </w:tcPr>
          <w:p w14:paraId="3FFCE1EB" w14:textId="77F6F86B" w:rsidR="00C00597" w:rsidRPr="00B43A38" w:rsidRDefault="00C00597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B43A38">
              <w:rPr>
                <w:rFonts w:ascii="宋体" w:hAnsi="宋体" w:hint="eastAsia"/>
                <w:color w:val="000000"/>
                <w:szCs w:val="21"/>
              </w:rPr>
              <w:t>东兴基金管理有限公司</w:t>
            </w:r>
          </w:p>
        </w:tc>
      </w:tr>
      <w:tr w:rsidR="00C00597" w:rsidRPr="00B43A38" w14:paraId="5DCFF2A7" w14:textId="77777777" w:rsidTr="00B43A38">
        <w:trPr>
          <w:trHeight w:val="277"/>
        </w:trPr>
        <w:tc>
          <w:tcPr>
            <w:tcW w:w="2518" w:type="dxa"/>
            <w:noWrap/>
            <w:vAlign w:val="center"/>
          </w:tcPr>
          <w:p w14:paraId="6822319A" w14:textId="430504B1" w:rsidR="00C00597" w:rsidRPr="00B43A38" w:rsidRDefault="00C00597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B43A38">
              <w:rPr>
                <w:rFonts w:ascii="宋体" w:hAnsi="宋体" w:hint="eastAsia"/>
                <w:color w:val="000000"/>
                <w:szCs w:val="21"/>
              </w:rPr>
              <w:t>谢博文</w:t>
            </w:r>
          </w:p>
        </w:tc>
        <w:tc>
          <w:tcPr>
            <w:tcW w:w="6004" w:type="dxa"/>
            <w:noWrap/>
            <w:vAlign w:val="center"/>
          </w:tcPr>
          <w:p w14:paraId="02D5C414" w14:textId="58A521AC" w:rsidR="00C00597" w:rsidRPr="00B43A38" w:rsidRDefault="00C00597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B43A38">
              <w:rPr>
                <w:rFonts w:ascii="宋体" w:hAnsi="宋体" w:hint="eastAsia"/>
                <w:color w:val="000000"/>
                <w:szCs w:val="21"/>
              </w:rPr>
              <w:t>兴银基金管理有限责任公司</w:t>
            </w:r>
          </w:p>
        </w:tc>
      </w:tr>
      <w:tr w:rsidR="00C00597" w:rsidRPr="00B43A38" w14:paraId="26000587" w14:textId="77777777" w:rsidTr="00B43A38">
        <w:trPr>
          <w:trHeight w:val="277"/>
        </w:trPr>
        <w:tc>
          <w:tcPr>
            <w:tcW w:w="2518" w:type="dxa"/>
            <w:noWrap/>
            <w:vAlign w:val="center"/>
          </w:tcPr>
          <w:p w14:paraId="339FD3AC" w14:textId="1D7ED208" w:rsidR="00C00597" w:rsidRPr="00B43A38" w:rsidRDefault="00C00597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B43A38">
              <w:rPr>
                <w:rFonts w:ascii="宋体" w:hAnsi="宋体" w:hint="eastAsia"/>
                <w:color w:val="000000"/>
                <w:szCs w:val="21"/>
              </w:rPr>
              <w:t>李翔</w:t>
            </w:r>
          </w:p>
        </w:tc>
        <w:tc>
          <w:tcPr>
            <w:tcW w:w="6004" w:type="dxa"/>
            <w:noWrap/>
            <w:vAlign w:val="center"/>
          </w:tcPr>
          <w:p w14:paraId="15883904" w14:textId="5209A69D" w:rsidR="00C00597" w:rsidRPr="00B43A38" w:rsidRDefault="00C00597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B43A38">
              <w:rPr>
                <w:rFonts w:ascii="宋体" w:hAnsi="宋体" w:hint="eastAsia"/>
                <w:color w:val="000000"/>
                <w:szCs w:val="21"/>
              </w:rPr>
              <w:t>仁桥（北京）资产管理有限公司</w:t>
            </w:r>
          </w:p>
        </w:tc>
      </w:tr>
      <w:tr w:rsidR="00C00597" w:rsidRPr="00B43A38" w14:paraId="2BF92BC3" w14:textId="77777777" w:rsidTr="00B43A38">
        <w:trPr>
          <w:trHeight w:val="277"/>
        </w:trPr>
        <w:tc>
          <w:tcPr>
            <w:tcW w:w="2518" w:type="dxa"/>
            <w:noWrap/>
            <w:vAlign w:val="center"/>
          </w:tcPr>
          <w:p w14:paraId="5FFC61EA" w14:textId="254C3CD2" w:rsidR="00C00597" w:rsidRPr="00B43A38" w:rsidRDefault="00C00597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B43A38">
              <w:rPr>
                <w:rFonts w:ascii="宋体" w:hAnsi="宋体" w:hint="eastAsia"/>
                <w:color w:val="000000"/>
                <w:szCs w:val="21"/>
              </w:rPr>
              <w:t>徐鹤洋</w:t>
            </w:r>
          </w:p>
        </w:tc>
        <w:tc>
          <w:tcPr>
            <w:tcW w:w="6004" w:type="dxa"/>
            <w:noWrap/>
            <w:vAlign w:val="center"/>
          </w:tcPr>
          <w:p w14:paraId="704541C6" w14:textId="5749BAC9" w:rsidR="00C00597" w:rsidRPr="00B43A38" w:rsidRDefault="00C00597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B43A38">
              <w:rPr>
                <w:rFonts w:ascii="宋体" w:hAnsi="宋体" w:hint="eastAsia"/>
                <w:color w:val="000000"/>
                <w:szCs w:val="21"/>
              </w:rPr>
              <w:t>嘉实基金管理有限公司</w:t>
            </w:r>
          </w:p>
        </w:tc>
      </w:tr>
      <w:tr w:rsidR="00C00597" w:rsidRPr="00B43A38" w14:paraId="7A159562" w14:textId="77777777" w:rsidTr="00B43A38">
        <w:trPr>
          <w:trHeight w:val="277"/>
        </w:trPr>
        <w:tc>
          <w:tcPr>
            <w:tcW w:w="2518" w:type="dxa"/>
            <w:noWrap/>
            <w:vAlign w:val="center"/>
          </w:tcPr>
          <w:p w14:paraId="302B070F" w14:textId="78C61BCD" w:rsidR="00C00597" w:rsidRPr="00B43A38" w:rsidRDefault="00C00597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B43A38">
              <w:rPr>
                <w:rFonts w:ascii="宋体" w:hAnsi="宋体" w:hint="eastAsia"/>
                <w:color w:val="000000"/>
                <w:szCs w:val="21"/>
              </w:rPr>
              <w:t>朱冰兵</w:t>
            </w:r>
          </w:p>
        </w:tc>
        <w:tc>
          <w:tcPr>
            <w:tcW w:w="6004" w:type="dxa"/>
            <w:noWrap/>
            <w:vAlign w:val="center"/>
          </w:tcPr>
          <w:p w14:paraId="7DBA95E6" w14:textId="428FA47C" w:rsidR="00C00597" w:rsidRPr="00B43A38" w:rsidRDefault="00C00597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B43A38">
              <w:rPr>
                <w:rFonts w:ascii="宋体" w:hAnsi="宋体" w:hint="eastAsia"/>
                <w:color w:val="000000"/>
                <w:szCs w:val="21"/>
              </w:rPr>
              <w:t>上海朴信投资管理有限公司</w:t>
            </w:r>
          </w:p>
        </w:tc>
      </w:tr>
      <w:tr w:rsidR="00C00597" w:rsidRPr="00B43A38" w14:paraId="1CFDFD28" w14:textId="77777777" w:rsidTr="00B43A38">
        <w:trPr>
          <w:trHeight w:val="277"/>
        </w:trPr>
        <w:tc>
          <w:tcPr>
            <w:tcW w:w="2518" w:type="dxa"/>
            <w:noWrap/>
            <w:vAlign w:val="center"/>
          </w:tcPr>
          <w:p w14:paraId="7931C927" w14:textId="0B60E1E9" w:rsidR="00C00597" w:rsidRPr="00B43A38" w:rsidRDefault="00A22F71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B43A38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章耀 </w:t>
            </w:r>
          </w:p>
        </w:tc>
        <w:tc>
          <w:tcPr>
            <w:tcW w:w="6004" w:type="dxa"/>
            <w:noWrap/>
            <w:vAlign w:val="center"/>
          </w:tcPr>
          <w:p w14:paraId="05FEDA01" w14:textId="1EC755F4" w:rsidR="00C00597" w:rsidRPr="00B43A38" w:rsidRDefault="00A22F71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B43A38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国信自营</w:t>
            </w:r>
          </w:p>
        </w:tc>
      </w:tr>
      <w:tr w:rsidR="00C00597" w:rsidRPr="00B43A38" w14:paraId="27515641" w14:textId="77777777" w:rsidTr="00B43A38">
        <w:trPr>
          <w:trHeight w:val="277"/>
        </w:trPr>
        <w:tc>
          <w:tcPr>
            <w:tcW w:w="2518" w:type="dxa"/>
            <w:noWrap/>
            <w:vAlign w:val="center"/>
          </w:tcPr>
          <w:p w14:paraId="3733AFD4" w14:textId="119B4B72" w:rsidR="00C00597" w:rsidRPr="00B43A38" w:rsidRDefault="00A22F71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B43A38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徐鹤洋 </w:t>
            </w:r>
          </w:p>
        </w:tc>
        <w:tc>
          <w:tcPr>
            <w:tcW w:w="6004" w:type="dxa"/>
            <w:noWrap/>
            <w:vAlign w:val="center"/>
          </w:tcPr>
          <w:p w14:paraId="54ED1BD3" w14:textId="647A03EA" w:rsidR="00C00597" w:rsidRPr="00B43A38" w:rsidRDefault="00A22F71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B43A38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嘉实基金（转债）</w:t>
            </w:r>
          </w:p>
        </w:tc>
      </w:tr>
      <w:tr w:rsidR="00C00597" w:rsidRPr="00B43A38" w14:paraId="5947DCB3" w14:textId="77777777" w:rsidTr="00B43A38">
        <w:trPr>
          <w:trHeight w:val="277"/>
        </w:trPr>
        <w:tc>
          <w:tcPr>
            <w:tcW w:w="2518" w:type="dxa"/>
            <w:noWrap/>
            <w:vAlign w:val="center"/>
          </w:tcPr>
          <w:p w14:paraId="30A0B412" w14:textId="54BDD4D8" w:rsidR="00C00597" w:rsidRPr="00B43A38" w:rsidRDefault="00A22F71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B43A38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王家怡 </w:t>
            </w:r>
          </w:p>
        </w:tc>
        <w:tc>
          <w:tcPr>
            <w:tcW w:w="6004" w:type="dxa"/>
            <w:noWrap/>
            <w:vAlign w:val="center"/>
          </w:tcPr>
          <w:p w14:paraId="2028D388" w14:textId="201A6393" w:rsidR="00C00597" w:rsidRPr="00B43A38" w:rsidRDefault="00A22F71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B43A38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汇丰晋信</w:t>
            </w:r>
          </w:p>
        </w:tc>
      </w:tr>
      <w:tr w:rsidR="00C00597" w:rsidRPr="00B43A38" w14:paraId="45A76BC0" w14:textId="77777777" w:rsidTr="00B43A38">
        <w:trPr>
          <w:trHeight w:val="277"/>
        </w:trPr>
        <w:tc>
          <w:tcPr>
            <w:tcW w:w="2518" w:type="dxa"/>
            <w:noWrap/>
            <w:vAlign w:val="center"/>
          </w:tcPr>
          <w:p w14:paraId="52C527BF" w14:textId="25E4C748" w:rsidR="00C00597" w:rsidRPr="00B43A38" w:rsidRDefault="00A22F71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B43A38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石亮 </w:t>
            </w:r>
          </w:p>
        </w:tc>
        <w:tc>
          <w:tcPr>
            <w:tcW w:w="6004" w:type="dxa"/>
            <w:noWrap/>
            <w:vAlign w:val="center"/>
          </w:tcPr>
          <w:p w14:paraId="7092AA98" w14:textId="470C62B1" w:rsidR="00C00597" w:rsidRPr="00B43A38" w:rsidRDefault="00A22F71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B43A38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兴银基金</w:t>
            </w:r>
          </w:p>
        </w:tc>
      </w:tr>
      <w:tr w:rsidR="00C00597" w:rsidRPr="00B43A38" w14:paraId="22CA7F11" w14:textId="77777777" w:rsidTr="00B43A38">
        <w:trPr>
          <w:trHeight w:val="277"/>
        </w:trPr>
        <w:tc>
          <w:tcPr>
            <w:tcW w:w="2518" w:type="dxa"/>
            <w:noWrap/>
            <w:vAlign w:val="center"/>
          </w:tcPr>
          <w:p w14:paraId="5B54E571" w14:textId="7578569E" w:rsidR="00C00597" w:rsidRPr="00B43A38" w:rsidRDefault="00A22F71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B43A38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徐尚 </w:t>
            </w:r>
          </w:p>
        </w:tc>
        <w:tc>
          <w:tcPr>
            <w:tcW w:w="6004" w:type="dxa"/>
            <w:noWrap/>
            <w:vAlign w:val="center"/>
          </w:tcPr>
          <w:p w14:paraId="62F3171C" w14:textId="230E9302" w:rsidR="00C00597" w:rsidRPr="00B43A38" w:rsidRDefault="00A22F71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B43A38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永盈基金</w:t>
            </w:r>
          </w:p>
        </w:tc>
      </w:tr>
      <w:tr w:rsidR="00C00597" w:rsidRPr="00B43A38" w14:paraId="3608DC56" w14:textId="77777777" w:rsidTr="00B43A38">
        <w:trPr>
          <w:trHeight w:val="277"/>
        </w:trPr>
        <w:tc>
          <w:tcPr>
            <w:tcW w:w="2518" w:type="dxa"/>
            <w:noWrap/>
            <w:vAlign w:val="center"/>
          </w:tcPr>
          <w:p w14:paraId="24A038B5" w14:textId="249FEA1B" w:rsidR="00C00597" w:rsidRPr="00B43A38" w:rsidRDefault="00A22F71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B43A38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陆陈伟 </w:t>
            </w:r>
          </w:p>
        </w:tc>
        <w:tc>
          <w:tcPr>
            <w:tcW w:w="6004" w:type="dxa"/>
            <w:noWrap/>
            <w:vAlign w:val="center"/>
          </w:tcPr>
          <w:p w14:paraId="31AC320D" w14:textId="7E4E07FD" w:rsidR="00C00597" w:rsidRPr="00B43A38" w:rsidRDefault="00A22F71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B43A38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海创基金</w:t>
            </w:r>
          </w:p>
        </w:tc>
      </w:tr>
      <w:tr w:rsidR="00C00597" w:rsidRPr="00B43A38" w14:paraId="35FC6C90" w14:textId="77777777" w:rsidTr="00B43A38">
        <w:trPr>
          <w:trHeight w:val="277"/>
        </w:trPr>
        <w:tc>
          <w:tcPr>
            <w:tcW w:w="2518" w:type="dxa"/>
            <w:noWrap/>
            <w:vAlign w:val="center"/>
          </w:tcPr>
          <w:p w14:paraId="547D8227" w14:textId="2CE87B2B" w:rsidR="00C00597" w:rsidRPr="00B43A38" w:rsidRDefault="00A22F71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B43A38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费晨洪 </w:t>
            </w:r>
          </w:p>
        </w:tc>
        <w:tc>
          <w:tcPr>
            <w:tcW w:w="6004" w:type="dxa"/>
            <w:noWrap/>
            <w:vAlign w:val="center"/>
          </w:tcPr>
          <w:p w14:paraId="6DF6F406" w14:textId="6DC9E58D" w:rsidR="00C00597" w:rsidRPr="00B43A38" w:rsidRDefault="00A22F71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B43A38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民生证券</w:t>
            </w:r>
          </w:p>
        </w:tc>
      </w:tr>
      <w:tr w:rsidR="00F85D8A" w:rsidRPr="00B43A38" w14:paraId="321DA77E" w14:textId="77777777" w:rsidTr="00B43A38">
        <w:trPr>
          <w:trHeight w:val="277"/>
        </w:trPr>
        <w:tc>
          <w:tcPr>
            <w:tcW w:w="2518" w:type="dxa"/>
            <w:noWrap/>
            <w:vAlign w:val="center"/>
          </w:tcPr>
          <w:p w14:paraId="34DBBB1B" w14:textId="694C227F" w:rsidR="00F85D8A" w:rsidRPr="00B43A38" w:rsidRDefault="00F85D8A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B43A38">
              <w:rPr>
                <w:rFonts w:ascii="宋体" w:hAnsi="宋体" w:hint="eastAsia"/>
                <w:color w:val="000000"/>
                <w:szCs w:val="21"/>
              </w:rPr>
              <w:t>赵维卿</w:t>
            </w:r>
          </w:p>
        </w:tc>
        <w:tc>
          <w:tcPr>
            <w:tcW w:w="6004" w:type="dxa"/>
            <w:noWrap/>
            <w:vAlign w:val="center"/>
          </w:tcPr>
          <w:p w14:paraId="6CA5DD0A" w14:textId="3A8D245C" w:rsidR="00F85D8A" w:rsidRPr="00B43A38" w:rsidRDefault="00F85D8A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B43A38">
              <w:rPr>
                <w:rFonts w:ascii="宋体" w:hAnsi="宋体" w:hint="eastAsia"/>
                <w:color w:val="000000"/>
                <w:szCs w:val="21"/>
              </w:rPr>
              <w:t>万和证券股份有限公司（自营）</w:t>
            </w:r>
          </w:p>
        </w:tc>
      </w:tr>
      <w:tr w:rsidR="00F85D8A" w:rsidRPr="00B43A38" w14:paraId="3A2A679D" w14:textId="77777777" w:rsidTr="00B43A38">
        <w:trPr>
          <w:trHeight w:val="277"/>
        </w:trPr>
        <w:tc>
          <w:tcPr>
            <w:tcW w:w="2518" w:type="dxa"/>
            <w:noWrap/>
            <w:vAlign w:val="center"/>
          </w:tcPr>
          <w:p w14:paraId="4DA5324A" w14:textId="28D43EE6" w:rsidR="00F85D8A" w:rsidRPr="00B43A38" w:rsidRDefault="00F85D8A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B43A38">
              <w:rPr>
                <w:rFonts w:ascii="宋体" w:hAnsi="宋体" w:hint="eastAsia"/>
                <w:color w:val="000000"/>
                <w:szCs w:val="21"/>
              </w:rPr>
              <w:t>张堃</w:t>
            </w:r>
          </w:p>
        </w:tc>
        <w:tc>
          <w:tcPr>
            <w:tcW w:w="6004" w:type="dxa"/>
            <w:noWrap/>
            <w:vAlign w:val="center"/>
          </w:tcPr>
          <w:p w14:paraId="55871480" w14:textId="6EE887B1" w:rsidR="00F85D8A" w:rsidRPr="00B43A38" w:rsidRDefault="00F85D8A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B43A38">
              <w:rPr>
                <w:rFonts w:ascii="宋体" w:hAnsi="宋体" w:hint="eastAsia"/>
                <w:color w:val="000000"/>
                <w:szCs w:val="21"/>
              </w:rPr>
              <w:t>诺安基金</w:t>
            </w:r>
          </w:p>
        </w:tc>
      </w:tr>
      <w:tr w:rsidR="00F85D8A" w:rsidRPr="00B43A38" w14:paraId="0D4AC7CD" w14:textId="77777777" w:rsidTr="00B43A38">
        <w:trPr>
          <w:trHeight w:val="277"/>
        </w:trPr>
        <w:tc>
          <w:tcPr>
            <w:tcW w:w="2518" w:type="dxa"/>
            <w:noWrap/>
            <w:vAlign w:val="center"/>
          </w:tcPr>
          <w:p w14:paraId="56725491" w14:textId="717DD272" w:rsidR="00F85D8A" w:rsidRPr="00B43A38" w:rsidRDefault="00F85D8A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B43A38">
              <w:rPr>
                <w:rFonts w:ascii="宋体" w:hAnsi="宋体" w:hint="eastAsia"/>
                <w:color w:val="000000"/>
                <w:szCs w:val="21"/>
              </w:rPr>
              <w:t>尹涛</w:t>
            </w:r>
          </w:p>
        </w:tc>
        <w:tc>
          <w:tcPr>
            <w:tcW w:w="6004" w:type="dxa"/>
            <w:noWrap/>
            <w:vAlign w:val="center"/>
          </w:tcPr>
          <w:p w14:paraId="7B231E35" w14:textId="4EB9BDC0" w:rsidR="00F85D8A" w:rsidRPr="00B43A38" w:rsidRDefault="00F85D8A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B43A38">
              <w:rPr>
                <w:rFonts w:ascii="宋体" w:hAnsi="宋体" w:hint="eastAsia"/>
                <w:color w:val="000000"/>
                <w:szCs w:val="21"/>
              </w:rPr>
              <w:t>上海雷根资产管理有限公司</w:t>
            </w:r>
          </w:p>
        </w:tc>
      </w:tr>
      <w:tr w:rsidR="00F85D8A" w:rsidRPr="00B43A38" w14:paraId="73911255" w14:textId="77777777" w:rsidTr="00B43A38">
        <w:trPr>
          <w:trHeight w:val="277"/>
        </w:trPr>
        <w:tc>
          <w:tcPr>
            <w:tcW w:w="2518" w:type="dxa"/>
            <w:noWrap/>
            <w:vAlign w:val="center"/>
          </w:tcPr>
          <w:p w14:paraId="142E5DE6" w14:textId="02FF57E7" w:rsidR="00F85D8A" w:rsidRPr="00B43A38" w:rsidRDefault="00F85D8A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B43A38">
              <w:rPr>
                <w:rFonts w:ascii="宋体" w:hAnsi="宋体" w:hint="eastAsia"/>
                <w:color w:val="000000"/>
                <w:szCs w:val="21"/>
              </w:rPr>
              <w:t>庄嘉鹏</w:t>
            </w:r>
          </w:p>
        </w:tc>
        <w:tc>
          <w:tcPr>
            <w:tcW w:w="6004" w:type="dxa"/>
            <w:noWrap/>
            <w:vAlign w:val="center"/>
          </w:tcPr>
          <w:p w14:paraId="51D500EB" w14:textId="1CF51B1B" w:rsidR="00F85D8A" w:rsidRPr="00B43A38" w:rsidRDefault="00F85D8A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B43A38">
              <w:rPr>
                <w:rFonts w:ascii="宋体" w:hAnsi="宋体" w:hint="eastAsia"/>
                <w:color w:val="000000"/>
                <w:szCs w:val="21"/>
              </w:rPr>
              <w:t>深圳市君茂投资有限公司</w:t>
            </w:r>
          </w:p>
        </w:tc>
      </w:tr>
      <w:tr w:rsidR="00F85D8A" w:rsidRPr="00B43A38" w14:paraId="4513206F" w14:textId="77777777" w:rsidTr="00B43A38">
        <w:trPr>
          <w:trHeight w:val="277"/>
        </w:trPr>
        <w:tc>
          <w:tcPr>
            <w:tcW w:w="2518" w:type="dxa"/>
            <w:noWrap/>
            <w:vAlign w:val="center"/>
          </w:tcPr>
          <w:p w14:paraId="2804C717" w14:textId="18DBEF65" w:rsidR="00F85D8A" w:rsidRPr="00B43A38" w:rsidRDefault="00F85D8A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B43A38">
              <w:rPr>
                <w:rFonts w:ascii="宋体" w:hAnsi="宋体" w:hint="eastAsia"/>
                <w:color w:val="000000"/>
                <w:szCs w:val="21"/>
              </w:rPr>
              <w:t>张桁</w:t>
            </w:r>
          </w:p>
        </w:tc>
        <w:tc>
          <w:tcPr>
            <w:tcW w:w="6004" w:type="dxa"/>
            <w:noWrap/>
            <w:vAlign w:val="center"/>
          </w:tcPr>
          <w:p w14:paraId="5A568AAE" w14:textId="423EBFD2" w:rsidR="00F85D8A" w:rsidRPr="00B43A38" w:rsidRDefault="00F85D8A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B43A38">
              <w:rPr>
                <w:rFonts w:ascii="宋体" w:hAnsi="宋体" w:hint="eastAsia"/>
                <w:color w:val="000000"/>
                <w:szCs w:val="21"/>
              </w:rPr>
              <w:t>上海牧鑫资产管理有限公司</w:t>
            </w:r>
          </w:p>
        </w:tc>
      </w:tr>
      <w:tr w:rsidR="00F85D8A" w:rsidRPr="00B43A38" w14:paraId="36EF1E66" w14:textId="77777777" w:rsidTr="00B43A38">
        <w:trPr>
          <w:trHeight w:val="277"/>
        </w:trPr>
        <w:tc>
          <w:tcPr>
            <w:tcW w:w="2518" w:type="dxa"/>
            <w:noWrap/>
            <w:vAlign w:val="center"/>
          </w:tcPr>
          <w:p w14:paraId="61C3FF1D" w14:textId="3DC5C1FB" w:rsidR="00F85D8A" w:rsidRPr="00B43A38" w:rsidRDefault="00F85D8A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B43A38">
              <w:rPr>
                <w:rFonts w:ascii="宋体" w:hAnsi="宋体" w:hint="eastAsia"/>
                <w:color w:val="000000"/>
                <w:szCs w:val="21"/>
              </w:rPr>
              <w:t>邵靖宇</w:t>
            </w:r>
          </w:p>
        </w:tc>
        <w:tc>
          <w:tcPr>
            <w:tcW w:w="6004" w:type="dxa"/>
            <w:noWrap/>
            <w:vAlign w:val="center"/>
          </w:tcPr>
          <w:p w14:paraId="371EE2CA" w14:textId="630F026F" w:rsidR="00F85D8A" w:rsidRPr="00B43A38" w:rsidRDefault="00F85D8A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B43A38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申万宏源</w:t>
            </w:r>
          </w:p>
        </w:tc>
      </w:tr>
      <w:tr w:rsidR="00F85D8A" w:rsidRPr="00B43A38" w14:paraId="4547E58B" w14:textId="77777777" w:rsidTr="00B43A38">
        <w:trPr>
          <w:trHeight w:val="277"/>
        </w:trPr>
        <w:tc>
          <w:tcPr>
            <w:tcW w:w="2518" w:type="dxa"/>
            <w:noWrap/>
            <w:vAlign w:val="center"/>
          </w:tcPr>
          <w:p w14:paraId="493C2461" w14:textId="66AF9359" w:rsidR="00F85D8A" w:rsidRPr="00B43A38" w:rsidRDefault="00F85D8A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B43A38">
              <w:rPr>
                <w:rFonts w:ascii="宋体" w:hAnsi="宋体" w:hint="eastAsia"/>
                <w:color w:val="000000"/>
                <w:szCs w:val="21"/>
              </w:rPr>
              <w:t>神玉飞</w:t>
            </w:r>
          </w:p>
        </w:tc>
        <w:tc>
          <w:tcPr>
            <w:tcW w:w="6004" w:type="dxa"/>
            <w:noWrap/>
            <w:vAlign w:val="center"/>
          </w:tcPr>
          <w:p w14:paraId="234C683E" w14:textId="12FA2284" w:rsidR="00F85D8A" w:rsidRPr="00B43A38" w:rsidRDefault="00F85D8A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B43A38">
              <w:rPr>
                <w:rFonts w:ascii="宋体" w:hAnsi="宋体" w:hint="eastAsia"/>
                <w:color w:val="000000"/>
                <w:szCs w:val="21"/>
              </w:rPr>
              <w:t>贝莱德</w:t>
            </w:r>
          </w:p>
        </w:tc>
      </w:tr>
      <w:tr w:rsidR="00F85D8A" w:rsidRPr="00B43A38" w14:paraId="7A0E98A4" w14:textId="77777777" w:rsidTr="00B43A38">
        <w:trPr>
          <w:trHeight w:val="277"/>
        </w:trPr>
        <w:tc>
          <w:tcPr>
            <w:tcW w:w="2518" w:type="dxa"/>
            <w:noWrap/>
            <w:vAlign w:val="center"/>
          </w:tcPr>
          <w:p w14:paraId="40F5A498" w14:textId="78B49D03" w:rsidR="00F85D8A" w:rsidRPr="00B43A38" w:rsidRDefault="00F85D8A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B43A38">
              <w:rPr>
                <w:rFonts w:ascii="宋体" w:hAnsi="宋体" w:hint="eastAsia"/>
                <w:color w:val="000000"/>
                <w:szCs w:val="21"/>
              </w:rPr>
              <w:t>宋涛</w:t>
            </w:r>
          </w:p>
        </w:tc>
        <w:tc>
          <w:tcPr>
            <w:tcW w:w="6004" w:type="dxa"/>
            <w:noWrap/>
            <w:vAlign w:val="center"/>
          </w:tcPr>
          <w:p w14:paraId="2AB843D2" w14:textId="68647FA1" w:rsidR="00F85D8A" w:rsidRPr="00B43A38" w:rsidRDefault="00F85D8A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B43A38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申万宏源</w:t>
            </w:r>
          </w:p>
        </w:tc>
      </w:tr>
      <w:tr w:rsidR="00F85D8A" w:rsidRPr="00B43A38" w14:paraId="467BFFE2" w14:textId="77777777" w:rsidTr="00B43A38">
        <w:trPr>
          <w:trHeight w:val="277"/>
        </w:trPr>
        <w:tc>
          <w:tcPr>
            <w:tcW w:w="2518" w:type="dxa"/>
            <w:noWrap/>
            <w:vAlign w:val="center"/>
          </w:tcPr>
          <w:p w14:paraId="78D09E4A" w14:textId="43F87A92" w:rsidR="00F85D8A" w:rsidRPr="00B43A38" w:rsidRDefault="00F85D8A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B43A38">
              <w:rPr>
                <w:rFonts w:ascii="宋体" w:hAnsi="宋体" w:hint="eastAsia"/>
                <w:color w:val="000000"/>
                <w:szCs w:val="21"/>
              </w:rPr>
              <w:t>张东华</w:t>
            </w:r>
          </w:p>
        </w:tc>
        <w:tc>
          <w:tcPr>
            <w:tcW w:w="6004" w:type="dxa"/>
            <w:noWrap/>
            <w:vAlign w:val="center"/>
          </w:tcPr>
          <w:p w14:paraId="76556E79" w14:textId="163ABEF7" w:rsidR="00F85D8A" w:rsidRPr="00B43A38" w:rsidRDefault="00F85D8A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B43A38">
              <w:rPr>
                <w:rFonts w:ascii="宋体" w:hAnsi="宋体" w:hint="eastAsia"/>
                <w:color w:val="000000"/>
                <w:szCs w:val="21"/>
              </w:rPr>
              <w:t>泰山财产保险股份有限公司</w:t>
            </w:r>
          </w:p>
        </w:tc>
      </w:tr>
      <w:tr w:rsidR="00F85D8A" w:rsidRPr="00B43A38" w14:paraId="0DD3A58D" w14:textId="77777777" w:rsidTr="00B43A38">
        <w:trPr>
          <w:trHeight w:val="277"/>
        </w:trPr>
        <w:tc>
          <w:tcPr>
            <w:tcW w:w="2518" w:type="dxa"/>
            <w:noWrap/>
            <w:vAlign w:val="center"/>
          </w:tcPr>
          <w:p w14:paraId="58F37430" w14:textId="2E82FDE5" w:rsidR="00F85D8A" w:rsidRPr="00B43A38" w:rsidRDefault="00F85D8A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B43A38">
              <w:rPr>
                <w:rFonts w:ascii="宋体" w:hAnsi="宋体" w:hint="eastAsia"/>
                <w:color w:val="000000"/>
                <w:szCs w:val="21"/>
              </w:rPr>
              <w:t>肖彬</w:t>
            </w:r>
          </w:p>
        </w:tc>
        <w:tc>
          <w:tcPr>
            <w:tcW w:w="6004" w:type="dxa"/>
            <w:noWrap/>
            <w:vAlign w:val="center"/>
          </w:tcPr>
          <w:p w14:paraId="0EBD4383" w14:textId="71A50C92" w:rsidR="00F85D8A" w:rsidRPr="00B43A38" w:rsidRDefault="00F85D8A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B43A38">
              <w:rPr>
                <w:rFonts w:ascii="宋体" w:hAnsi="宋体" w:hint="eastAsia"/>
                <w:color w:val="000000"/>
                <w:szCs w:val="21"/>
              </w:rPr>
              <w:t>国信证券</w:t>
            </w:r>
          </w:p>
        </w:tc>
      </w:tr>
      <w:tr w:rsidR="00F85D8A" w:rsidRPr="00B43A38" w14:paraId="6B010C3A" w14:textId="77777777" w:rsidTr="00B43A38">
        <w:trPr>
          <w:trHeight w:val="277"/>
        </w:trPr>
        <w:tc>
          <w:tcPr>
            <w:tcW w:w="2518" w:type="dxa"/>
            <w:noWrap/>
            <w:vAlign w:val="center"/>
          </w:tcPr>
          <w:p w14:paraId="562EDC77" w14:textId="7252FF46" w:rsidR="00F85D8A" w:rsidRPr="00B43A38" w:rsidRDefault="00F85D8A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B43A38">
              <w:rPr>
                <w:rFonts w:ascii="宋体" w:hAnsi="宋体" w:hint="eastAsia"/>
                <w:color w:val="000000"/>
                <w:szCs w:val="21"/>
              </w:rPr>
              <w:t>顾宝成</w:t>
            </w:r>
          </w:p>
        </w:tc>
        <w:tc>
          <w:tcPr>
            <w:tcW w:w="6004" w:type="dxa"/>
            <w:noWrap/>
            <w:vAlign w:val="center"/>
          </w:tcPr>
          <w:p w14:paraId="5ECC9F1D" w14:textId="63E02B08" w:rsidR="00F85D8A" w:rsidRPr="00B43A38" w:rsidRDefault="00F85D8A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B43A38">
              <w:rPr>
                <w:rFonts w:ascii="宋体" w:hAnsi="宋体" w:hint="eastAsia"/>
                <w:color w:val="000000"/>
                <w:szCs w:val="21"/>
              </w:rPr>
              <w:t>上海度势投资有限公司</w:t>
            </w:r>
          </w:p>
        </w:tc>
      </w:tr>
      <w:tr w:rsidR="00F85D8A" w:rsidRPr="00B43A38" w14:paraId="457FF4AA" w14:textId="77777777" w:rsidTr="00B43A38">
        <w:trPr>
          <w:trHeight w:val="277"/>
        </w:trPr>
        <w:tc>
          <w:tcPr>
            <w:tcW w:w="2518" w:type="dxa"/>
            <w:noWrap/>
            <w:vAlign w:val="center"/>
          </w:tcPr>
          <w:p w14:paraId="46FC344C" w14:textId="4A7AF789" w:rsidR="00F85D8A" w:rsidRPr="00B43A38" w:rsidRDefault="00F85D8A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B43A38">
              <w:rPr>
                <w:rFonts w:ascii="宋体" w:hAnsi="宋体" w:hint="eastAsia"/>
                <w:color w:val="000000"/>
                <w:szCs w:val="21"/>
              </w:rPr>
              <w:t>盛江宏</w:t>
            </w:r>
          </w:p>
        </w:tc>
        <w:tc>
          <w:tcPr>
            <w:tcW w:w="6004" w:type="dxa"/>
            <w:noWrap/>
            <w:vAlign w:val="center"/>
          </w:tcPr>
          <w:p w14:paraId="546F1B87" w14:textId="0886E520" w:rsidR="00F85D8A" w:rsidRPr="00B43A38" w:rsidRDefault="00F85D8A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B43A38">
              <w:rPr>
                <w:rFonts w:ascii="宋体" w:hAnsi="宋体" w:hint="eastAsia"/>
                <w:color w:val="000000"/>
                <w:szCs w:val="21"/>
              </w:rPr>
              <w:t>杭州锐稳投资管理有限公司</w:t>
            </w:r>
          </w:p>
        </w:tc>
      </w:tr>
      <w:tr w:rsidR="00F85D8A" w:rsidRPr="00B43A38" w14:paraId="0F6EFD1F" w14:textId="77777777" w:rsidTr="00B43A38">
        <w:trPr>
          <w:trHeight w:val="277"/>
        </w:trPr>
        <w:tc>
          <w:tcPr>
            <w:tcW w:w="2518" w:type="dxa"/>
            <w:noWrap/>
            <w:vAlign w:val="center"/>
          </w:tcPr>
          <w:p w14:paraId="6A6E329B" w14:textId="7757B56B" w:rsidR="00F85D8A" w:rsidRPr="00B43A38" w:rsidRDefault="00F85D8A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B43A38">
              <w:rPr>
                <w:rFonts w:ascii="宋体" w:hAnsi="宋体" w:hint="eastAsia"/>
                <w:color w:val="000000"/>
                <w:szCs w:val="21"/>
              </w:rPr>
              <w:t>吴界强</w:t>
            </w:r>
          </w:p>
        </w:tc>
        <w:tc>
          <w:tcPr>
            <w:tcW w:w="6004" w:type="dxa"/>
            <w:noWrap/>
            <w:vAlign w:val="center"/>
          </w:tcPr>
          <w:p w14:paraId="209857DA" w14:textId="2600AD24" w:rsidR="00F85D8A" w:rsidRPr="00B43A38" w:rsidRDefault="00F85D8A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B43A38">
              <w:rPr>
                <w:rFonts w:ascii="宋体" w:hAnsi="宋体" w:hint="eastAsia"/>
                <w:color w:val="000000"/>
                <w:szCs w:val="21"/>
              </w:rPr>
              <w:t>浙江国信投资</w:t>
            </w:r>
          </w:p>
        </w:tc>
      </w:tr>
      <w:tr w:rsidR="00B43A38" w:rsidRPr="00B43A38" w14:paraId="73E509CB" w14:textId="77777777" w:rsidTr="00B43A38">
        <w:trPr>
          <w:trHeight w:val="277"/>
        </w:trPr>
        <w:tc>
          <w:tcPr>
            <w:tcW w:w="2518" w:type="dxa"/>
            <w:noWrap/>
            <w:vAlign w:val="center"/>
          </w:tcPr>
          <w:p w14:paraId="4B250572" w14:textId="0B2E256D" w:rsidR="00B43A38" w:rsidRPr="00B43A38" w:rsidRDefault="00B43A38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  <w:r w:rsidRPr="00B43A38">
              <w:rPr>
                <w:rFonts w:ascii="宋体" w:hAnsi="宋体" w:hint="eastAsia"/>
                <w:color w:val="000000"/>
                <w:szCs w:val="21"/>
              </w:rPr>
              <w:t>陶爱普</w:t>
            </w:r>
          </w:p>
        </w:tc>
        <w:tc>
          <w:tcPr>
            <w:tcW w:w="6004" w:type="dxa"/>
            <w:noWrap/>
            <w:vAlign w:val="center"/>
          </w:tcPr>
          <w:p w14:paraId="664EB0E4" w14:textId="783DCDF2" w:rsidR="00B43A38" w:rsidRPr="00B43A38" w:rsidRDefault="00B43A38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  <w:r w:rsidRPr="00B43A38">
              <w:rPr>
                <w:rFonts w:ascii="宋体" w:hAnsi="宋体" w:hint="eastAsia"/>
                <w:color w:val="000000"/>
                <w:szCs w:val="21"/>
              </w:rPr>
              <w:t>中信建投</w:t>
            </w:r>
          </w:p>
        </w:tc>
      </w:tr>
      <w:tr w:rsidR="00B43A38" w:rsidRPr="00B43A38" w14:paraId="63FDD2EF" w14:textId="77777777" w:rsidTr="00B43A38">
        <w:trPr>
          <w:trHeight w:val="277"/>
        </w:trPr>
        <w:tc>
          <w:tcPr>
            <w:tcW w:w="2518" w:type="dxa"/>
            <w:noWrap/>
            <w:vAlign w:val="center"/>
          </w:tcPr>
          <w:p w14:paraId="5501110F" w14:textId="045E7D13" w:rsidR="00B43A38" w:rsidRPr="00B43A38" w:rsidRDefault="00B43A38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  <w:r w:rsidRPr="00B43A38">
              <w:rPr>
                <w:rFonts w:ascii="宋体" w:hAnsi="宋体" w:hint="eastAsia"/>
                <w:color w:val="000000"/>
                <w:szCs w:val="21"/>
              </w:rPr>
              <w:t>赵哲锐</w:t>
            </w:r>
          </w:p>
        </w:tc>
        <w:tc>
          <w:tcPr>
            <w:tcW w:w="6004" w:type="dxa"/>
            <w:noWrap/>
            <w:vAlign w:val="center"/>
          </w:tcPr>
          <w:p w14:paraId="24F84863" w14:textId="0705D6F0" w:rsidR="00B43A38" w:rsidRPr="00B43A38" w:rsidRDefault="00B43A38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  <w:r w:rsidRPr="00B43A38">
              <w:rPr>
                <w:rFonts w:ascii="宋体" w:hAnsi="宋体" w:hint="eastAsia"/>
                <w:color w:val="000000"/>
                <w:szCs w:val="21"/>
              </w:rPr>
              <w:t>中信建投证券股份有限公司深圳分公司</w:t>
            </w:r>
          </w:p>
        </w:tc>
      </w:tr>
      <w:tr w:rsidR="00B43A38" w:rsidRPr="00B43A38" w14:paraId="2F098692" w14:textId="77777777" w:rsidTr="00B43A38">
        <w:trPr>
          <w:trHeight w:val="277"/>
        </w:trPr>
        <w:tc>
          <w:tcPr>
            <w:tcW w:w="2518" w:type="dxa"/>
            <w:noWrap/>
            <w:vAlign w:val="center"/>
          </w:tcPr>
          <w:p w14:paraId="004F4A3D" w14:textId="324FF86B" w:rsidR="00B43A38" w:rsidRPr="00B43A38" w:rsidRDefault="00B43A38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  <w:r w:rsidRPr="00B43A38">
              <w:rPr>
                <w:rFonts w:ascii="宋体" w:hAnsi="宋体" w:hint="eastAsia"/>
                <w:color w:val="000000"/>
                <w:szCs w:val="21"/>
              </w:rPr>
              <w:t>王雷</w:t>
            </w:r>
          </w:p>
        </w:tc>
        <w:tc>
          <w:tcPr>
            <w:tcW w:w="6004" w:type="dxa"/>
            <w:noWrap/>
            <w:vAlign w:val="center"/>
          </w:tcPr>
          <w:p w14:paraId="7CDFC15A" w14:textId="061370E9" w:rsidR="00B43A38" w:rsidRPr="00B43A38" w:rsidRDefault="00B43A38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  <w:r w:rsidRPr="00B43A38">
              <w:rPr>
                <w:rFonts w:ascii="宋体" w:hAnsi="宋体" w:hint="eastAsia"/>
                <w:color w:val="000000"/>
                <w:szCs w:val="21"/>
              </w:rPr>
              <w:t>嘉实基金管理有限公司</w:t>
            </w:r>
          </w:p>
        </w:tc>
      </w:tr>
      <w:tr w:rsidR="00B43A38" w:rsidRPr="00B43A38" w14:paraId="4CE7939E" w14:textId="77777777" w:rsidTr="00B43A38">
        <w:trPr>
          <w:trHeight w:val="277"/>
        </w:trPr>
        <w:tc>
          <w:tcPr>
            <w:tcW w:w="2518" w:type="dxa"/>
            <w:noWrap/>
            <w:vAlign w:val="center"/>
          </w:tcPr>
          <w:p w14:paraId="1C9D3AA3" w14:textId="40F9FE15" w:rsidR="00B43A38" w:rsidRPr="00B43A38" w:rsidRDefault="00B43A38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  <w:r w:rsidRPr="00B43A38">
              <w:rPr>
                <w:rFonts w:ascii="宋体" w:hAnsi="宋体" w:hint="eastAsia"/>
                <w:color w:val="000000"/>
                <w:szCs w:val="21"/>
              </w:rPr>
              <w:t>赵晶</w:t>
            </w:r>
          </w:p>
        </w:tc>
        <w:tc>
          <w:tcPr>
            <w:tcW w:w="6004" w:type="dxa"/>
            <w:noWrap/>
            <w:vAlign w:val="center"/>
          </w:tcPr>
          <w:p w14:paraId="56DF3B02" w14:textId="32DF4534" w:rsidR="00B43A38" w:rsidRPr="00B43A38" w:rsidRDefault="00B43A38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  <w:r w:rsidRPr="00B43A38">
              <w:rPr>
                <w:rFonts w:ascii="宋体" w:hAnsi="宋体" w:hint="eastAsia"/>
                <w:color w:val="000000"/>
                <w:szCs w:val="21"/>
              </w:rPr>
              <w:t>农银人寿保险股份有限公司</w:t>
            </w:r>
          </w:p>
        </w:tc>
      </w:tr>
      <w:tr w:rsidR="00B43A38" w:rsidRPr="00B43A38" w14:paraId="2C52A6E9" w14:textId="77777777" w:rsidTr="00B43A38">
        <w:trPr>
          <w:trHeight w:val="277"/>
        </w:trPr>
        <w:tc>
          <w:tcPr>
            <w:tcW w:w="2518" w:type="dxa"/>
            <w:noWrap/>
            <w:vAlign w:val="center"/>
          </w:tcPr>
          <w:p w14:paraId="1004183C" w14:textId="519543F8" w:rsidR="00B43A38" w:rsidRPr="00B43A38" w:rsidRDefault="00B43A38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  <w:r w:rsidRPr="00B43A38">
              <w:rPr>
                <w:rFonts w:ascii="宋体" w:hAnsi="宋体" w:hint="eastAsia"/>
                <w:color w:val="000000"/>
                <w:szCs w:val="21"/>
              </w:rPr>
              <w:lastRenderedPageBreak/>
              <w:t>罗敏</w:t>
            </w:r>
          </w:p>
        </w:tc>
        <w:tc>
          <w:tcPr>
            <w:tcW w:w="6004" w:type="dxa"/>
            <w:noWrap/>
            <w:vAlign w:val="center"/>
          </w:tcPr>
          <w:p w14:paraId="082270EB" w14:textId="3A6EBC53" w:rsidR="00B43A38" w:rsidRPr="00B43A38" w:rsidRDefault="00B43A38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  <w:r w:rsidRPr="00B43A38">
              <w:rPr>
                <w:rFonts w:ascii="宋体" w:hAnsi="宋体" w:hint="eastAsia"/>
                <w:color w:val="000000"/>
                <w:szCs w:val="21"/>
              </w:rPr>
              <w:t>上海乘是资产管理有限公司</w:t>
            </w:r>
          </w:p>
        </w:tc>
      </w:tr>
      <w:tr w:rsidR="00B43A38" w:rsidRPr="00B43A38" w14:paraId="5CAE1082" w14:textId="77777777" w:rsidTr="00B43A38">
        <w:trPr>
          <w:trHeight w:val="277"/>
        </w:trPr>
        <w:tc>
          <w:tcPr>
            <w:tcW w:w="2518" w:type="dxa"/>
            <w:noWrap/>
            <w:vAlign w:val="center"/>
          </w:tcPr>
          <w:p w14:paraId="1E0D1EEF" w14:textId="665D60DA" w:rsidR="00B43A38" w:rsidRPr="00B43A38" w:rsidRDefault="00B43A38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  <w:r w:rsidRPr="00B43A38">
              <w:rPr>
                <w:rFonts w:ascii="宋体" w:hAnsi="宋体" w:hint="eastAsia"/>
                <w:color w:val="000000"/>
                <w:szCs w:val="21"/>
              </w:rPr>
              <w:t>张海锋</w:t>
            </w:r>
          </w:p>
        </w:tc>
        <w:tc>
          <w:tcPr>
            <w:tcW w:w="6004" w:type="dxa"/>
            <w:noWrap/>
            <w:vAlign w:val="center"/>
          </w:tcPr>
          <w:p w14:paraId="78688472" w14:textId="453B8D3A" w:rsidR="00B43A38" w:rsidRPr="00B43A38" w:rsidRDefault="00B43A38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  <w:r w:rsidRPr="00B43A38">
              <w:rPr>
                <w:rFonts w:ascii="宋体" w:hAnsi="宋体" w:hint="eastAsia"/>
                <w:color w:val="000000"/>
                <w:szCs w:val="21"/>
              </w:rPr>
              <w:t>浙江杭州余杭农村商业银行股份有限公司</w:t>
            </w:r>
          </w:p>
        </w:tc>
      </w:tr>
      <w:tr w:rsidR="00B43A38" w:rsidRPr="00B43A38" w14:paraId="092C552E" w14:textId="77777777" w:rsidTr="00B43A38">
        <w:trPr>
          <w:trHeight w:val="277"/>
        </w:trPr>
        <w:tc>
          <w:tcPr>
            <w:tcW w:w="2518" w:type="dxa"/>
            <w:noWrap/>
            <w:vAlign w:val="center"/>
          </w:tcPr>
          <w:p w14:paraId="3FCBD6F3" w14:textId="27596A48" w:rsidR="00B43A38" w:rsidRPr="00B43A38" w:rsidRDefault="00B43A38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  <w:r w:rsidRPr="00B43A38">
              <w:rPr>
                <w:rFonts w:ascii="宋体" w:hAnsi="宋体" w:hint="eastAsia"/>
                <w:color w:val="000000"/>
                <w:szCs w:val="21"/>
              </w:rPr>
              <w:t>高群山</w:t>
            </w:r>
          </w:p>
        </w:tc>
        <w:tc>
          <w:tcPr>
            <w:tcW w:w="6004" w:type="dxa"/>
            <w:noWrap/>
            <w:vAlign w:val="center"/>
          </w:tcPr>
          <w:p w14:paraId="0A01FBFA" w14:textId="18A5B214" w:rsidR="00B43A38" w:rsidRPr="00B43A38" w:rsidRDefault="00B43A38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  <w:r w:rsidRPr="00B43A38">
              <w:rPr>
                <w:rFonts w:ascii="宋体" w:hAnsi="宋体" w:hint="eastAsia"/>
                <w:color w:val="000000"/>
                <w:szCs w:val="21"/>
              </w:rPr>
              <w:t>嘉实基金管理有限公司</w:t>
            </w:r>
          </w:p>
        </w:tc>
      </w:tr>
      <w:tr w:rsidR="00B43A38" w:rsidRPr="00B43A38" w14:paraId="01A59C5A" w14:textId="77777777" w:rsidTr="00B43A38">
        <w:trPr>
          <w:trHeight w:val="277"/>
        </w:trPr>
        <w:tc>
          <w:tcPr>
            <w:tcW w:w="2518" w:type="dxa"/>
            <w:noWrap/>
            <w:vAlign w:val="center"/>
          </w:tcPr>
          <w:p w14:paraId="43A46768" w14:textId="2C4F12E4" w:rsidR="00B43A38" w:rsidRPr="00B43A38" w:rsidRDefault="00B43A38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  <w:r w:rsidRPr="00B43A38">
              <w:rPr>
                <w:rFonts w:ascii="宋体" w:hAnsi="宋体" w:hint="eastAsia"/>
                <w:color w:val="000000"/>
                <w:szCs w:val="21"/>
              </w:rPr>
              <w:t>范亮</w:t>
            </w:r>
          </w:p>
        </w:tc>
        <w:tc>
          <w:tcPr>
            <w:tcW w:w="6004" w:type="dxa"/>
            <w:noWrap/>
            <w:vAlign w:val="center"/>
          </w:tcPr>
          <w:p w14:paraId="151FD7C7" w14:textId="27AD7219" w:rsidR="00B43A38" w:rsidRPr="00B43A38" w:rsidRDefault="00B43A38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  <w:r w:rsidRPr="00B43A38">
              <w:rPr>
                <w:rFonts w:ascii="宋体" w:hAnsi="宋体" w:hint="eastAsia"/>
                <w:color w:val="000000"/>
                <w:szCs w:val="21"/>
              </w:rPr>
              <w:t>国金基金管理有限公司</w:t>
            </w:r>
          </w:p>
        </w:tc>
      </w:tr>
      <w:tr w:rsidR="00B43A38" w:rsidRPr="00B43A38" w14:paraId="28C353F5" w14:textId="77777777" w:rsidTr="00B43A38">
        <w:trPr>
          <w:trHeight w:val="277"/>
        </w:trPr>
        <w:tc>
          <w:tcPr>
            <w:tcW w:w="2518" w:type="dxa"/>
            <w:noWrap/>
            <w:vAlign w:val="center"/>
          </w:tcPr>
          <w:p w14:paraId="19BE9E70" w14:textId="70947A49" w:rsidR="00B43A38" w:rsidRPr="00B43A38" w:rsidRDefault="00B43A38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  <w:r w:rsidRPr="00B43A38">
              <w:rPr>
                <w:rFonts w:ascii="宋体" w:hAnsi="宋体" w:hint="eastAsia"/>
                <w:color w:val="000000"/>
                <w:szCs w:val="21"/>
              </w:rPr>
              <w:t>丁开盛</w:t>
            </w:r>
          </w:p>
        </w:tc>
        <w:tc>
          <w:tcPr>
            <w:tcW w:w="6004" w:type="dxa"/>
            <w:noWrap/>
            <w:vAlign w:val="center"/>
          </w:tcPr>
          <w:p w14:paraId="40D0E3E3" w14:textId="43FEF1D6" w:rsidR="00B43A38" w:rsidRPr="00B43A38" w:rsidRDefault="00B43A38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  <w:r w:rsidRPr="00B43A38">
              <w:rPr>
                <w:rFonts w:ascii="宋体" w:hAnsi="宋体" w:hint="eastAsia"/>
                <w:color w:val="000000"/>
                <w:szCs w:val="21"/>
              </w:rPr>
              <w:t>北京宏道投资管理有限公司</w:t>
            </w:r>
          </w:p>
        </w:tc>
      </w:tr>
      <w:tr w:rsidR="00B43A38" w:rsidRPr="00B43A38" w14:paraId="6A14CC9F" w14:textId="77777777" w:rsidTr="00B43A38">
        <w:trPr>
          <w:trHeight w:val="277"/>
        </w:trPr>
        <w:tc>
          <w:tcPr>
            <w:tcW w:w="2518" w:type="dxa"/>
            <w:noWrap/>
            <w:vAlign w:val="center"/>
          </w:tcPr>
          <w:p w14:paraId="26945C32" w14:textId="05914E07" w:rsidR="00B43A38" w:rsidRPr="00B43A38" w:rsidRDefault="00B43A38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  <w:r w:rsidRPr="00B43A38">
              <w:rPr>
                <w:rFonts w:ascii="宋体" w:hAnsi="宋体" w:hint="eastAsia"/>
                <w:color w:val="000000"/>
                <w:szCs w:val="21"/>
              </w:rPr>
              <w:t>江博文</w:t>
            </w:r>
          </w:p>
        </w:tc>
        <w:tc>
          <w:tcPr>
            <w:tcW w:w="6004" w:type="dxa"/>
            <w:noWrap/>
            <w:vAlign w:val="center"/>
          </w:tcPr>
          <w:p w14:paraId="24A1B120" w14:textId="269086E5" w:rsidR="00B43A38" w:rsidRPr="00B43A38" w:rsidRDefault="00B43A38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  <w:r w:rsidRPr="00B43A38">
              <w:rPr>
                <w:rFonts w:ascii="宋体" w:hAnsi="宋体" w:hint="eastAsia"/>
                <w:color w:val="000000"/>
                <w:szCs w:val="21"/>
              </w:rPr>
              <w:t>长安基金管理有限公司</w:t>
            </w:r>
          </w:p>
        </w:tc>
      </w:tr>
      <w:tr w:rsidR="00B43A38" w:rsidRPr="00B43A38" w14:paraId="7225FBDD" w14:textId="77777777" w:rsidTr="00B43A38">
        <w:trPr>
          <w:trHeight w:val="277"/>
        </w:trPr>
        <w:tc>
          <w:tcPr>
            <w:tcW w:w="2518" w:type="dxa"/>
            <w:noWrap/>
            <w:vAlign w:val="center"/>
          </w:tcPr>
          <w:p w14:paraId="7446D625" w14:textId="538B94B8" w:rsidR="00B43A38" w:rsidRPr="00B43A38" w:rsidRDefault="00B43A38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  <w:r w:rsidRPr="00B43A38">
              <w:rPr>
                <w:rFonts w:ascii="宋体" w:hAnsi="宋体" w:hint="eastAsia"/>
                <w:color w:val="000000"/>
                <w:szCs w:val="21"/>
              </w:rPr>
              <w:t>陈树莹</w:t>
            </w:r>
          </w:p>
        </w:tc>
        <w:tc>
          <w:tcPr>
            <w:tcW w:w="6004" w:type="dxa"/>
            <w:noWrap/>
            <w:vAlign w:val="center"/>
          </w:tcPr>
          <w:p w14:paraId="5C924320" w14:textId="1193C51A" w:rsidR="00B43A38" w:rsidRPr="00B43A38" w:rsidRDefault="00B43A38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  <w:r w:rsidRPr="00B43A38">
              <w:rPr>
                <w:rFonts w:ascii="宋体" w:hAnsi="宋体" w:hint="eastAsia"/>
                <w:color w:val="000000"/>
                <w:szCs w:val="21"/>
              </w:rPr>
              <w:t>国泰基金管理有限公司</w:t>
            </w:r>
          </w:p>
        </w:tc>
      </w:tr>
      <w:tr w:rsidR="00B43A38" w:rsidRPr="00B43A38" w14:paraId="2E01441F" w14:textId="77777777" w:rsidTr="00B43A38">
        <w:trPr>
          <w:trHeight w:val="277"/>
        </w:trPr>
        <w:tc>
          <w:tcPr>
            <w:tcW w:w="2518" w:type="dxa"/>
            <w:noWrap/>
            <w:vAlign w:val="center"/>
          </w:tcPr>
          <w:p w14:paraId="7DF70194" w14:textId="2CD5272B" w:rsidR="00B43A38" w:rsidRPr="00B43A38" w:rsidRDefault="00B43A38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  <w:r w:rsidRPr="00B43A38">
              <w:rPr>
                <w:rFonts w:ascii="宋体" w:hAnsi="宋体" w:hint="eastAsia"/>
                <w:color w:val="000000"/>
                <w:szCs w:val="21"/>
              </w:rPr>
              <w:t>汪洋</w:t>
            </w:r>
          </w:p>
        </w:tc>
        <w:tc>
          <w:tcPr>
            <w:tcW w:w="6004" w:type="dxa"/>
            <w:noWrap/>
            <w:vAlign w:val="center"/>
          </w:tcPr>
          <w:p w14:paraId="080474CB" w14:textId="6CFD3BFA" w:rsidR="00B43A38" w:rsidRPr="00B43A38" w:rsidRDefault="00B43A38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  <w:r w:rsidRPr="00B43A38">
              <w:rPr>
                <w:rFonts w:ascii="宋体" w:hAnsi="宋体" w:hint="eastAsia"/>
                <w:color w:val="000000"/>
                <w:szCs w:val="21"/>
              </w:rPr>
              <w:t>万家基金管理有限公司</w:t>
            </w:r>
          </w:p>
        </w:tc>
      </w:tr>
      <w:tr w:rsidR="00B43A38" w:rsidRPr="00B43A38" w14:paraId="306CD67C" w14:textId="77777777" w:rsidTr="00B43A38">
        <w:trPr>
          <w:trHeight w:val="277"/>
        </w:trPr>
        <w:tc>
          <w:tcPr>
            <w:tcW w:w="2518" w:type="dxa"/>
            <w:noWrap/>
            <w:vAlign w:val="center"/>
          </w:tcPr>
          <w:p w14:paraId="2381C2B0" w14:textId="084C6BAD" w:rsidR="00B43A38" w:rsidRPr="00B43A38" w:rsidRDefault="00B43A38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  <w:r w:rsidRPr="00B43A38">
              <w:rPr>
                <w:rFonts w:ascii="宋体" w:hAnsi="宋体" w:hint="eastAsia"/>
                <w:color w:val="000000"/>
                <w:szCs w:val="21"/>
              </w:rPr>
              <w:t>闫慧辰</w:t>
            </w:r>
          </w:p>
        </w:tc>
        <w:tc>
          <w:tcPr>
            <w:tcW w:w="6004" w:type="dxa"/>
            <w:noWrap/>
            <w:vAlign w:val="center"/>
          </w:tcPr>
          <w:p w14:paraId="44168EB0" w14:textId="49F2D53D" w:rsidR="00B43A38" w:rsidRPr="00B43A38" w:rsidRDefault="00B43A38" w:rsidP="00B43A38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  <w:r w:rsidRPr="00B43A38">
              <w:rPr>
                <w:rFonts w:ascii="宋体" w:hAnsi="宋体" w:hint="eastAsia"/>
                <w:color w:val="000000"/>
                <w:szCs w:val="21"/>
              </w:rPr>
              <w:t>红杉资本股权投资管理（天津）有限公司</w:t>
            </w:r>
          </w:p>
        </w:tc>
      </w:tr>
    </w:tbl>
    <w:p w14:paraId="137B694F" w14:textId="77777777" w:rsidR="00B43A38" w:rsidRDefault="00B43A38"/>
    <w:p w14:paraId="0ACB3FB6" w14:textId="77777777" w:rsidR="00B43A38" w:rsidRDefault="00B43A38"/>
    <w:p w14:paraId="0935E8EE" w14:textId="1B7C4E0E" w:rsidR="001A10EE" w:rsidRDefault="00B43A38">
      <w:r>
        <w:br w:type="textWrapping" w:clear="all"/>
      </w:r>
    </w:p>
    <w:sectPr w:rsidR="001A10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E39472" w14:textId="77777777" w:rsidR="00C16EAB" w:rsidRDefault="00C16EAB">
      <w:pPr>
        <w:spacing w:line="240" w:lineRule="auto"/>
      </w:pPr>
      <w:r>
        <w:separator/>
      </w:r>
    </w:p>
  </w:endnote>
  <w:endnote w:type="continuationSeparator" w:id="0">
    <w:p w14:paraId="32CA63AA" w14:textId="77777777" w:rsidR="00C16EAB" w:rsidRDefault="00C16E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021647" w14:textId="77777777" w:rsidR="008A485A" w:rsidRDefault="008A485A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921FB0" w14:textId="77777777" w:rsidR="001A10EE" w:rsidRDefault="001A10EE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DD4B0F" w14:textId="77777777" w:rsidR="008A485A" w:rsidRDefault="008A485A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5F058E" w14:textId="77777777" w:rsidR="00C16EAB" w:rsidRDefault="00C16EAB">
      <w:r>
        <w:separator/>
      </w:r>
    </w:p>
  </w:footnote>
  <w:footnote w:type="continuationSeparator" w:id="0">
    <w:p w14:paraId="29A06FA5" w14:textId="77777777" w:rsidR="00C16EAB" w:rsidRDefault="00C16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D69AC4" w14:textId="77777777" w:rsidR="008A485A" w:rsidRDefault="008A485A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ECA39A" w14:textId="77777777" w:rsidR="001A10EE" w:rsidRDefault="001A10EE">
    <w:pPr>
      <w:pStyle w:val="a7"/>
      <w:pBdr>
        <w:bottom w:val="none" w:sz="0" w:space="1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DB44B" w14:textId="77777777" w:rsidR="008A485A" w:rsidRDefault="008A485A">
    <w:pPr>
      <w:pStyle w:val="a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dkNDYwZDYzMzYwZTQ5MTY5ODI2ZDQ2YjBmMGNlNDgifQ=="/>
  </w:docVars>
  <w:rsids>
    <w:rsidRoot w:val="006861C7"/>
    <w:rsid w:val="B7DDD54D"/>
    <w:rsid w:val="E3FFE6ED"/>
    <w:rsid w:val="F5DB8A63"/>
    <w:rsid w:val="F797912E"/>
    <w:rsid w:val="FE7B4896"/>
    <w:rsid w:val="00001741"/>
    <w:rsid w:val="0000224F"/>
    <w:rsid w:val="00004565"/>
    <w:rsid w:val="00014039"/>
    <w:rsid w:val="000157EB"/>
    <w:rsid w:val="00015803"/>
    <w:rsid w:val="000268C0"/>
    <w:rsid w:val="000363B5"/>
    <w:rsid w:val="00036C14"/>
    <w:rsid w:val="000375D7"/>
    <w:rsid w:val="000419D7"/>
    <w:rsid w:val="00043015"/>
    <w:rsid w:val="00046DDE"/>
    <w:rsid w:val="00047EB9"/>
    <w:rsid w:val="00051B85"/>
    <w:rsid w:val="00055710"/>
    <w:rsid w:val="00060A74"/>
    <w:rsid w:val="00060F09"/>
    <w:rsid w:val="00067110"/>
    <w:rsid w:val="00067F36"/>
    <w:rsid w:val="00071706"/>
    <w:rsid w:val="00082970"/>
    <w:rsid w:val="000831AA"/>
    <w:rsid w:val="0009298A"/>
    <w:rsid w:val="00092D3B"/>
    <w:rsid w:val="000932BE"/>
    <w:rsid w:val="000947C6"/>
    <w:rsid w:val="000A2808"/>
    <w:rsid w:val="000A3BAC"/>
    <w:rsid w:val="000C26FD"/>
    <w:rsid w:val="000C2D85"/>
    <w:rsid w:val="000C66F9"/>
    <w:rsid w:val="000C78F6"/>
    <w:rsid w:val="000E4A4C"/>
    <w:rsid w:val="000E5700"/>
    <w:rsid w:val="000E636F"/>
    <w:rsid w:val="000E696A"/>
    <w:rsid w:val="000F0C4B"/>
    <w:rsid w:val="000F0E22"/>
    <w:rsid w:val="000F302C"/>
    <w:rsid w:val="00103BB7"/>
    <w:rsid w:val="00105A04"/>
    <w:rsid w:val="00112F74"/>
    <w:rsid w:val="001169A9"/>
    <w:rsid w:val="00123ADA"/>
    <w:rsid w:val="00125EB2"/>
    <w:rsid w:val="001405CB"/>
    <w:rsid w:val="00142A4C"/>
    <w:rsid w:val="00144279"/>
    <w:rsid w:val="001449B6"/>
    <w:rsid w:val="001452FF"/>
    <w:rsid w:val="001516DC"/>
    <w:rsid w:val="00160C1A"/>
    <w:rsid w:val="00160C27"/>
    <w:rsid w:val="00163DDD"/>
    <w:rsid w:val="0016617A"/>
    <w:rsid w:val="001677EA"/>
    <w:rsid w:val="00167E99"/>
    <w:rsid w:val="00193FA4"/>
    <w:rsid w:val="001975AB"/>
    <w:rsid w:val="001A00F5"/>
    <w:rsid w:val="001A10EE"/>
    <w:rsid w:val="001A1F65"/>
    <w:rsid w:val="001A5CE9"/>
    <w:rsid w:val="001B64E9"/>
    <w:rsid w:val="001C50AD"/>
    <w:rsid w:val="001D20D1"/>
    <w:rsid w:val="001D22EE"/>
    <w:rsid w:val="001D4C89"/>
    <w:rsid w:val="001E0062"/>
    <w:rsid w:val="001E0952"/>
    <w:rsid w:val="001E1838"/>
    <w:rsid w:val="001E3145"/>
    <w:rsid w:val="001E40D4"/>
    <w:rsid w:val="001E6509"/>
    <w:rsid w:val="001E7968"/>
    <w:rsid w:val="001F61AA"/>
    <w:rsid w:val="001F6F10"/>
    <w:rsid w:val="002029F2"/>
    <w:rsid w:val="0021099B"/>
    <w:rsid w:val="00220096"/>
    <w:rsid w:val="0022180A"/>
    <w:rsid w:val="00223ABC"/>
    <w:rsid w:val="002241B9"/>
    <w:rsid w:val="00226B00"/>
    <w:rsid w:val="002274D9"/>
    <w:rsid w:val="002304D4"/>
    <w:rsid w:val="0023455A"/>
    <w:rsid w:val="00236DB0"/>
    <w:rsid w:val="002376F9"/>
    <w:rsid w:val="00237994"/>
    <w:rsid w:val="0024465B"/>
    <w:rsid w:val="002463D4"/>
    <w:rsid w:val="002507EC"/>
    <w:rsid w:val="00251A8C"/>
    <w:rsid w:val="00251D58"/>
    <w:rsid w:val="00252CCF"/>
    <w:rsid w:val="002530EE"/>
    <w:rsid w:val="002549E6"/>
    <w:rsid w:val="00256602"/>
    <w:rsid w:val="00257B25"/>
    <w:rsid w:val="00260A53"/>
    <w:rsid w:val="002629F4"/>
    <w:rsid w:val="00263CAE"/>
    <w:rsid w:val="0027087B"/>
    <w:rsid w:val="00271C8D"/>
    <w:rsid w:val="00273B53"/>
    <w:rsid w:val="0028080C"/>
    <w:rsid w:val="0028163D"/>
    <w:rsid w:val="00295257"/>
    <w:rsid w:val="00297703"/>
    <w:rsid w:val="002A0826"/>
    <w:rsid w:val="002A0984"/>
    <w:rsid w:val="002A589B"/>
    <w:rsid w:val="002A5E16"/>
    <w:rsid w:val="002A63A5"/>
    <w:rsid w:val="002A7FB8"/>
    <w:rsid w:val="002B0BCD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2E40C4"/>
    <w:rsid w:val="002E4725"/>
    <w:rsid w:val="003005F0"/>
    <w:rsid w:val="003016C6"/>
    <w:rsid w:val="003030BF"/>
    <w:rsid w:val="00304F89"/>
    <w:rsid w:val="00306023"/>
    <w:rsid w:val="00306531"/>
    <w:rsid w:val="00326027"/>
    <w:rsid w:val="00327D5D"/>
    <w:rsid w:val="00344914"/>
    <w:rsid w:val="00346917"/>
    <w:rsid w:val="00352E9E"/>
    <w:rsid w:val="00353792"/>
    <w:rsid w:val="00354A7B"/>
    <w:rsid w:val="00360FDA"/>
    <w:rsid w:val="00362500"/>
    <w:rsid w:val="00363075"/>
    <w:rsid w:val="00365F72"/>
    <w:rsid w:val="00367D18"/>
    <w:rsid w:val="00372A1C"/>
    <w:rsid w:val="0037435A"/>
    <w:rsid w:val="00374500"/>
    <w:rsid w:val="00375656"/>
    <w:rsid w:val="00377D8F"/>
    <w:rsid w:val="00382846"/>
    <w:rsid w:val="00383679"/>
    <w:rsid w:val="00383A79"/>
    <w:rsid w:val="00383B7D"/>
    <w:rsid w:val="003A1E68"/>
    <w:rsid w:val="003B0122"/>
    <w:rsid w:val="003B0BE5"/>
    <w:rsid w:val="003B1681"/>
    <w:rsid w:val="003B1E02"/>
    <w:rsid w:val="003B4809"/>
    <w:rsid w:val="003B50BC"/>
    <w:rsid w:val="003B587F"/>
    <w:rsid w:val="003B647F"/>
    <w:rsid w:val="003B6946"/>
    <w:rsid w:val="003C0867"/>
    <w:rsid w:val="003C4309"/>
    <w:rsid w:val="003C6954"/>
    <w:rsid w:val="003C6A1C"/>
    <w:rsid w:val="003D18F1"/>
    <w:rsid w:val="003D48FC"/>
    <w:rsid w:val="003D4DDB"/>
    <w:rsid w:val="003D6D46"/>
    <w:rsid w:val="003E001E"/>
    <w:rsid w:val="003E2AC8"/>
    <w:rsid w:val="003E557E"/>
    <w:rsid w:val="003F7C4D"/>
    <w:rsid w:val="0040075F"/>
    <w:rsid w:val="0040204B"/>
    <w:rsid w:val="00403300"/>
    <w:rsid w:val="004043B7"/>
    <w:rsid w:val="004118C0"/>
    <w:rsid w:val="0041251F"/>
    <w:rsid w:val="0041270A"/>
    <w:rsid w:val="00414862"/>
    <w:rsid w:val="00417A31"/>
    <w:rsid w:val="0042004B"/>
    <w:rsid w:val="00433384"/>
    <w:rsid w:val="0043777D"/>
    <w:rsid w:val="004427D0"/>
    <w:rsid w:val="004440B4"/>
    <w:rsid w:val="00450066"/>
    <w:rsid w:val="004557C6"/>
    <w:rsid w:val="004563F7"/>
    <w:rsid w:val="0045767F"/>
    <w:rsid w:val="00461474"/>
    <w:rsid w:val="00463E9B"/>
    <w:rsid w:val="00465B5B"/>
    <w:rsid w:val="00467414"/>
    <w:rsid w:val="00470D3A"/>
    <w:rsid w:val="00473F30"/>
    <w:rsid w:val="00475559"/>
    <w:rsid w:val="0048148B"/>
    <w:rsid w:val="0048486A"/>
    <w:rsid w:val="0048591A"/>
    <w:rsid w:val="00486D86"/>
    <w:rsid w:val="0048721A"/>
    <w:rsid w:val="00491957"/>
    <w:rsid w:val="00491F9A"/>
    <w:rsid w:val="00492C38"/>
    <w:rsid w:val="004A0BD5"/>
    <w:rsid w:val="004A1BBF"/>
    <w:rsid w:val="004A73E5"/>
    <w:rsid w:val="004B2F24"/>
    <w:rsid w:val="004B3E68"/>
    <w:rsid w:val="004C19BF"/>
    <w:rsid w:val="004D2206"/>
    <w:rsid w:val="004D7640"/>
    <w:rsid w:val="004E1A9B"/>
    <w:rsid w:val="004E53CD"/>
    <w:rsid w:val="00500AB6"/>
    <w:rsid w:val="00510279"/>
    <w:rsid w:val="005155FB"/>
    <w:rsid w:val="00523907"/>
    <w:rsid w:val="00525595"/>
    <w:rsid w:val="00537C53"/>
    <w:rsid w:val="005438F5"/>
    <w:rsid w:val="00543FAC"/>
    <w:rsid w:val="00544901"/>
    <w:rsid w:val="005474D3"/>
    <w:rsid w:val="00547EBE"/>
    <w:rsid w:val="00550737"/>
    <w:rsid w:val="00550832"/>
    <w:rsid w:val="005542F3"/>
    <w:rsid w:val="00554A06"/>
    <w:rsid w:val="00555DD2"/>
    <w:rsid w:val="0056111D"/>
    <w:rsid w:val="00565ED9"/>
    <w:rsid w:val="005671D1"/>
    <w:rsid w:val="005675CF"/>
    <w:rsid w:val="00567B58"/>
    <w:rsid w:val="00571DE0"/>
    <w:rsid w:val="005760C6"/>
    <w:rsid w:val="00585A1B"/>
    <w:rsid w:val="00590E46"/>
    <w:rsid w:val="00591260"/>
    <w:rsid w:val="00591314"/>
    <w:rsid w:val="00593D40"/>
    <w:rsid w:val="00595F1B"/>
    <w:rsid w:val="005A0158"/>
    <w:rsid w:val="005A3BE0"/>
    <w:rsid w:val="005B1026"/>
    <w:rsid w:val="005B10AE"/>
    <w:rsid w:val="005B5F0F"/>
    <w:rsid w:val="005B63B9"/>
    <w:rsid w:val="005B642F"/>
    <w:rsid w:val="005C04C1"/>
    <w:rsid w:val="005C1785"/>
    <w:rsid w:val="005D15DF"/>
    <w:rsid w:val="005D2D87"/>
    <w:rsid w:val="005D5A65"/>
    <w:rsid w:val="005D681A"/>
    <w:rsid w:val="005D6A09"/>
    <w:rsid w:val="005E2B4B"/>
    <w:rsid w:val="005E4C2A"/>
    <w:rsid w:val="005E5F63"/>
    <w:rsid w:val="005E6BA1"/>
    <w:rsid w:val="005F0506"/>
    <w:rsid w:val="005F19E1"/>
    <w:rsid w:val="005F1AAC"/>
    <w:rsid w:val="005F66F7"/>
    <w:rsid w:val="00605867"/>
    <w:rsid w:val="0060596F"/>
    <w:rsid w:val="0060779A"/>
    <w:rsid w:val="006107E6"/>
    <w:rsid w:val="00612621"/>
    <w:rsid w:val="00620CC8"/>
    <w:rsid w:val="00622F13"/>
    <w:rsid w:val="0062521B"/>
    <w:rsid w:val="00625503"/>
    <w:rsid w:val="0062662D"/>
    <w:rsid w:val="00632E78"/>
    <w:rsid w:val="006344F1"/>
    <w:rsid w:val="00637186"/>
    <w:rsid w:val="00646DF4"/>
    <w:rsid w:val="00651B69"/>
    <w:rsid w:val="00651DE6"/>
    <w:rsid w:val="006523BB"/>
    <w:rsid w:val="0065347E"/>
    <w:rsid w:val="00654B49"/>
    <w:rsid w:val="00654C0F"/>
    <w:rsid w:val="00662505"/>
    <w:rsid w:val="0066674C"/>
    <w:rsid w:val="006760F7"/>
    <w:rsid w:val="006836E2"/>
    <w:rsid w:val="00685BA6"/>
    <w:rsid w:val="006861C7"/>
    <w:rsid w:val="00686DDF"/>
    <w:rsid w:val="00690055"/>
    <w:rsid w:val="00695BCB"/>
    <w:rsid w:val="00697B12"/>
    <w:rsid w:val="006A55BB"/>
    <w:rsid w:val="006A6343"/>
    <w:rsid w:val="006A669C"/>
    <w:rsid w:val="006A67A4"/>
    <w:rsid w:val="006A7613"/>
    <w:rsid w:val="006A76AB"/>
    <w:rsid w:val="006B2384"/>
    <w:rsid w:val="006B661A"/>
    <w:rsid w:val="006B7D00"/>
    <w:rsid w:val="006C6BC5"/>
    <w:rsid w:val="006D417B"/>
    <w:rsid w:val="006D52AE"/>
    <w:rsid w:val="006D61A2"/>
    <w:rsid w:val="006D63E9"/>
    <w:rsid w:val="006D6A7B"/>
    <w:rsid w:val="006E1DB4"/>
    <w:rsid w:val="006E3C44"/>
    <w:rsid w:val="006F0AB4"/>
    <w:rsid w:val="006F1CBE"/>
    <w:rsid w:val="006F20DC"/>
    <w:rsid w:val="006F30C3"/>
    <w:rsid w:val="006F5CE3"/>
    <w:rsid w:val="006F6CA9"/>
    <w:rsid w:val="007039E2"/>
    <w:rsid w:val="00705C1C"/>
    <w:rsid w:val="007509CE"/>
    <w:rsid w:val="00753DB6"/>
    <w:rsid w:val="00753EA7"/>
    <w:rsid w:val="00763847"/>
    <w:rsid w:val="00771FE3"/>
    <w:rsid w:val="0077430A"/>
    <w:rsid w:val="00776BDE"/>
    <w:rsid w:val="00776CE2"/>
    <w:rsid w:val="007838F5"/>
    <w:rsid w:val="0078558C"/>
    <w:rsid w:val="00786870"/>
    <w:rsid w:val="00792237"/>
    <w:rsid w:val="0079272A"/>
    <w:rsid w:val="007A10CE"/>
    <w:rsid w:val="007A14E3"/>
    <w:rsid w:val="007A1DA9"/>
    <w:rsid w:val="007B2252"/>
    <w:rsid w:val="007B79D9"/>
    <w:rsid w:val="007C304A"/>
    <w:rsid w:val="007C58C4"/>
    <w:rsid w:val="007C5C0D"/>
    <w:rsid w:val="007C5F07"/>
    <w:rsid w:val="007C67B1"/>
    <w:rsid w:val="007D19B6"/>
    <w:rsid w:val="007D4E27"/>
    <w:rsid w:val="007E354A"/>
    <w:rsid w:val="007E3F45"/>
    <w:rsid w:val="007E4835"/>
    <w:rsid w:val="007E69C8"/>
    <w:rsid w:val="007E6DAD"/>
    <w:rsid w:val="007F7B44"/>
    <w:rsid w:val="008008C4"/>
    <w:rsid w:val="00800FFA"/>
    <w:rsid w:val="0080444E"/>
    <w:rsid w:val="0080525B"/>
    <w:rsid w:val="00805683"/>
    <w:rsid w:val="008062C5"/>
    <w:rsid w:val="0080741A"/>
    <w:rsid w:val="008138CB"/>
    <w:rsid w:val="00814B5B"/>
    <w:rsid w:val="008234BF"/>
    <w:rsid w:val="008368B4"/>
    <w:rsid w:val="00836F34"/>
    <w:rsid w:val="00837374"/>
    <w:rsid w:val="00840935"/>
    <w:rsid w:val="00843E73"/>
    <w:rsid w:val="00844EBF"/>
    <w:rsid w:val="00847FF7"/>
    <w:rsid w:val="0085073F"/>
    <w:rsid w:val="00854F61"/>
    <w:rsid w:val="00855CBB"/>
    <w:rsid w:val="0086037D"/>
    <w:rsid w:val="00864202"/>
    <w:rsid w:val="00873B59"/>
    <w:rsid w:val="00873B6B"/>
    <w:rsid w:val="00875FF2"/>
    <w:rsid w:val="00876345"/>
    <w:rsid w:val="0087701F"/>
    <w:rsid w:val="00890DF1"/>
    <w:rsid w:val="00891315"/>
    <w:rsid w:val="0089283D"/>
    <w:rsid w:val="008A04AE"/>
    <w:rsid w:val="008A0ADC"/>
    <w:rsid w:val="008A1BAB"/>
    <w:rsid w:val="008A3C5C"/>
    <w:rsid w:val="008A485A"/>
    <w:rsid w:val="008B38B7"/>
    <w:rsid w:val="008B458E"/>
    <w:rsid w:val="008C4D4A"/>
    <w:rsid w:val="008C57AC"/>
    <w:rsid w:val="008D0997"/>
    <w:rsid w:val="008E06D1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37E5B"/>
    <w:rsid w:val="00942336"/>
    <w:rsid w:val="00945596"/>
    <w:rsid w:val="009474EF"/>
    <w:rsid w:val="0095229B"/>
    <w:rsid w:val="00954482"/>
    <w:rsid w:val="009603F3"/>
    <w:rsid w:val="00962626"/>
    <w:rsid w:val="0096613D"/>
    <w:rsid w:val="00972813"/>
    <w:rsid w:val="00972D3B"/>
    <w:rsid w:val="009767DD"/>
    <w:rsid w:val="00977AF2"/>
    <w:rsid w:val="00985FC5"/>
    <w:rsid w:val="00993BDD"/>
    <w:rsid w:val="00996ACF"/>
    <w:rsid w:val="009A6DFB"/>
    <w:rsid w:val="009B1CF9"/>
    <w:rsid w:val="009B1FC7"/>
    <w:rsid w:val="009B49B5"/>
    <w:rsid w:val="009B6EC0"/>
    <w:rsid w:val="009C23A7"/>
    <w:rsid w:val="009C401B"/>
    <w:rsid w:val="009C7FAF"/>
    <w:rsid w:val="009D4199"/>
    <w:rsid w:val="009E3091"/>
    <w:rsid w:val="009E43CC"/>
    <w:rsid w:val="009E5C50"/>
    <w:rsid w:val="009E5E6A"/>
    <w:rsid w:val="009F0DD5"/>
    <w:rsid w:val="009F14CF"/>
    <w:rsid w:val="009F1B95"/>
    <w:rsid w:val="009F6C05"/>
    <w:rsid w:val="00A07EAF"/>
    <w:rsid w:val="00A10D72"/>
    <w:rsid w:val="00A13CB6"/>
    <w:rsid w:val="00A14A1A"/>
    <w:rsid w:val="00A17676"/>
    <w:rsid w:val="00A22CDD"/>
    <w:rsid w:val="00A22F71"/>
    <w:rsid w:val="00A23CCD"/>
    <w:rsid w:val="00A25AEE"/>
    <w:rsid w:val="00A31EB1"/>
    <w:rsid w:val="00A3276C"/>
    <w:rsid w:val="00A33959"/>
    <w:rsid w:val="00A33AEA"/>
    <w:rsid w:val="00A44CA3"/>
    <w:rsid w:val="00A461CD"/>
    <w:rsid w:val="00A469C5"/>
    <w:rsid w:val="00A5317D"/>
    <w:rsid w:val="00A6284E"/>
    <w:rsid w:val="00A63DA8"/>
    <w:rsid w:val="00A63E81"/>
    <w:rsid w:val="00A8775A"/>
    <w:rsid w:val="00A92DA0"/>
    <w:rsid w:val="00A938AC"/>
    <w:rsid w:val="00AA5998"/>
    <w:rsid w:val="00AB07E7"/>
    <w:rsid w:val="00AB7127"/>
    <w:rsid w:val="00AD1BA8"/>
    <w:rsid w:val="00AD30D1"/>
    <w:rsid w:val="00AE4D70"/>
    <w:rsid w:val="00AF74A3"/>
    <w:rsid w:val="00B021F4"/>
    <w:rsid w:val="00B02A29"/>
    <w:rsid w:val="00B03522"/>
    <w:rsid w:val="00B04AD6"/>
    <w:rsid w:val="00B10BE2"/>
    <w:rsid w:val="00B13B7F"/>
    <w:rsid w:val="00B14CAA"/>
    <w:rsid w:val="00B163E4"/>
    <w:rsid w:val="00B257CE"/>
    <w:rsid w:val="00B2646A"/>
    <w:rsid w:val="00B406E6"/>
    <w:rsid w:val="00B43A38"/>
    <w:rsid w:val="00B4666B"/>
    <w:rsid w:val="00B4746C"/>
    <w:rsid w:val="00B52B21"/>
    <w:rsid w:val="00B65354"/>
    <w:rsid w:val="00B70BB4"/>
    <w:rsid w:val="00B71A0E"/>
    <w:rsid w:val="00B81765"/>
    <w:rsid w:val="00B832F5"/>
    <w:rsid w:val="00BA2266"/>
    <w:rsid w:val="00BA2FAB"/>
    <w:rsid w:val="00BA5496"/>
    <w:rsid w:val="00BA5BB0"/>
    <w:rsid w:val="00BA7172"/>
    <w:rsid w:val="00BB5E28"/>
    <w:rsid w:val="00BB6B80"/>
    <w:rsid w:val="00BC1266"/>
    <w:rsid w:val="00BC1D7A"/>
    <w:rsid w:val="00BD15F3"/>
    <w:rsid w:val="00BD412D"/>
    <w:rsid w:val="00BD5052"/>
    <w:rsid w:val="00BD7986"/>
    <w:rsid w:val="00BD79D3"/>
    <w:rsid w:val="00BE6523"/>
    <w:rsid w:val="00C00597"/>
    <w:rsid w:val="00C00833"/>
    <w:rsid w:val="00C02021"/>
    <w:rsid w:val="00C04F82"/>
    <w:rsid w:val="00C07F31"/>
    <w:rsid w:val="00C147B9"/>
    <w:rsid w:val="00C15AC0"/>
    <w:rsid w:val="00C16EAB"/>
    <w:rsid w:val="00C24E8A"/>
    <w:rsid w:val="00C26030"/>
    <w:rsid w:val="00C36516"/>
    <w:rsid w:val="00C41091"/>
    <w:rsid w:val="00C42CB7"/>
    <w:rsid w:val="00C450FB"/>
    <w:rsid w:val="00C51C4E"/>
    <w:rsid w:val="00C5276D"/>
    <w:rsid w:val="00C5398A"/>
    <w:rsid w:val="00C6232C"/>
    <w:rsid w:val="00C62F49"/>
    <w:rsid w:val="00C63056"/>
    <w:rsid w:val="00C65BF2"/>
    <w:rsid w:val="00C661D1"/>
    <w:rsid w:val="00C67B8B"/>
    <w:rsid w:val="00C73089"/>
    <w:rsid w:val="00C733FA"/>
    <w:rsid w:val="00C775BA"/>
    <w:rsid w:val="00C77BEF"/>
    <w:rsid w:val="00C81B84"/>
    <w:rsid w:val="00C85331"/>
    <w:rsid w:val="00C85A50"/>
    <w:rsid w:val="00C86476"/>
    <w:rsid w:val="00C916E1"/>
    <w:rsid w:val="00C94D46"/>
    <w:rsid w:val="00C96805"/>
    <w:rsid w:val="00CA443A"/>
    <w:rsid w:val="00CB2461"/>
    <w:rsid w:val="00CB37FD"/>
    <w:rsid w:val="00CC4D65"/>
    <w:rsid w:val="00CC61E7"/>
    <w:rsid w:val="00CD161D"/>
    <w:rsid w:val="00CD25AD"/>
    <w:rsid w:val="00CD3760"/>
    <w:rsid w:val="00CD3FFC"/>
    <w:rsid w:val="00CD4664"/>
    <w:rsid w:val="00CD7EC0"/>
    <w:rsid w:val="00CE584E"/>
    <w:rsid w:val="00CF02F3"/>
    <w:rsid w:val="00CF565C"/>
    <w:rsid w:val="00D0079A"/>
    <w:rsid w:val="00D016A3"/>
    <w:rsid w:val="00D060C7"/>
    <w:rsid w:val="00D127ED"/>
    <w:rsid w:val="00D215EB"/>
    <w:rsid w:val="00D35C77"/>
    <w:rsid w:val="00D41C67"/>
    <w:rsid w:val="00D428AE"/>
    <w:rsid w:val="00D45BA2"/>
    <w:rsid w:val="00D50425"/>
    <w:rsid w:val="00D509C6"/>
    <w:rsid w:val="00D50ED8"/>
    <w:rsid w:val="00D512E3"/>
    <w:rsid w:val="00D602C9"/>
    <w:rsid w:val="00D623F7"/>
    <w:rsid w:val="00D633C6"/>
    <w:rsid w:val="00D64248"/>
    <w:rsid w:val="00D908EB"/>
    <w:rsid w:val="00D92183"/>
    <w:rsid w:val="00D955A1"/>
    <w:rsid w:val="00DA26A9"/>
    <w:rsid w:val="00DB01FF"/>
    <w:rsid w:val="00DB34ED"/>
    <w:rsid w:val="00DC0302"/>
    <w:rsid w:val="00DC12BF"/>
    <w:rsid w:val="00DC7778"/>
    <w:rsid w:val="00DD5D12"/>
    <w:rsid w:val="00DE49F1"/>
    <w:rsid w:val="00DE552E"/>
    <w:rsid w:val="00DE7391"/>
    <w:rsid w:val="00DF2DB5"/>
    <w:rsid w:val="00DF5BF5"/>
    <w:rsid w:val="00DF6560"/>
    <w:rsid w:val="00E04CC0"/>
    <w:rsid w:val="00E136FF"/>
    <w:rsid w:val="00E2026B"/>
    <w:rsid w:val="00E318C6"/>
    <w:rsid w:val="00E32528"/>
    <w:rsid w:val="00E35F26"/>
    <w:rsid w:val="00E45F6A"/>
    <w:rsid w:val="00E4740F"/>
    <w:rsid w:val="00E53165"/>
    <w:rsid w:val="00E57F24"/>
    <w:rsid w:val="00E61EF7"/>
    <w:rsid w:val="00E663B4"/>
    <w:rsid w:val="00E74350"/>
    <w:rsid w:val="00E80CEB"/>
    <w:rsid w:val="00E819A7"/>
    <w:rsid w:val="00E85313"/>
    <w:rsid w:val="00E85321"/>
    <w:rsid w:val="00E86204"/>
    <w:rsid w:val="00EA0052"/>
    <w:rsid w:val="00EA5103"/>
    <w:rsid w:val="00EA6FB9"/>
    <w:rsid w:val="00EB32B0"/>
    <w:rsid w:val="00EB3D89"/>
    <w:rsid w:val="00EB5E6A"/>
    <w:rsid w:val="00EB6DEF"/>
    <w:rsid w:val="00EC2AD7"/>
    <w:rsid w:val="00ED7DE0"/>
    <w:rsid w:val="00EE7891"/>
    <w:rsid w:val="00EF49FE"/>
    <w:rsid w:val="00EF5341"/>
    <w:rsid w:val="00F02EAB"/>
    <w:rsid w:val="00F04908"/>
    <w:rsid w:val="00F07C21"/>
    <w:rsid w:val="00F12EF6"/>
    <w:rsid w:val="00F1388D"/>
    <w:rsid w:val="00F13916"/>
    <w:rsid w:val="00F168C2"/>
    <w:rsid w:val="00F2049A"/>
    <w:rsid w:val="00F2050B"/>
    <w:rsid w:val="00F21065"/>
    <w:rsid w:val="00F24CB4"/>
    <w:rsid w:val="00F31D54"/>
    <w:rsid w:val="00F43465"/>
    <w:rsid w:val="00F45475"/>
    <w:rsid w:val="00F47165"/>
    <w:rsid w:val="00F51050"/>
    <w:rsid w:val="00F53AAB"/>
    <w:rsid w:val="00F64E72"/>
    <w:rsid w:val="00F70C7D"/>
    <w:rsid w:val="00F80CCD"/>
    <w:rsid w:val="00F85D8A"/>
    <w:rsid w:val="00F873F0"/>
    <w:rsid w:val="00F9272E"/>
    <w:rsid w:val="00F95236"/>
    <w:rsid w:val="00F96799"/>
    <w:rsid w:val="00F97743"/>
    <w:rsid w:val="00F97C1D"/>
    <w:rsid w:val="00FA0C98"/>
    <w:rsid w:val="00FA3ECF"/>
    <w:rsid w:val="00FA6114"/>
    <w:rsid w:val="00FA6DAF"/>
    <w:rsid w:val="00FB1BDD"/>
    <w:rsid w:val="00FB4E0B"/>
    <w:rsid w:val="00FB685D"/>
    <w:rsid w:val="00FC1F7C"/>
    <w:rsid w:val="00FC6884"/>
    <w:rsid w:val="00FE1185"/>
    <w:rsid w:val="00FE62F3"/>
    <w:rsid w:val="00FE6A63"/>
    <w:rsid w:val="00FF71D2"/>
    <w:rsid w:val="03DB240E"/>
    <w:rsid w:val="08B31007"/>
    <w:rsid w:val="0B917709"/>
    <w:rsid w:val="0D10137A"/>
    <w:rsid w:val="0E5055E0"/>
    <w:rsid w:val="120E7E53"/>
    <w:rsid w:val="15C26F8A"/>
    <w:rsid w:val="1A2226ED"/>
    <w:rsid w:val="1B2418A5"/>
    <w:rsid w:val="1FBFC074"/>
    <w:rsid w:val="23360FB7"/>
    <w:rsid w:val="265363FD"/>
    <w:rsid w:val="27220C4A"/>
    <w:rsid w:val="295D729E"/>
    <w:rsid w:val="33305A23"/>
    <w:rsid w:val="36FB9E1F"/>
    <w:rsid w:val="370879EE"/>
    <w:rsid w:val="3BDA652C"/>
    <w:rsid w:val="3BFA3B96"/>
    <w:rsid w:val="3CEF3472"/>
    <w:rsid w:val="3EFF16E9"/>
    <w:rsid w:val="54BF35C8"/>
    <w:rsid w:val="5B12588A"/>
    <w:rsid w:val="5C172F4C"/>
    <w:rsid w:val="69CB5582"/>
    <w:rsid w:val="6D3C6797"/>
    <w:rsid w:val="6F7E6BF3"/>
    <w:rsid w:val="77644920"/>
    <w:rsid w:val="77CF73AC"/>
    <w:rsid w:val="78FF0116"/>
    <w:rsid w:val="7BFF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34F590"/>
  <w15:docId w15:val="{4591DC95-337B-4F14-9AE1-C3ADFACB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adjustRightInd w:val="0"/>
      <w:snapToGrid w:val="0"/>
      <w:spacing w:line="360" w:lineRule="auto"/>
      <w:ind w:firstLineChars="200" w:firstLine="42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qFormat/>
    <w:pPr>
      <w:jc w:val="left"/>
    </w:pPr>
  </w:style>
  <w:style w:type="paragraph" w:styleId="a5">
    <w:name w:val="footer"/>
    <w:basedOn w:val="a"/>
    <w:link w:val="a6"/>
    <w:autoRedefine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HTML">
    <w:name w:val="HTML Preformatted"/>
    <w:basedOn w:val="a"/>
    <w:autoRedefine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9">
    <w:name w:val="Title"/>
    <w:basedOn w:val="a"/>
    <w:next w:val="a"/>
    <w:link w:val="aa"/>
    <w:autoRedefine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b">
    <w:name w:val="annotation subject"/>
    <w:basedOn w:val="a3"/>
    <w:next w:val="a3"/>
    <w:link w:val="ac"/>
    <w:autoRedefine/>
    <w:qFormat/>
    <w:rPr>
      <w:b/>
      <w:bCs/>
    </w:rPr>
  </w:style>
  <w:style w:type="table" w:styleId="ad">
    <w:name w:val="Table Grid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autoRedefine/>
    <w:qFormat/>
    <w:rPr>
      <w:color w:val="0000FF" w:themeColor="hyperlink"/>
      <w:u w:val="single"/>
    </w:rPr>
  </w:style>
  <w:style w:type="character" w:styleId="af">
    <w:name w:val="annotation reference"/>
    <w:basedOn w:val="a0"/>
    <w:autoRedefine/>
    <w:qFormat/>
    <w:rPr>
      <w:sz w:val="21"/>
      <w:szCs w:val="21"/>
    </w:rPr>
  </w:style>
  <w:style w:type="paragraph" w:customStyle="1" w:styleId="Style6">
    <w:name w:val="_Style 6"/>
    <w:basedOn w:val="a"/>
    <w:autoRedefine/>
    <w:uiPriority w:val="34"/>
    <w:qFormat/>
    <w:rPr>
      <w:rFonts w:ascii="Calibri" w:hAnsi="Calibri"/>
      <w:szCs w:val="22"/>
    </w:rPr>
  </w:style>
  <w:style w:type="paragraph" w:customStyle="1" w:styleId="CharCharChar">
    <w:name w:val="Char Char Char"/>
    <w:basedOn w:val="a"/>
    <w:autoRedefine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autoRedefine/>
    <w:qFormat/>
  </w:style>
  <w:style w:type="paragraph" w:customStyle="1" w:styleId="CharCharChar1">
    <w:name w:val="Char Char Char1"/>
    <w:basedOn w:val="a"/>
    <w:autoRedefine/>
    <w:qFormat/>
  </w:style>
  <w:style w:type="character" w:customStyle="1" w:styleId="a6">
    <w:name w:val="页脚 字符"/>
    <w:basedOn w:val="a0"/>
    <w:link w:val="a5"/>
    <w:autoRedefine/>
    <w:qFormat/>
    <w:rPr>
      <w:kern w:val="2"/>
      <w:sz w:val="18"/>
      <w:szCs w:val="18"/>
    </w:rPr>
  </w:style>
  <w:style w:type="character" w:customStyle="1" w:styleId="a8">
    <w:name w:val="页眉 字符"/>
    <w:basedOn w:val="a0"/>
    <w:link w:val="a7"/>
    <w:autoRedefine/>
    <w:qFormat/>
    <w:rPr>
      <w:kern w:val="2"/>
      <w:sz w:val="18"/>
      <w:szCs w:val="18"/>
    </w:rPr>
  </w:style>
  <w:style w:type="character" w:customStyle="1" w:styleId="1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styleId="af0">
    <w:name w:val="List Paragraph"/>
    <w:basedOn w:val="a"/>
    <w:autoRedefine/>
    <w:uiPriority w:val="99"/>
    <w:unhideWhenUsed/>
    <w:qFormat/>
  </w:style>
  <w:style w:type="character" w:customStyle="1" w:styleId="a4">
    <w:name w:val="批注文字 字符"/>
    <w:basedOn w:val="a0"/>
    <w:link w:val="a3"/>
    <w:autoRedefine/>
    <w:qFormat/>
    <w:rPr>
      <w:kern w:val="2"/>
      <w:sz w:val="21"/>
      <w:szCs w:val="24"/>
    </w:rPr>
  </w:style>
  <w:style w:type="character" w:customStyle="1" w:styleId="ac">
    <w:name w:val="批注主题 字符"/>
    <w:basedOn w:val="a4"/>
    <w:link w:val="ab"/>
    <w:autoRedefine/>
    <w:qFormat/>
    <w:rPr>
      <w:b/>
      <w:bCs/>
      <w:kern w:val="2"/>
      <w:sz w:val="21"/>
      <w:szCs w:val="24"/>
    </w:rPr>
  </w:style>
  <w:style w:type="paragraph" w:customStyle="1" w:styleId="12">
    <w:name w:val="修订1"/>
    <w:autoRedefine/>
    <w:hidden/>
    <w:uiPriority w:val="99"/>
    <w:unhideWhenUsed/>
    <w:qFormat/>
    <w:rPr>
      <w:kern w:val="2"/>
      <w:sz w:val="21"/>
      <w:szCs w:val="24"/>
    </w:rPr>
  </w:style>
  <w:style w:type="character" w:customStyle="1" w:styleId="10">
    <w:name w:val="标题 1 字符"/>
    <w:basedOn w:val="a0"/>
    <w:link w:val="1"/>
    <w:autoRedefine/>
    <w:qFormat/>
    <w:rPr>
      <w:b/>
      <w:bCs/>
      <w:kern w:val="44"/>
      <w:sz w:val="44"/>
      <w:szCs w:val="44"/>
    </w:rPr>
  </w:style>
  <w:style w:type="character" w:customStyle="1" w:styleId="aa">
    <w:name w:val="标题 字符"/>
    <w:basedOn w:val="a0"/>
    <w:link w:val="a9"/>
    <w:autoRedefine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14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443</Words>
  <Characters>2526</Characters>
  <Application>Microsoft Office Word</Application>
  <DocSecurity>0</DocSecurity>
  <Lines>21</Lines>
  <Paragraphs>5</Paragraphs>
  <ScaleCrop>false</ScaleCrop>
  <Company>微软中国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义英 谢</cp:lastModifiedBy>
  <cp:revision>2</cp:revision>
  <cp:lastPrinted>2024-10-29T09:59:00Z</cp:lastPrinted>
  <dcterms:created xsi:type="dcterms:W3CDTF">2024-10-29T10:20:00Z</dcterms:created>
  <dcterms:modified xsi:type="dcterms:W3CDTF">2024-10-29T10:20:00Z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3378DF92D5494EA79182626F58817F75</vt:lpwstr>
  </property>
</Properties>
</file>