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3A332">
      <w:pPr>
        <w:spacing w:before="156" w:beforeLines="50" w:after="156" w:afterLines="50" w:line="400" w:lineRule="exact"/>
        <w:rPr>
          <w:rFonts w:ascii="宋体" w:hAnsi="宋体"/>
          <w:b/>
          <w:iCs/>
          <w:color w:val="000000"/>
          <w:sz w:val="24"/>
          <w:szCs w:val="22"/>
        </w:rPr>
      </w:pPr>
      <w:r>
        <w:rPr>
          <w:rFonts w:hint="eastAsia" w:ascii="宋体" w:hAnsi="宋体"/>
          <w:b/>
          <w:iCs/>
          <w:color w:val="000000"/>
          <w:sz w:val="24"/>
          <w:szCs w:val="22"/>
        </w:rPr>
        <w:t xml:space="preserve">证券代码：688188                                </w:t>
      </w:r>
      <w:r>
        <w:rPr>
          <w:rFonts w:ascii="宋体" w:hAnsi="宋体"/>
          <w:b/>
          <w:iCs/>
          <w:color w:val="000000"/>
          <w:sz w:val="24"/>
          <w:szCs w:val="22"/>
        </w:rPr>
        <w:t xml:space="preserve">  </w:t>
      </w:r>
      <w:r>
        <w:rPr>
          <w:rFonts w:hint="eastAsia" w:ascii="宋体" w:hAnsi="宋体"/>
          <w:b/>
          <w:iCs/>
          <w:color w:val="000000"/>
          <w:sz w:val="24"/>
          <w:szCs w:val="22"/>
        </w:rPr>
        <w:t xml:space="preserve">证券简称：柏楚电子 </w:t>
      </w:r>
    </w:p>
    <w:p w14:paraId="027FE76B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</w:p>
    <w:p w14:paraId="4A25741D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上海柏楚电子科技股份有限公司</w:t>
      </w:r>
    </w:p>
    <w:p w14:paraId="6F07B510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20BD2A0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</w:p>
    <w:p w14:paraId="3FFE12CF">
      <w:pPr>
        <w:spacing w:line="400" w:lineRule="exact"/>
        <w:ind w:firstLine="480" w:firstLineChars="200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编号：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2024-003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7A73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CDD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7B67161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53406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48DCF2C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766E16D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0F86A34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  <w:p w14:paraId="29C0926E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="宋体" w:hAnsi="宋体"/>
                <w:sz w:val="24"/>
              </w:rPr>
              <w:t>其他 （</w:t>
            </w:r>
            <w:r>
              <w:rPr>
                <w:rFonts w:hint="eastAsia" w:ascii="宋体" w:hAnsi="宋体"/>
                <w:sz w:val="24"/>
                <w:u w:val="single"/>
              </w:rPr>
              <w:t>电话会议）</w:t>
            </w:r>
          </w:p>
        </w:tc>
      </w:tr>
      <w:tr w14:paraId="22B6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9432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及人数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198C8F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华西证券股份有限公司，</w:t>
            </w:r>
            <w:r>
              <w:rPr>
                <w:rFonts w:hint="eastAsia"/>
              </w:rPr>
              <w:t>申万宏源证券有限公司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中信证券股份有限公司</w:t>
            </w:r>
            <w:r>
              <w:rPr>
                <w:rFonts w:hint="eastAsia"/>
                <w:lang w:eastAsia="zh-CN"/>
              </w:rPr>
              <w:t>、中信建投证券股份有限公司、易方达基金管理有限公司、交银施罗德基金、上海瓴仁私募基金管理合伙企业（有限合伙）、平安养老保险股份有限公司、工银瑞信基金管理有限公司、中信保诚基金、中国人寿养老保险股份有限公司、博时基金管理有限公司、嘉实基金管理有限公司、华泰柏瑞基金管理有限公司、汇添富基金管理股份有限公司、富国基金管理有限公司、Temasek、GIC、T. Rowe Price 、Point72 、PXcaptial、Principal、William Blair</w:t>
            </w:r>
            <w:r>
              <w:rPr>
                <w:rFonts w:hint="eastAsia"/>
                <w:lang w:val="en-US" w:eastAsia="zh-CN"/>
              </w:rPr>
              <w:t>等121家机构，共计171人次。</w:t>
            </w:r>
          </w:p>
        </w:tc>
      </w:tr>
      <w:tr w14:paraId="3678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2CC3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77ABAF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 上午1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0-1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00</w:t>
            </w:r>
          </w:p>
          <w:p w14:paraId="2BC84FC4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2024年10月30日 下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13:30-15:00</w:t>
            </w:r>
          </w:p>
        </w:tc>
      </w:tr>
      <w:tr w14:paraId="22F5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532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760726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电话会议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）、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线下会议（2024年10月30日）</w:t>
            </w:r>
          </w:p>
        </w:tc>
      </w:tr>
      <w:tr w14:paraId="1D52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926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E7534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董事会秘书：周荇</w:t>
            </w:r>
          </w:p>
          <w:p w14:paraId="308EE32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证券事务代表：周志禹</w:t>
            </w:r>
          </w:p>
        </w:tc>
      </w:tr>
      <w:tr w14:paraId="2A8B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84BA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8235F9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F54CED"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交流的主要内容：</w:t>
            </w:r>
          </w:p>
          <w:p w14:paraId="46DBAE3F"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第一部分：公司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2024年三年度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业绩基本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情况介绍</w:t>
            </w:r>
          </w:p>
          <w:p w14:paraId="0A8F097D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2024年前三季度公司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营业收入累计约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13亿元，同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比增长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31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.19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%，归属于上市公司股东的净利润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7.26亿元，同比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增长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26.84%，归属于上市公司股东的扣除非经常性损益的净利润同比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增长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30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.97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%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。</w:t>
            </w:r>
            <w:bookmarkStart w:id="0" w:name="_GoBack"/>
            <w:bookmarkEnd w:id="0"/>
          </w:p>
          <w:p w14:paraId="0A18FD3D"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第二部分：提问与回答环节</w:t>
            </w:r>
          </w:p>
          <w:p w14:paraId="6E2AF4E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1、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公司24年第一季度和第三季度收入结构是否发生变化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？</w:t>
            </w:r>
          </w:p>
          <w:p w14:paraId="6B85593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第三季度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半年度来看收入结构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差异不大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中低功率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系统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、高功率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系统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+切割头收入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占营业收入的主要构成部分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。公司产品出货形式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也更多采用了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系统+切割头组合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形式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各系列产品平稳增长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。</w:t>
            </w:r>
          </w:p>
          <w:p w14:paraId="48E10B5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目前公司的竞争格局是否发生变化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？</w:t>
            </w:r>
          </w:p>
          <w:p w14:paraId="0F36DA92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中低功率系统和高功率系统产品市占率持续领先。公司也一直在和上下游沟通拓展新的运用场景，加快产品技术迭代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。</w:t>
            </w:r>
          </w:p>
          <w:p w14:paraId="26997C0E">
            <w:pPr>
              <w:numPr>
                <w:ilvl w:val="0"/>
                <w:numId w:val="1"/>
              </w:num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目前下游客户对公司智能焊接机器人控制系统业务需求情况和评价？</w:t>
            </w:r>
          </w:p>
          <w:p w14:paraId="7CB6EE8D">
            <w:pPr>
              <w:numPr>
                <w:ilvl w:val="0"/>
                <w:numId w:val="0"/>
              </w:numPr>
              <w:spacing w:line="480" w:lineRule="atLeast"/>
              <w:rPr>
                <w:rFonts w:hint="default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答：报告期内与公司已形成交易的客户数量逐步增加，普遍反馈同公司业务合作顺畅，同时下游机器人本体厂商和设备集成商中已有少量出海案例。</w:t>
            </w:r>
          </w:p>
          <w:p w14:paraId="4AD52842">
            <w:pPr>
              <w:widowControl w:val="0"/>
              <w:numPr>
                <w:ilvl w:val="0"/>
                <w:numId w:val="0"/>
              </w:numPr>
              <w:spacing w:line="480" w:lineRule="atLeast"/>
              <w:jc w:val="both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4、公司对海外的战略定位是否有调整？</w:t>
            </w:r>
          </w:p>
          <w:p w14:paraId="0A2E1BF3">
            <w:pPr>
              <w:widowControl w:val="0"/>
              <w:numPr>
                <w:ilvl w:val="0"/>
                <w:numId w:val="0"/>
              </w:numPr>
              <w:spacing w:line="480" w:lineRule="atLeast"/>
              <w:jc w:val="both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答：公司层面未来三年会始终将海外市场的战略定位放在较重要的位置，市场需求层面看，海外仍然有较大的需求，因此，近几年的海外业务成长性预期会好于国内。</w:t>
            </w:r>
          </w:p>
          <w:p w14:paraId="7778423A">
            <w:pPr>
              <w:widowControl w:val="0"/>
              <w:numPr>
                <w:ilvl w:val="0"/>
                <w:numId w:val="0"/>
              </w:numPr>
              <w:spacing w:line="480" w:lineRule="atLeast"/>
              <w:jc w:val="both"/>
              <w:rPr>
                <w:rFonts w:hint="default" w:ascii="宋体" w:hAnsi="宋体"/>
                <w:bCs/>
                <w:iCs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5、明后年人员数量变动的展望？</w:t>
            </w:r>
          </w:p>
          <w:p w14:paraId="31B35F66">
            <w:pPr>
              <w:widowControl w:val="0"/>
              <w:numPr>
                <w:ilvl w:val="0"/>
                <w:numId w:val="0"/>
              </w:numPr>
              <w:spacing w:line="480" w:lineRule="atLeast"/>
              <w:jc w:val="both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答：2024年公司约1000人左右，相比2023年底人数有所增长。目前公司处于基于业务需求做人员补充的状态，2025年预计基本符合这个趋势。部分业务目前也已经进入收获层面，招人需求量会更精，要求更高。</w:t>
            </w:r>
          </w:p>
        </w:tc>
      </w:tr>
      <w:tr w14:paraId="049E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C70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0ED9C8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无。</w:t>
            </w:r>
          </w:p>
        </w:tc>
      </w:tr>
      <w:tr w14:paraId="3F26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049E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44571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60E53F9C">
      <w:pPr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93684"/>
    <w:multiLevelType w:val="singleLevel"/>
    <w:tmpl w:val="01D9368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YzcxNmFjOWU0MDU0NjVlZWM4NTczMTA1ZTYwMDYifQ=="/>
  </w:docVars>
  <w:rsids>
    <w:rsidRoot w:val="00DB361F"/>
    <w:rsid w:val="00000601"/>
    <w:rsid w:val="0000207D"/>
    <w:rsid w:val="00003F99"/>
    <w:rsid w:val="00005DB8"/>
    <w:rsid w:val="001417C0"/>
    <w:rsid w:val="001A2E1E"/>
    <w:rsid w:val="001D3494"/>
    <w:rsid w:val="00293E36"/>
    <w:rsid w:val="00295CED"/>
    <w:rsid w:val="002A2C74"/>
    <w:rsid w:val="002B0130"/>
    <w:rsid w:val="002C09B8"/>
    <w:rsid w:val="002D7C22"/>
    <w:rsid w:val="002F3005"/>
    <w:rsid w:val="003035EA"/>
    <w:rsid w:val="003609BA"/>
    <w:rsid w:val="003E70FC"/>
    <w:rsid w:val="00412DA5"/>
    <w:rsid w:val="004D6884"/>
    <w:rsid w:val="0054490C"/>
    <w:rsid w:val="005964DF"/>
    <w:rsid w:val="0060334D"/>
    <w:rsid w:val="00652AE8"/>
    <w:rsid w:val="006903D5"/>
    <w:rsid w:val="006A78DE"/>
    <w:rsid w:val="00752966"/>
    <w:rsid w:val="00785F1B"/>
    <w:rsid w:val="007B2ED3"/>
    <w:rsid w:val="008107E8"/>
    <w:rsid w:val="008A37DE"/>
    <w:rsid w:val="008B0754"/>
    <w:rsid w:val="009148ED"/>
    <w:rsid w:val="009967E3"/>
    <w:rsid w:val="009A490D"/>
    <w:rsid w:val="009B0B11"/>
    <w:rsid w:val="009E743C"/>
    <w:rsid w:val="00A247FA"/>
    <w:rsid w:val="00A6539A"/>
    <w:rsid w:val="00AC7C57"/>
    <w:rsid w:val="00AE4ED3"/>
    <w:rsid w:val="00B26A5B"/>
    <w:rsid w:val="00BB2FD4"/>
    <w:rsid w:val="00CF1F10"/>
    <w:rsid w:val="00D039FA"/>
    <w:rsid w:val="00DA041C"/>
    <w:rsid w:val="00DA4F8C"/>
    <w:rsid w:val="00DB361F"/>
    <w:rsid w:val="00E33901"/>
    <w:rsid w:val="00E52443"/>
    <w:rsid w:val="00EB0D2E"/>
    <w:rsid w:val="00ED430E"/>
    <w:rsid w:val="00F514E1"/>
    <w:rsid w:val="030148E2"/>
    <w:rsid w:val="068B3FC1"/>
    <w:rsid w:val="068E795F"/>
    <w:rsid w:val="07A71079"/>
    <w:rsid w:val="0C547201"/>
    <w:rsid w:val="131B45D5"/>
    <w:rsid w:val="1A397B11"/>
    <w:rsid w:val="1A4268EB"/>
    <w:rsid w:val="1B845309"/>
    <w:rsid w:val="1CA613B3"/>
    <w:rsid w:val="1CF71A15"/>
    <w:rsid w:val="1D293D92"/>
    <w:rsid w:val="1FD67957"/>
    <w:rsid w:val="23E34C9B"/>
    <w:rsid w:val="39957106"/>
    <w:rsid w:val="3B992858"/>
    <w:rsid w:val="3DBF6F19"/>
    <w:rsid w:val="4A9706A3"/>
    <w:rsid w:val="56B84DAE"/>
    <w:rsid w:val="5B065111"/>
    <w:rsid w:val="71FE04BF"/>
    <w:rsid w:val="761107C1"/>
    <w:rsid w:val="78FB2611"/>
    <w:rsid w:val="7CD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EFA9-4F87-439C-AC01-3D44CAB8A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1060</Words>
  <Characters>1212</Characters>
  <Lines>9</Lines>
  <Paragraphs>2</Paragraphs>
  <TotalTime>13</TotalTime>
  <ScaleCrop>false</ScaleCrop>
  <LinksUpToDate>false</LinksUpToDate>
  <CharactersWithSpaces>1337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2023-10-13T07:56:00Z</dcterms:created>
  <dc:creator>skd004</dc:creator>
  <cp:lastModifiedBy>周志禹</cp:lastModifiedBy>
  <dcterms:modified xsi:type="dcterms:W3CDTF">2024-10-30T08:51:44Z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E3826DB5C5A1495FB494362CD2152BCA_13</vt:lpwstr>
  </property>
</Properties>
</file>