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CE59">
      <w:pPr>
        <w:spacing w:line="360" w:lineRule="auto"/>
        <w:rPr>
          <w:rFonts w:ascii="Times New Roman" w:hAnsi="Times New Roman" w:eastAsiaTheme="minorEastAsia"/>
          <w:b/>
          <w:bCs/>
          <w:sz w:val="24"/>
        </w:rPr>
      </w:pPr>
    </w:p>
    <w:p w14:paraId="26A8EE84">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深圳市</w:t>
      </w:r>
      <w:bookmarkStart w:id="0" w:name="_GoBack"/>
      <w:bookmarkEnd w:id="0"/>
      <w:r>
        <w:rPr>
          <w:rFonts w:ascii="Times New Roman" w:hAnsi="Times New Roman" w:eastAsiaTheme="minorEastAsia"/>
          <w:b/>
          <w:bCs/>
          <w:sz w:val="24"/>
        </w:rPr>
        <w:t>亚辉龙生物科技股份有限公司</w:t>
      </w:r>
    </w:p>
    <w:p w14:paraId="5A93B7AC">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投资者关系活动记录表</w:t>
      </w:r>
    </w:p>
    <w:p w14:paraId="121A1A3A">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（202</w:t>
      </w:r>
      <w:r>
        <w:rPr>
          <w:rFonts w:hint="eastAsia" w:ascii="Times New Roman" w:hAnsi="Times New Roman" w:eastAsiaTheme="minorEastAsia"/>
          <w:b/>
          <w:bCs/>
          <w:sz w:val="24"/>
        </w:rPr>
        <w:t>4</w:t>
      </w:r>
      <w:r>
        <w:rPr>
          <w:rFonts w:ascii="Times New Roman" w:hAnsi="Times New Roman" w:eastAsiaTheme="minorEastAsia"/>
          <w:b/>
          <w:bCs/>
          <w:sz w:val="24"/>
        </w:rPr>
        <w:t>年</w:t>
      </w:r>
      <w:r>
        <w:rPr>
          <w:rFonts w:hint="eastAsia" w:ascii="Times New Roman" w:hAnsi="Times New Roman" w:eastAsiaTheme="minorEastAsia"/>
          <w:b/>
          <w:bCs/>
          <w:sz w:val="24"/>
          <w:lang w:val="en-US" w:eastAsia="zh-CN"/>
        </w:rPr>
        <w:t>10</w:t>
      </w:r>
      <w:r>
        <w:rPr>
          <w:rFonts w:ascii="Times New Roman" w:hAnsi="Times New Roman" w:eastAsiaTheme="minorEastAsia"/>
          <w:b/>
          <w:bCs/>
          <w:sz w:val="24"/>
        </w:rPr>
        <w:t>月</w:t>
      </w:r>
      <w:r>
        <w:rPr>
          <w:rFonts w:hint="eastAsia" w:ascii="Times New Roman" w:hAnsi="Times New Roman" w:eastAsiaTheme="minorEastAsia"/>
          <w:b/>
          <w:bCs/>
          <w:sz w:val="24"/>
          <w:lang w:val="en-US" w:eastAsia="zh-CN"/>
        </w:rPr>
        <w:t>30</w:t>
      </w:r>
      <w:r>
        <w:rPr>
          <w:rFonts w:hint="eastAsia" w:ascii="Times New Roman" w:hAnsi="Times New Roman" w:eastAsiaTheme="minorEastAsia"/>
          <w:b/>
          <w:bCs/>
          <w:sz w:val="24"/>
        </w:rPr>
        <w:t>日</w:t>
      </w:r>
      <w:r>
        <w:rPr>
          <w:rFonts w:ascii="Times New Roman" w:hAnsi="Times New Roman" w:eastAsiaTheme="minorEastAsia"/>
          <w:b/>
          <w:bCs/>
          <w:sz w:val="24"/>
        </w:rPr>
        <w:t>）</w:t>
      </w:r>
    </w:p>
    <w:p w14:paraId="2BBC296C">
      <w:pPr>
        <w:spacing w:line="360" w:lineRule="auto"/>
        <w:ind w:firstLine="482" w:firstLineChars="200"/>
        <w:jc w:val="center"/>
        <w:rPr>
          <w:rFonts w:ascii="Times New Roman" w:hAnsi="Times New Roman" w:eastAsiaTheme="minorEastAsia"/>
          <w:b/>
          <w:bCs/>
          <w:sz w:val="24"/>
        </w:rPr>
      </w:pPr>
    </w:p>
    <w:p w14:paraId="5061E0C7">
      <w:pPr>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 xml:space="preserve">股票简称：亚辉龙                       股票代码：688575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461"/>
      </w:tblGrid>
      <w:tr w14:paraId="727C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Align w:val="center"/>
          </w:tcPr>
          <w:p w14:paraId="58C40CD8">
            <w:pPr>
              <w:spacing w:line="360" w:lineRule="auto"/>
              <w:jc w:val="center"/>
              <w:rPr>
                <w:rFonts w:ascii="Times New Roman" w:hAnsi="Times New Roman"/>
                <w:b/>
                <w:bCs/>
                <w:sz w:val="24"/>
              </w:rPr>
            </w:pPr>
            <w:r>
              <w:rPr>
                <w:rFonts w:ascii="Times New Roman" w:hAnsi="Times New Roman"/>
                <w:b/>
                <w:bCs/>
                <w:sz w:val="24"/>
              </w:rPr>
              <w:t>投资者关系活</w:t>
            </w:r>
          </w:p>
          <w:p w14:paraId="05173E0E">
            <w:pPr>
              <w:spacing w:line="360" w:lineRule="auto"/>
              <w:jc w:val="center"/>
              <w:rPr>
                <w:rFonts w:ascii="Times New Roman" w:hAnsi="Times New Roman"/>
                <w:b/>
                <w:bCs/>
                <w:sz w:val="24"/>
              </w:rPr>
            </w:pPr>
            <w:r>
              <w:rPr>
                <w:rFonts w:ascii="Times New Roman" w:hAnsi="Times New Roman"/>
                <w:b/>
                <w:bCs/>
                <w:sz w:val="24"/>
              </w:rPr>
              <w:t>动类别</w:t>
            </w:r>
          </w:p>
        </w:tc>
        <w:tc>
          <w:tcPr>
            <w:tcW w:w="6461" w:type="dxa"/>
          </w:tcPr>
          <w:p w14:paraId="3ECF4020">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特定对象调研        </w:t>
            </w:r>
            <w:r>
              <w:rPr>
                <w:rFonts w:ascii="Times New Roman" w:hAnsi="Times New Roman"/>
                <w:sz w:val="24"/>
              </w:rPr>
              <w:sym w:font="Wingdings 2" w:char="00A3"/>
            </w:r>
            <w:r>
              <w:rPr>
                <w:rFonts w:ascii="Times New Roman" w:hAnsi="Times New Roman"/>
                <w:sz w:val="24"/>
              </w:rPr>
              <w:t xml:space="preserve"> 分析师会议</w:t>
            </w:r>
          </w:p>
          <w:p w14:paraId="265907FA">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媒体采访            </w:t>
            </w:r>
            <w:r>
              <w:rPr>
                <w:rFonts w:ascii="Times New Roman" w:hAnsi="Times New Roman"/>
                <w:sz w:val="24"/>
              </w:rPr>
              <w:sym w:font="Wingdings 2" w:char="0052"/>
            </w:r>
            <w:r>
              <w:rPr>
                <w:rFonts w:ascii="Times New Roman" w:hAnsi="Times New Roman"/>
                <w:sz w:val="24"/>
              </w:rPr>
              <w:t xml:space="preserve"> 业绩说明会</w:t>
            </w:r>
          </w:p>
          <w:p w14:paraId="320B68AB">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新闻发布会          </w:t>
            </w:r>
            <w:r>
              <w:rPr>
                <w:rFonts w:ascii="Times New Roman" w:hAnsi="Times New Roman"/>
                <w:sz w:val="24"/>
              </w:rPr>
              <w:sym w:font="Wingdings 2" w:char="00A3"/>
            </w:r>
            <w:r>
              <w:rPr>
                <w:rFonts w:ascii="Times New Roman" w:hAnsi="Times New Roman"/>
                <w:sz w:val="24"/>
              </w:rPr>
              <w:t xml:space="preserve"> 路演活动</w:t>
            </w:r>
          </w:p>
          <w:p w14:paraId="0ED132A5">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现场参观            </w:t>
            </w:r>
            <w:r>
              <w:rPr>
                <w:rFonts w:ascii="Times New Roman" w:hAnsi="Times New Roman"/>
                <w:sz w:val="24"/>
              </w:rPr>
              <w:sym w:font="Wingdings 2" w:char="00A3"/>
            </w:r>
            <w:r>
              <w:rPr>
                <w:rFonts w:ascii="Times New Roman" w:hAnsi="Times New Roman"/>
                <w:sz w:val="24"/>
              </w:rPr>
              <w:t xml:space="preserve"> 其他：</w:t>
            </w:r>
          </w:p>
        </w:tc>
      </w:tr>
      <w:tr w14:paraId="718D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71D6BC7A">
            <w:pPr>
              <w:jc w:val="center"/>
              <w:rPr>
                <w:rFonts w:ascii="Times New Roman" w:hAnsi="Times New Roman"/>
                <w:sz w:val="24"/>
              </w:rPr>
            </w:pPr>
            <w:r>
              <w:rPr>
                <w:rFonts w:ascii="Times New Roman" w:hAnsi="Times New Roman"/>
                <w:b/>
                <w:bCs/>
                <w:sz w:val="24"/>
              </w:rPr>
              <w:t>参与单位名称</w:t>
            </w:r>
          </w:p>
        </w:tc>
        <w:tc>
          <w:tcPr>
            <w:tcW w:w="6461" w:type="dxa"/>
          </w:tcPr>
          <w:p w14:paraId="4F967AA4">
            <w:pPr>
              <w:spacing w:line="360" w:lineRule="auto"/>
              <w:rPr>
                <w:rFonts w:ascii="Times New Roman" w:hAnsi="Times New Roman"/>
                <w:sz w:val="24"/>
              </w:rPr>
            </w:pPr>
            <w:r>
              <w:rPr>
                <w:rFonts w:ascii="Times New Roman" w:hAnsi="Times New Roman"/>
                <w:sz w:val="24"/>
              </w:rPr>
              <w:t>共</w:t>
            </w:r>
            <w:r>
              <w:rPr>
                <w:rFonts w:hint="eastAsia" w:ascii="Times New Roman" w:hAnsi="Times New Roman"/>
                <w:sz w:val="24"/>
                <w:lang w:val="en-US" w:eastAsia="zh-CN"/>
              </w:rPr>
              <w:t>116</w:t>
            </w:r>
            <w:r>
              <w:rPr>
                <w:rFonts w:ascii="Times New Roman" w:hAnsi="Times New Roman"/>
                <w:sz w:val="24"/>
              </w:rPr>
              <w:t>家机构</w:t>
            </w:r>
            <w:r>
              <w:rPr>
                <w:rFonts w:hint="eastAsia" w:ascii="Times New Roman" w:hAnsi="Times New Roman"/>
                <w:sz w:val="24"/>
              </w:rPr>
              <w:t>合计</w:t>
            </w:r>
            <w:r>
              <w:rPr>
                <w:rFonts w:hint="eastAsia" w:ascii="Times New Roman" w:hAnsi="Times New Roman"/>
                <w:sz w:val="24"/>
                <w:lang w:val="en-US" w:eastAsia="zh-CN"/>
              </w:rPr>
              <w:t>143</w:t>
            </w:r>
            <w:r>
              <w:rPr>
                <w:rFonts w:hint="eastAsia" w:ascii="Times New Roman" w:hAnsi="Times New Roman"/>
                <w:sz w:val="24"/>
              </w:rPr>
              <w:t>人</w:t>
            </w:r>
            <w:r>
              <w:rPr>
                <w:rFonts w:ascii="Times New Roman" w:hAnsi="Times New Roman"/>
                <w:sz w:val="24"/>
              </w:rPr>
              <w:t>（详见附件与会清单）</w:t>
            </w:r>
          </w:p>
        </w:tc>
      </w:tr>
      <w:tr w14:paraId="77D0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61" w:type="dxa"/>
            <w:vAlign w:val="center"/>
          </w:tcPr>
          <w:p w14:paraId="4B8892D3">
            <w:pPr>
              <w:spacing w:line="360" w:lineRule="auto"/>
              <w:jc w:val="center"/>
              <w:rPr>
                <w:rFonts w:ascii="Times New Roman" w:hAnsi="Times New Roman"/>
                <w:b/>
                <w:bCs/>
                <w:sz w:val="24"/>
              </w:rPr>
            </w:pPr>
            <w:r>
              <w:rPr>
                <w:rFonts w:ascii="Times New Roman" w:hAnsi="Times New Roman"/>
                <w:b/>
                <w:bCs/>
                <w:sz w:val="24"/>
              </w:rPr>
              <w:t>时间</w:t>
            </w:r>
          </w:p>
        </w:tc>
        <w:tc>
          <w:tcPr>
            <w:tcW w:w="6461" w:type="dxa"/>
            <w:vAlign w:val="center"/>
          </w:tcPr>
          <w:p w14:paraId="0D12388A">
            <w:pPr>
              <w:spacing w:line="360" w:lineRule="auto"/>
              <w:rPr>
                <w:rFonts w:ascii="Times New Roman" w:hAnsi="Times New Roman"/>
                <w:sz w:val="24"/>
              </w:rPr>
            </w:pPr>
            <w:r>
              <w:rPr>
                <w:rFonts w:ascii="Times New Roman" w:hAnsi="Times New Roman"/>
                <w:sz w:val="24"/>
              </w:rPr>
              <w:t>2024年</w:t>
            </w:r>
            <w:r>
              <w:rPr>
                <w:rFonts w:hint="eastAsia" w:ascii="Times New Roman" w:hAnsi="Times New Roman"/>
                <w:sz w:val="24"/>
                <w:lang w:val="en-US" w:eastAsia="zh-CN"/>
              </w:rPr>
              <w:t>10</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p>
        </w:tc>
      </w:tr>
      <w:tr w14:paraId="6FA6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061" w:type="dxa"/>
            <w:vAlign w:val="center"/>
          </w:tcPr>
          <w:p w14:paraId="5A375110">
            <w:pPr>
              <w:spacing w:line="360" w:lineRule="auto"/>
              <w:jc w:val="center"/>
              <w:rPr>
                <w:rFonts w:ascii="Times New Roman" w:hAnsi="Times New Roman"/>
                <w:b/>
                <w:bCs/>
                <w:sz w:val="24"/>
              </w:rPr>
            </w:pPr>
            <w:r>
              <w:rPr>
                <w:rFonts w:ascii="Times New Roman" w:hAnsi="Times New Roman"/>
                <w:b/>
                <w:bCs/>
                <w:sz w:val="24"/>
              </w:rPr>
              <w:t>地点</w:t>
            </w:r>
          </w:p>
        </w:tc>
        <w:tc>
          <w:tcPr>
            <w:tcW w:w="6461" w:type="dxa"/>
            <w:vAlign w:val="center"/>
          </w:tcPr>
          <w:p w14:paraId="114B11EA">
            <w:pPr>
              <w:spacing w:line="360" w:lineRule="auto"/>
              <w:rPr>
                <w:rFonts w:ascii="Times New Roman" w:hAnsi="Times New Roman"/>
                <w:sz w:val="24"/>
              </w:rPr>
            </w:pPr>
            <w:r>
              <w:rPr>
                <w:rFonts w:ascii="Times New Roman" w:hAnsi="Times New Roman"/>
                <w:sz w:val="24"/>
              </w:rPr>
              <w:t>线上会议</w:t>
            </w:r>
          </w:p>
        </w:tc>
      </w:tr>
      <w:tr w14:paraId="5DF4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61" w:type="dxa"/>
            <w:vAlign w:val="center"/>
          </w:tcPr>
          <w:p w14:paraId="347ECE6F">
            <w:pPr>
              <w:spacing w:line="360" w:lineRule="auto"/>
              <w:jc w:val="center"/>
              <w:rPr>
                <w:rFonts w:ascii="Times New Roman" w:hAnsi="Times New Roman"/>
                <w:b/>
                <w:bCs/>
                <w:sz w:val="24"/>
              </w:rPr>
            </w:pPr>
            <w:r>
              <w:rPr>
                <w:rFonts w:ascii="Times New Roman" w:hAnsi="Times New Roman"/>
                <w:b/>
                <w:bCs/>
                <w:sz w:val="24"/>
              </w:rPr>
              <w:t>公司接待人员</w:t>
            </w:r>
          </w:p>
          <w:p w14:paraId="76D4B950">
            <w:pPr>
              <w:spacing w:line="360" w:lineRule="auto"/>
              <w:jc w:val="center"/>
              <w:rPr>
                <w:rFonts w:ascii="Times New Roman" w:hAnsi="Times New Roman"/>
                <w:b/>
                <w:bCs/>
                <w:sz w:val="24"/>
              </w:rPr>
            </w:pPr>
            <w:r>
              <w:rPr>
                <w:rFonts w:ascii="Times New Roman" w:hAnsi="Times New Roman"/>
                <w:b/>
                <w:bCs/>
                <w:sz w:val="24"/>
              </w:rPr>
              <w:t>姓名</w:t>
            </w:r>
          </w:p>
        </w:tc>
        <w:tc>
          <w:tcPr>
            <w:tcW w:w="6461" w:type="dxa"/>
            <w:vAlign w:val="center"/>
          </w:tcPr>
          <w:p w14:paraId="27D228AD">
            <w:pPr>
              <w:spacing w:line="360" w:lineRule="auto"/>
              <w:rPr>
                <w:rFonts w:ascii="Times New Roman" w:hAnsi="Times New Roman"/>
                <w:sz w:val="24"/>
              </w:rPr>
            </w:pPr>
            <w:r>
              <w:rPr>
                <w:rFonts w:ascii="Times New Roman" w:hAnsi="Times New Roman"/>
                <w:sz w:val="24"/>
              </w:rPr>
              <w:t>董事长：胡鹍辉</w:t>
            </w:r>
          </w:p>
          <w:p w14:paraId="42E8B07F">
            <w:pPr>
              <w:spacing w:line="360" w:lineRule="auto"/>
              <w:rPr>
                <w:rFonts w:ascii="Times New Roman" w:hAnsi="Times New Roman"/>
                <w:sz w:val="24"/>
              </w:rPr>
            </w:pPr>
            <w:r>
              <w:rPr>
                <w:rFonts w:ascii="Times New Roman" w:hAnsi="Times New Roman"/>
                <w:sz w:val="24"/>
              </w:rPr>
              <w:t>董事/财务总监：廖立生</w:t>
            </w:r>
          </w:p>
          <w:p w14:paraId="2EA622EA">
            <w:pPr>
              <w:spacing w:line="360" w:lineRule="auto"/>
              <w:rPr>
                <w:rFonts w:ascii="Times New Roman" w:hAnsi="Times New Roman"/>
                <w:sz w:val="24"/>
              </w:rPr>
            </w:pPr>
            <w:r>
              <w:rPr>
                <w:rFonts w:ascii="Times New Roman" w:hAnsi="Times New Roman"/>
                <w:sz w:val="24"/>
              </w:rPr>
              <w:t>营销总部副总经理/国内营销轮值CEO：于秋萍</w:t>
            </w:r>
          </w:p>
          <w:p w14:paraId="72B303CB">
            <w:pPr>
              <w:spacing w:line="360" w:lineRule="auto"/>
              <w:rPr>
                <w:rFonts w:ascii="Times New Roman" w:hAnsi="Times New Roman"/>
                <w:sz w:val="24"/>
              </w:rPr>
            </w:pPr>
            <w:r>
              <w:rPr>
                <w:rFonts w:ascii="Times New Roman" w:hAnsi="Times New Roman"/>
                <w:sz w:val="24"/>
              </w:rPr>
              <w:t>董事会秘书：王鸣阳</w:t>
            </w:r>
          </w:p>
          <w:p w14:paraId="07C21EF7">
            <w:pPr>
              <w:spacing w:line="360" w:lineRule="auto"/>
              <w:rPr>
                <w:rFonts w:ascii="Times New Roman" w:hAnsi="Times New Roman"/>
                <w:sz w:val="24"/>
              </w:rPr>
            </w:pPr>
            <w:r>
              <w:rPr>
                <w:rFonts w:ascii="Times New Roman" w:hAnsi="Times New Roman"/>
                <w:sz w:val="24"/>
              </w:rPr>
              <w:t>学术总监：王茗</w:t>
            </w:r>
          </w:p>
          <w:p w14:paraId="3D35ECAF">
            <w:pPr>
              <w:spacing w:line="360" w:lineRule="auto"/>
              <w:rPr>
                <w:rFonts w:ascii="Times New Roman" w:hAnsi="Times New Roman"/>
                <w:sz w:val="24"/>
              </w:rPr>
            </w:pPr>
            <w:r>
              <w:rPr>
                <w:rFonts w:ascii="Times New Roman" w:hAnsi="Times New Roman"/>
                <w:sz w:val="24"/>
              </w:rPr>
              <w:t>自免产品高级经理：彭娟</w:t>
            </w:r>
          </w:p>
        </w:tc>
      </w:tr>
      <w:tr w14:paraId="71FD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1BF73424">
            <w:pPr>
              <w:spacing w:line="360" w:lineRule="auto"/>
              <w:jc w:val="center"/>
              <w:rPr>
                <w:rFonts w:ascii="Times New Roman" w:hAnsi="Times New Roman"/>
                <w:b/>
                <w:bCs/>
                <w:sz w:val="24"/>
              </w:rPr>
            </w:pPr>
            <w:r>
              <w:rPr>
                <w:rFonts w:ascii="Times New Roman" w:hAnsi="Times New Roman"/>
                <w:b/>
                <w:bCs/>
                <w:sz w:val="24"/>
              </w:rPr>
              <w:t>投资者关系活</w:t>
            </w:r>
          </w:p>
          <w:p w14:paraId="44A3139F">
            <w:pPr>
              <w:spacing w:line="360" w:lineRule="auto"/>
              <w:jc w:val="center"/>
              <w:rPr>
                <w:rFonts w:ascii="Times New Roman" w:hAnsi="Times New Roman"/>
                <w:b/>
                <w:bCs/>
                <w:sz w:val="24"/>
              </w:rPr>
            </w:pPr>
            <w:r>
              <w:rPr>
                <w:rFonts w:ascii="Times New Roman" w:hAnsi="Times New Roman"/>
                <w:b/>
                <w:bCs/>
                <w:sz w:val="24"/>
              </w:rPr>
              <w:t>动主要内容介</w:t>
            </w:r>
          </w:p>
          <w:p w14:paraId="0B522118">
            <w:pPr>
              <w:spacing w:line="360" w:lineRule="auto"/>
              <w:jc w:val="center"/>
              <w:rPr>
                <w:rFonts w:ascii="Times New Roman" w:hAnsi="Times New Roman"/>
                <w:b/>
                <w:bCs/>
                <w:sz w:val="24"/>
              </w:rPr>
            </w:pPr>
            <w:r>
              <w:rPr>
                <w:rFonts w:ascii="Times New Roman" w:hAnsi="Times New Roman"/>
                <w:b/>
                <w:bCs/>
                <w:sz w:val="24"/>
              </w:rPr>
              <w:t>绍</w:t>
            </w:r>
          </w:p>
        </w:tc>
        <w:tc>
          <w:tcPr>
            <w:tcW w:w="6461" w:type="dxa"/>
            <w:vAlign w:val="center"/>
          </w:tcPr>
          <w:p w14:paraId="1E16E4E9">
            <w:pPr>
              <w:spacing w:line="360" w:lineRule="auto"/>
              <w:rPr>
                <w:rFonts w:ascii="Times New Roman" w:hAnsi="Times New Roman"/>
                <w:b/>
                <w:bCs/>
                <w:sz w:val="24"/>
              </w:rPr>
            </w:pPr>
            <w:r>
              <w:rPr>
                <w:rFonts w:ascii="Times New Roman" w:hAnsi="Times New Roman"/>
                <w:b/>
                <w:bCs/>
                <w:sz w:val="24"/>
              </w:rPr>
              <w:t>一、介绍公司2024年</w:t>
            </w:r>
            <w:r>
              <w:rPr>
                <w:rFonts w:hint="eastAsia" w:ascii="Times New Roman" w:hAnsi="Times New Roman"/>
                <w:b/>
                <w:bCs/>
                <w:sz w:val="24"/>
                <w:lang w:val="en-US" w:eastAsia="zh-CN"/>
              </w:rPr>
              <w:t>前三季度</w:t>
            </w:r>
            <w:r>
              <w:rPr>
                <w:rFonts w:ascii="Times New Roman" w:hAnsi="Times New Roman"/>
                <w:b/>
                <w:bCs/>
                <w:sz w:val="24"/>
              </w:rPr>
              <w:t>经营情况</w:t>
            </w:r>
          </w:p>
          <w:p w14:paraId="5D08859F">
            <w:pPr>
              <w:pStyle w:val="15"/>
              <w:numPr>
                <w:ilvl w:val="0"/>
                <w:numId w:val="1"/>
              </w:numPr>
              <w:spacing w:line="360" w:lineRule="auto"/>
              <w:ind w:firstLine="0" w:firstLineChars="0"/>
              <w:rPr>
                <w:rFonts w:ascii="Times New Roman" w:hAnsi="Times New Roman"/>
                <w:b/>
                <w:bCs/>
                <w:sz w:val="24"/>
              </w:rPr>
            </w:pPr>
            <w:r>
              <w:rPr>
                <w:rFonts w:ascii="Times New Roman" w:hAnsi="Times New Roman"/>
                <w:b/>
                <w:bCs/>
                <w:sz w:val="24"/>
              </w:rPr>
              <w:t>营收和利润增速</w:t>
            </w:r>
          </w:p>
          <w:p w14:paraId="7026A4AF">
            <w:pPr>
              <w:widowControl/>
              <w:spacing w:line="360" w:lineRule="auto"/>
              <w:ind w:firstLine="420"/>
              <w:rPr>
                <w:rFonts w:ascii="Times New Roman" w:hAnsi="Times New Roman"/>
                <w:bCs/>
                <w:sz w:val="24"/>
              </w:rPr>
            </w:pPr>
            <w:r>
              <w:rPr>
                <w:rFonts w:hint="eastAsia" w:ascii="Times New Roman" w:hAnsi="Times New Roman"/>
                <w:bCs/>
                <w:sz w:val="24"/>
              </w:rPr>
              <w:t>2024年1-9月，公司实现</w:t>
            </w:r>
            <w:r>
              <w:rPr>
                <w:rFonts w:hint="eastAsia" w:ascii="Times New Roman" w:hAnsi="Times New Roman"/>
                <w:bCs/>
                <w:sz w:val="24"/>
                <w:lang w:val="en-US" w:eastAsia="zh-CN"/>
              </w:rPr>
              <w:t>总</w:t>
            </w:r>
            <w:r>
              <w:rPr>
                <w:rFonts w:hint="eastAsia" w:ascii="Times New Roman" w:hAnsi="Times New Roman"/>
                <w:bCs/>
                <w:sz w:val="24"/>
              </w:rPr>
              <w:t>营收13.94亿</w:t>
            </w:r>
            <w:r>
              <w:rPr>
                <w:rFonts w:hint="eastAsia" w:ascii="Times New Roman" w:hAnsi="Times New Roman"/>
                <w:bCs/>
                <w:sz w:val="24"/>
                <w:lang w:val="en-US" w:eastAsia="zh-CN"/>
              </w:rPr>
              <w:t>元</w:t>
            </w:r>
            <w:r>
              <w:rPr>
                <w:rFonts w:hint="eastAsia" w:ascii="Times New Roman" w:hAnsi="Times New Roman"/>
                <w:bCs/>
                <w:sz w:val="24"/>
              </w:rPr>
              <w:t>，同比</w:t>
            </w:r>
            <w:r>
              <w:rPr>
                <w:rFonts w:hint="eastAsia" w:ascii="Times New Roman" w:hAnsi="Times New Roman"/>
                <w:bCs/>
                <w:sz w:val="24"/>
                <w:lang w:val="en-US" w:eastAsia="zh-CN"/>
              </w:rPr>
              <w:t>-</w:t>
            </w:r>
            <w:r>
              <w:rPr>
                <w:rFonts w:hint="eastAsia" w:ascii="Times New Roman" w:hAnsi="Times New Roman"/>
                <w:bCs/>
                <w:sz w:val="24"/>
              </w:rPr>
              <w:t>9.78%；归</w:t>
            </w:r>
            <w:r>
              <w:rPr>
                <w:rFonts w:hint="eastAsia" w:ascii="Times New Roman" w:hAnsi="Times New Roman"/>
                <w:bCs/>
                <w:sz w:val="24"/>
                <w:lang w:val="en-US" w:eastAsia="zh-CN"/>
              </w:rPr>
              <w:t>母</w:t>
            </w:r>
            <w:r>
              <w:rPr>
                <w:rFonts w:hint="eastAsia" w:ascii="Times New Roman" w:hAnsi="Times New Roman"/>
                <w:bCs/>
                <w:sz w:val="24"/>
              </w:rPr>
              <w:t>净利润2</w:t>
            </w:r>
            <w:r>
              <w:rPr>
                <w:rFonts w:hint="eastAsia" w:ascii="Times New Roman" w:hAnsi="Times New Roman"/>
                <w:bCs/>
                <w:sz w:val="24"/>
                <w:lang w:val="en-US" w:eastAsia="zh-CN"/>
              </w:rPr>
              <w:t>.</w:t>
            </w:r>
            <w:r>
              <w:rPr>
                <w:rFonts w:hint="eastAsia" w:ascii="Times New Roman" w:hAnsi="Times New Roman"/>
                <w:bCs/>
                <w:sz w:val="24"/>
              </w:rPr>
              <w:t>1</w:t>
            </w:r>
            <w:r>
              <w:rPr>
                <w:rFonts w:hint="eastAsia" w:ascii="Times New Roman" w:hAnsi="Times New Roman"/>
                <w:bCs/>
                <w:sz w:val="24"/>
                <w:lang w:val="en-US" w:eastAsia="zh-CN"/>
              </w:rPr>
              <w:t>9亿</w:t>
            </w:r>
            <w:r>
              <w:rPr>
                <w:rFonts w:hint="eastAsia" w:ascii="Times New Roman" w:hAnsi="Times New Roman"/>
                <w:bCs/>
                <w:sz w:val="24"/>
              </w:rPr>
              <w:t>元，</w:t>
            </w:r>
            <w:r>
              <w:rPr>
                <w:rFonts w:hint="eastAsia" w:ascii="Times New Roman" w:hAnsi="Times New Roman"/>
                <w:bCs/>
                <w:sz w:val="24"/>
                <w:lang w:val="en-US" w:eastAsia="zh-CN"/>
              </w:rPr>
              <w:t>同比-</w:t>
            </w:r>
            <w:r>
              <w:rPr>
                <w:rFonts w:hint="eastAsia" w:ascii="Times New Roman" w:hAnsi="Times New Roman"/>
                <w:bCs/>
                <w:sz w:val="24"/>
              </w:rPr>
              <w:t>23.29%。主要为新冠业务营业收入及非经常性收益大幅减少所致</w:t>
            </w:r>
            <w:r>
              <w:rPr>
                <w:rFonts w:hint="eastAsia" w:ascii="Times New Roman" w:hAnsi="Times New Roman"/>
                <w:bCs/>
                <w:sz w:val="24"/>
                <w:lang w:eastAsia="zh-CN"/>
              </w:rPr>
              <w:t>。</w:t>
            </w:r>
            <w:r>
              <w:rPr>
                <w:rFonts w:hint="eastAsia" w:ascii="Times New Roman" w:hAnsi="Times New Roman"/>
                <w:bCs/>
                <w:sz w:val="24"/>
                <w:lang w:val="en-US" w:eastAsia="zh-CN"/>
              </w:rPr>
              <w:t>扣非归母</w:t>
            </w:r>
            <w:r>
              <w:rPr>
                <w:rFonts w:hint="eastAsia" w:ascii="Times New Roman" w:hAnsi="Times New Roman"/>
                <w:bCs/>
                <w:sz w:val="24"/>
              </w:rPr>
              <w:t>净利润2</w:t>
            </w:r>
            <w:r>
              <w:rPr>
                <w:rFonts w:hint="eastAsia" w:ascii="Times New Roman" w:hAnsi="Times New Roman"/>
                <w:bCs/>
                <w:sz w:val="24"/>
                <w:lang w:val="en-US" w:eastAsia="zh-CN"/>
              </w:rPr>
              <w:t>.</w:t>
            </w:r>
            <w:r>
              <w:rPr>
                <w:rFonts w:hint="eastAsia" w:ascii="Times New Roman" w:hAnsi="Times New Roman"/>
                <w:bCs/>
                <w:sz w:val="24"/>
              </w:rPr>
              <w:t>0</w:t>
            </w:r>
            <w:r>
              <w:rPr>
                <w:rFonts w:hint="eastAsia" w:ascii="Times New Roman" w:hAnsi="Times New Roman"/>
                <w:bCs/>
                <w:sz w:val="24"/>
                <w:lang w:val="en-US" w:eastAsia="zh-CN"/>
              </w:rPr>
              <w:t>8亿</w:t>
            </w:r>
            <w:r>
              <w:rPr>
                <w:rFonts w:hint="eastAsia" w:ascii="Times New Roman" w:hAnsi="Times New Roman"/>
                <w:bCs/>
                <w:sz w:val="24"/>
              </w:rPr>
              <w:t>元，同比</w:t>
            </w:r>
            <w:r>
              <w:rPr>
                <w:rFonts w:hint="eastAsia" w:ascii="Times New Roman" w:hAnsi="Times New Roman"/>
                <w:bCs/>
                <w:sz w:val="24"/>
                <w:lang w:val="en-US" w:eastAsia="zh-CN"/>
              </w:rPr>
              <w:t>+</w:t>
            </w:r>
            <w:r>
              <w:rPr>
                <w:rFonts w:hint="eastAsia" w:ascii="Times New Roman" w:hAnsi="Times New Roman"/>
                <w:bCs/>
                <w:sz w:val="24"/>
              </w:rPr>
              <w:t>19.01%。</w:t>
            </w:r>
          </w:p>
          <w:p w14:paraId="66CAF9B8">
            <w:pPr>
              <w:widowControl/>
              <w:spacing w:line="360" w:lineRule="auto"/>
              <w:ind w:firstLine="420"/>
              <w:rPr>
                <w:rFonts w:hint="eastAsia" w:ascii="Times New Roman" w:hAnsi="Times New Roman"/>
                <w:bCs/>
                <w:sz w:val="24"/>
              </w:rPr>
            </w:pPr>
            <w:r>
              <w:rPr>
                <w:rFonts w:hint="eastAsia" w:ascii="Times New Roman" w:hAnsi="Times New Roman"/>
                <w:bCs/>
                <w:sz w:val="24"/>
              </w:rPr>
              <w:t>其中：非新冠相关收入13.94亿元，同比+15.45%。其中非新冠自产业务11.42亿元，同比+24.40%；代理业务2.22亿元，同比-17.76%。</w:t>
            </w:r>
          </w:p>
          <w:p w14:paraId="60D7E016">
            <w:pPr>
              <w:widowControl/>
              <w:spacing w:line="360" w:lineRule="auto"/>
              <w:ind w:firstLine="420"/>
              <w:rPr>
                <w:rFonts w:ascii="Times New Roman" w:hAnsi="Times New Roman"/>
                <w:sz w:val="24"/>
              </w:rPr>
            </w:pPr>
            <w:r>
              <w:rPr>
                <w:rFonts w:hint="eastAsia" w:ascii="Times New Roman" w:hAnsi="Times New Roman"/>
                <w:bCs/>
                <w:sz w:val="24"/>
              </w:rPr>
              <w:t>非新冠自产业务中：国内部分9.93亿，同比+22.20%；国际部分1.49亿，同比+41.34%</w:t>
            </w:r>
            <w:r>
              <w:rPr>
                <w:rFonts w:hint="eastAsia" w:ascii="Times New Roman" w:hAnsi="Times New Roman"/>
                <w:bCs/>
                <w:sz w:val="24"/>
                <w:lang w:eastAsia="zh-CN"/>
              </w:rPr>
              <w:t>。</w:t>
            </w:r>
          </w:p>
          <w:p w14:paraId="74D33894">
            <w:pPr>
              <w:pStyle w:val="15"/>
              <w:numPr>
                <w:ilvl w:val="0"/>
                <w:numId w:val="1"/>
              </w:numPr>
              <w:spacing w:line="360" w:lineRule="auto"/>
              <w:ind w:firstLine="0" w:firstLineChars="0"/>
              <w:rPr>
                <w:rFonts w:ascii="Times New Roman" w:hAnsi="Times New Roman"/>
                <w:sz w:val="24"/>
              </w:rPr>
            </w:pPr>
            <w:r>
              <w:rPr>
                <w:rFonts w:ascii="Times New Roman" w:hAnsi="Times New Roman"/>
                <w:b/>
                <w:sz w:val="24"/>
              </w:rPr>
              <w:t>毛利</w:t>
            </w:r>
            <w:r>
              <w:rPr>
                <w:rFonts w:ascii="Times New Roman" w:hAnsi="Times New Roman"/>
                <w:b/>
                <w:bCs/>
                <w:sz w:val="24"/>
              </w:rPr>
              <w:t>情况</w:t>
            </w:r>
          </w:p>
          <w:p w14:paraId="16638F9D">
            <w:pPr>
              <w:widowControl/>
              <w:spacing w:line="360" w:lineRule="auto"/>
              <w:ind w:firstLine="420"/>
              <w:rPr>
                <w:rFonts w:ascii="Times New Roman" w:hAnsi="Times New Roman"/>
                <w:sz w:val="24"/>
              </w:rPr>
            </w:pPr>
            <w:r>
              <w:rPr>
                <w:rFonts w:hint="eastAsia" w:ascii="Times New Roman" w:hAnsi="Times New Roman"/>
                <w:sz w:val="24"/>
              </w:rPr>
              <w:t>公司2024年1-9月，主营业务毛利率为63.36%，较上年同期</w:t>
            </w:r>
            <w:r>
              <w:rPr>
                <w:rFonts w:hint="eastAsia" w:ascii="Times New Roman" w:hAnsi="Times New Roman"/>
                <w:sz w:val="24"/>
                <w:lang w:val="en-US" w:eastAsia="zh-CN"/>
              </w:rPr>
              <w:t>提升</w:t>
            </w:r>
            <w:r>
              <w:rPr>
                <w:rFonts w:hint="eastAsia" w:ascii="Times New Roman" w:hAnsi="Times New Roman"/>
                <w:sz w:val="24"/>
              </w:rPr>
              <w:t>10个百分点，主要</w:t>
            </w:r>
            <w:r>
              <w:rPr>
                <w:rFonts w:hint="eastAsia" w:ascii="Times New Roman" w:hAnsi="Times New Roman"/>
                <w:sz w:val="24"/>
                <w:lang w:val="en-US" w:eastAsia="zh-CN"/>
              </w:rPr>
              <w:t>系</w:t>
            </w:r>
            <w:r>
              <w:rPr>
                <w:rFonts w:hint="eastAsia" w:ascii="Times New Roman" w:hAnsi="Times New Roman"/>
                <w:sz w:val="24"/>
              </w:rPr>
              <w:t>报告期内自产业务收入占比大幅上涨所致。公司非新冠自产业务综合毛利率70.45%，同比去年</w:t>
            </w:r>
            <w:r>
              <w:rPr>
                <w:rFonts w:hint="eastAsia" w:ascii="Times New Roman" w:hAnsi="Times New Roman"/>
                <w:sz w:val="24"/>
                <w:lang w:val="en-US" w:eastAsia="zh-CN"/>
              </w:rPr>
              <w:t>提升</w:t>
            </w:r>
            <w:r>
              <w:rPr>
                <w:rFonts w:hint="eastAsia" w:ascii="Times New Roman" w:hAnsi="Times New Roman"/>
                <w:sz w:val="24"/>
              </w:rPr>
              <w:t>1.37个百分点，其中化学发光试剂业务毛利率80.81%，较上年同期降低1.29个百分点。</w:t>
            </w:r>
          </w:p>
          <w:p w14:paraId="57647643">
            <w:pPr>
              <w:pStyle w:val="15"/>
              <w:numPr>
                <w:ilvl w:val="0"/>
                <w:numId w:val="1"/>
              </w:numPr>
              <w:spacing w:line="360" w:lineRule="auto"/>
              <w:ind w:firstLine="0" w:firstLineChars="0"/>
              <w:rPr>
                <w:rFonts w:ascii="Times New Roman" w:hAnsi="Times New Roman"/>
                <w:sz w:val="24"/>
              </w:rPr>
            </w:pPr>
            <w:r>
              <w:rPr>
                <w:rFonts w:ascii="Times New Roman" w:hAnsi="Times New Roman"/>
                <w:b/>
                <w:sz w:val="24"/>
              </w:rPr>
              <w:t>期间费用情况</w:t>
            </w:r>
          </w:p>
          <w:p w14:paraId="754B3459">
            <w:pPr>
              <w:widowControl/>
              <w:spacing w:line="360" w:lineRule="auto"/>
              <w:ind w:firstLine="420"/>
              <w:rPr>
                <w:rFonts w:ascii="Times New Roman" w:hAnsi="Times New Roman"/>
                <w:sz w:val="24"/>
              </w:rPr>
            </w:pPr>
            <w:r>
              <w:rPr>
                <w:rFonts w:hint="eastAsia" w:ascii="Times New Roman" w:hAnsi="Times New Roman"/>
                <w:sz w:val="24"/>
              </w:rPr>
              <w:t>2024年1-9月，公司销售费用同比</w:t>
            </w:r>
            <w:r>
              <w:rPr>
                <w:rFonts w:hint="eastAsia" w:ascii="Times New Roman" w:hAnsi="Times New Roman"/>
                <w:sz w:val="24"/>
                <w:lang w:val="en-US" w:eastAsia="zh-CN"/>
              </w:rPr>
              <w:t>+</w:t>
            </w:r>
            <w:r>
              <w:rPr>
                <w:rFonts w:hint="eastAsia" w:ascii="Times New Roman" w:hAnsi="Times New Roman"/>
                <w:sz w:val="24"/>
              </w:rPr>
              <w:t>6.47%，费用率为21.50%。管理费用同比</w:t>
            </w:r>
            <w:r>
              <w:rPr>
                <w:rFonts w:hint="eastAsia" w:ascii="Times New Roman" w:hAnsi="Times New Roman"/>
                <w:sz w:val="24"/>
                <w:lang w:val="en-US" w:eastAsia="zh-CN"/>
              </w:rPr>
              <w:t>+</w:t>
            </w:r>
            <w:r>
              <w:rPr>
                <w:rFonts w:hint="eastAsia" w:ascii="Times New Roman" w:hAnsi="Times New Roman"/>
                <w:sz w:val="24"/>
              </w:rPr>
              <w:t>0.37%，基本持平</w:t>
            </w:r>
            <w:r>
              <w:rPr>
                <w:rFonts w:hint="eastAsia" w:ascii="Times New Roman" w:hAnsi="Times New Roman"/>
                <w:sz w:val="24"/>
                <w:lang w:eastAsia="zh-CN"/>
              </w:rPr>
              <w:t>，</w:t>
            </w:r>
            <w:r>
              <w:rPr>
                <w:rFonts w:hint="eastAsia" w:ascii="Times New Roman" w:hAnsi="Times New Roman"/>
                <w:sz w:val="24"/>
              </w:rPr>
              <w:t>费用率为9.03%。销、管费用控制情况良好。研发费用2.29亿，同比+7.13%，研发费用率为16.46%</w:t>
            </w:r>
            <w:r>
              <w:rPr>
                <w:rFonts w:hint="eastAsia" w:ascii="Times New Roman" w:hAnsi="Times New Roman"/>
                <w:sz w:val="24"/>
                <w:lang w:eastAsia="zh-CN"/>
              </w:rPr>
              <w:t>。</w:t>
            </w:r>
          </w:p>
          <w:p w14:paraId="387269BB">
            <w:pPr>
              <w:pStyle w:val="15"/>
              <w:numPr>
                <w:ilvl w:val="0"/>
                <w:numId w:val="1"/>
              </w:numPr>
              <w:spacing w:line="360" w:lineRule="auto"/>
              <w:ind w:firstLine="0" w:firstLineChars="0"/>
              <w:rPr>
                <w:rFonts w:ascii="Times New Roman" w:hAnsi="Times New Roman"/>
                <w:sz w:val="24"/>
              </w:rPr>
            </w:pPr>
            <w:r>
              <w:rPr>
                <w:rFonts w:ascii="Times New Roman" w:hAnsi="Times New Roman"/>
                <w:b/>
                <w:sz w:val="24"/>
              </w:rPr>
              <w:t>发光业务</w:t>
            </w:r>
          </w:p>
          <w:p w14:paraId="086874BA">
            <w:pPr>
              <w:widowControl/>
              <w:spacing w:line="360" w:lineRule="auto"/>
              <w:ind w:firstLine="420"/>
              <w:rPr>
                <w:rFonts w:ascii="Times New Roman" w:hAnsi="Times New Roman"/>
                <w:sz w:val="24"/>
              </w:rPr>
            </w:pPr>
            <w:r>
              <w:rPr>
                <w:rFonts w:hint="eastAsia" w:ascii="Times New Roman" w:hAnsi="Times New Roman"/>
                <w:sz w:val="24"/>
              </w:rPr>
              <w:t>2024年1-9月，发光业务（试剂/耗材/仪器，不含新冠）收入10.37亿，同比+29.15%；其中国内地区化学发光业务收入9.02亿元，同比+27.01%；海外地区发光业务收入1.34亿元，同比+45.71%。公司自免类化学发光检测项目试剂收入1.47亿元，同比+31.41%</w:t>
            </w:r>
            <w:r>
              <w:rPr>
                <w:rFonts w:hint="eastAsia" w:ascii="Times New Roman" w:hAnsi="Times New Roman"/>
                <w:sz w:val="24"/>
                <w:lang w:eastAsia="zh-CN"/>
              </w:rPr>
              <w:t>。</w:t>
            </w:r>
          </w:p>
          <w:p w14:paraId="7C49CF01">
            <w:pPr>
              <w:pStyle w:val="15"/>
              <w:numPr>
                <w:ilvl w:val="0"/>
                <w:numId w:val="1"/>
              </w:numPr>
              <w:spacing w:line="360" w:lineRule="auto"/>
              <w:ind w:firstLine="0" w:firstLineChars="0"/>
              <w:rPr>
                <w:rFonts w:ascii="Times New Roman" w:hAnsi="Times New Roman"/>
                <w:b/>
                <w:sz w:val="24"/>
              </w:rPr>
            </w:pPr>
            <w:r>
              <w:rPr>
                <w:rFonts w:ascii="Times New Roman" w:hAnsi="Times New Roman"/>
                <w:b/>
                <w:sz w:val="24"/>
              </w:rPr>
              <w:t>装机及市场拓展情况</w:t>
            </w:r>
          </w:p>
          <w:p w14:paraId="3B513A7B">
            <w:pPr>
              <w:spacing w:line="360" w:lineRule="auto"/>
              <w:ind w:firstLine="480" w:firstLineChars="200"/>
              <w:rPr>
                <w:rFonts w:ascii="Times New Roman" w:hAnsi="Times New Roman"/>
                <w:sz w:val="24"/>
              </w:rPr>
            </w:pPr>
            <w:r>
              <w:rPr>
                <w:rFonts w:hint="eastAsia" w:ascii="Times New Roman" w:hAnsi="Times New Roman"/>
                <w:sz w:val="24"/>
              </w:rPr>
              <w:t>2024年1-9月，国内外新增发光装机1727台。发货口径，前三季度出库2051台（其中国内出库1182台）。新增装机中，国内新增装机995台，其中</w:t>
            </w:r>
            <w:r>
              <w:rPr>
                <w:rFonts w:hint="eastAsia" w:ascii="Times New Roman" w:hAnsi="Times New Roman"/>
                <w:sz w:val="24"/>
                <w:lang w:val="en-US" w:eastAsia="zh-CN"/>
              </w:rPr>
              <w:t>单机</w:t>
            </w:r>
            <w:r>
              <w:rPr>
                <w:rFonts w:hint="eastAsia" w:ascii="Times New Roman" w:hAnsi="Times New Roman"/>
                <w:sz w:val="24"/>
              </w:rPr>
              <w:t>600速的</w:t>
            </w:r>
            <w:r>
              <w:rPr>
                <w:rFonts w:hint="eastAsia" w:ascii="Times New Roman" w:hAnsi="Times New Roman"/>
                <w:sz w:val="24"/>
                <w:lang w:val="en-US" w:eastAsia="zh-CN"/>
              </w:rPr>
              <w:t>发光仪器新增</w:t>
            </w:r>
            <w:r>
              <w:rPr>
                <w:rFonts w:hint="eastAsia" w:ascii="Times New Roman" w:hAnsi="Times New Roman"/>
                <w:sz w:val="24"/>
              </w:rPr>
              <w:t>装机</w:t>
            </w:r>
            <w:r>
              <w:rPr>
                <w:rFonts w:hint="eastAsia" w:ascii="Times New Roman" w:hAnsi="Times New Roman"/>
                <w:sz w:val="24"/>
                <w:lang w:val="en-US" w:eastAsia="zh-CN"/>
              </w:rPr>
              <w:t>占比</w:t>
            </w:r>
            <w:r>
              <w:rPr>
                <w:rFonts w:hint="eastAsia" w:ascii="Times New Roman" w:hAnsi="Times New Roman"/>
                <w:sz w:val="24"/>
              </w:rPr>
              <w:t>46.43%；海外新增装机732台，新增装机同比+</w:t>
            </w:r>
            <w:r>
              <w:rPr>
                <w:rFonts w:hint="eastAsia" w:ascii="Times New Roman" w:hAnsi="Times New Roman"/>
                <w:sz w:val="24"/>
                <w:lang w:val="en-US" w:eastAsia="zh-CN"/>
              </w:rPr>
              <w:t>5</w:t>
            </w:r>
            <w:r>
              <w:rPr>
                <w:rFonts w:hint="eastAsia" w:ascii="Times New Roman" w:hAnsi="Times New Roman"/>
                <w:sz w:val="24"/>
              </w:rPr>
              <w:t>3.46%</w:t>
            </w:r>
            <w:r>
              <w:rPr>
                <w:rFonts w:hint="eastAsia" w:ascii="Times New Roman" w:hAnsi="Times New Roman"/>
                <w:sz w:val="24"/>
                <w:lang w:eastAsia="zh-CN"/>
              </w:rPr>
              <w:t>，</w:t>
            </w:r>
            <w:r>
              <w:rPr>
                <w:rFonts w:hint="eastAsia" w:ascii="Times New Roman" w:hAnsi="Times New Roman"/>
                <w:sz w:val="24"/>
                <w:lang w:val="en-US" w:eastAsia="zh-CN"/>
              </w:rPr>
              <w:t>其中海外单机300速的发光仪器新增装机同比增长48.78%。</w:t>
            </w:r>
            <w:r>
              <w:rPr>
                <w:rFonts w:hint="eastAsia" w:ascii="Times New Roman" w:hAnsi="Times New Roman"/>
                <w:sz w:val="24"/>
              </w:rPr>
              <w:t>截至2024年9月30日，公司累计装机超9980台（国内6860+</w:t>
            </w:r>
            <w:r>
              <w:rPr>
                <w:rFonts w:hint="eastAsia" w:ascii="Times New Roman" w:hAnsi="Times New Roman"/>
                <w:sz w:val="24"/>
                <w:lang w:eastAsia="zh-CN"/>
              </w:rPr>
              <w:t>，</w:t>
            </w:r>
            <w:r>
              <w:rPr>
                <w:rFonts w:hint="eastAsia" w:ascii="Times New Roman" w:hAnsi="Times New Roman"/>
                <w:sz w:val="24"/>
              </w:rPr>
              <w:t>国际3120+），其中iFlash 9000 超高速机累计装机1187台。</w:t>
            </w:r>
          </w:p>
          <w:p w14:paraId="172AE575">
            <w:pPr>
              <w:spacing w:line="360" w:lineRule="auto"/>
              <w:ind w:firstLine="480" w:firstLineChars="200"/>
              <w:rPr>
                <w:rFonts w:ascii="Times New Roman" w:hAnsi="Times New Roman"/>
                <w:sz w:val="24"/>
              </w:rPr>
            </w:pPr>
            <w:r>
              <w:rPr>
                <w:rFonts w:hint="eastAsia" w:ascii="Times New Roman" w:hAnsi="Times New Roman"/>
                <w:sz w:val="24"/>
              </w:rPr>
              <w:t>截至2024年9月30日，公司主要自有产品覆盖境内终端医疗机构客户超过5800家。其中：覆盖三甲医院超1230家，占卫健委公布的2023年末全国三级甲等医院数量1795超过68.86%。根据复旦大学医院管理研究所发布的“2022中国医院排行榜-全国综合排行榜”，其中全国排名前100的医院中有74家为公司产品的用户。</w:t>
            </w:r>
          </w:p>
          <w:p w14:paraId="7B3F265D">
            <w:pPr>
              <w:pStyle w:val="15"/>
              <w:numPr>
                <w:ilvl w:val="0"/>
                <w:numId w:val="1"/>
              </w:numPr>
              <w:spacing w:line="360" w:lineRule="auto"/>
              <w:ind w:firstLine="0" w:firstLineChars="0"/>
              <w:rPr>
                <w:rFonts w:ascii="Times New Roman" w:hAnsi="Times New Roman"/>
                <w:b/>
                <w:sz w:val="24"/>
              </w:rPr>
            </w:pPr>
            <w:r>
              <w:rPr>
                <w:rFonts w:ascii="Times New Roman" w:hAnsi="Times New Roman"/>
                <w:b/>
                <w:sz w:val="24"/>
              </w:rPr>
              <w:t>流水线业务：</w:t>
            </w:r>
          </w:p>
          <w:p w14:paraId="2AE2811F">
            <w:pPr>
              <w:numPr>
                <w:ilvl w:val="255"/>
                <w:numId w:val="0"/>
              </w:numPr>
              <w:spacing w:line="360" w:lineRule="auto"/>
              <w:ind w:firstLine="480" w:firstLineChars="200"/>
              <w:rPr>
                <w:rFonts w:hint="eastAsia" w:ascii="Times New Roman" w:hAnsi="Times New Roman" w:eastAsia="宋体"/>
                <w:b/>
                <w:bCs/>
                <w:sz w:val="24"/>
                <w:lang w:val="en-US" w:eastAsia="zh-CN"/>
              </w:rPr>
            </w:pPr>
            <w:r>
              <w:rPr>
                <w:rFonts w:hint="eastAsia" w:ascii="Times New Roman" w:hAnsi="Times New Roman"/>
                <w:sz w:val="24"/>
              </w:rPr>
              <w:t>2024年1-9月，公司流水线新增装机61条流水线，同比增长74.29%</w:t>
            </w:r>
            <w:r>
              <w:rPr>
                <w:rFonts w:hint="eastAsia" w:ascii="Times New Roman" w:hAnsi="Times New Roman"/>
                <w:sz w:val="24"/>
                <w:lang w:eastAsia="zh-CN"/>
              </w:rPr>
              <w:t>，</w:t>
            </w:r>
            <w:r>
              <w:rPr>
                <w:rFonts w:hint="eastAsia" w:ascii="Times New Roman" w:hAnsi="Times New Roman"/>
                <w:sz w:val="24"/>
              </w:rPr>
              <w:t>累计装机</w:t>
            </w:r>
            <w:r>
              <w:rPr>
                <w:rFonts w:hint="eastAsia" w:ascii="Times New Roman" w:hAnsi="Times New Roman"/>
                <w:sz w:val="24"/>
                <w:lang w:val="en-US" w:eastAsia="zh-CN"/>
              </w:rPr>
              <w:t>超</w:t>
            </w:r>
            <w:r>
              <w:rPr>
                <w:rFonts w:hint="eastAsia" w:ascii="Times New Roman" w:hAnsi="Times New Roman"/>
                <w:sz w:val="24"/>
              </w:rPr>
              <w:t>15</w:t>
            </w:r>
            <w:r>
              <w:rPr>
                <w:rFonts w:hint="eastAsia" w:ascii="Times New Roman" w:hAnsi="Times New Roman"/>
                <w:sz w:val="24"/>
                <w:lang w:val="en-US" w:eastAsia="zh-CN"/>
              </w:rPr>
              <w:t>0</w:t>
            </w:r>
            <w:r>
              <w:rPr>
                <w:rFonts w:hint="eastAsia" w:ascii="Times New Roman" w:hAnsi="Times New Roman"/>
                <w:sz w:val="24"/>
              </w:rPr>
              <w:t>条</w:t>
            </w:r>
            <w:r>
              <w:rPr>
                <w:rFonts w:hint="eastAsia" w:ascii="Times New Roman" w:hAnsi="Times New Roman"/>
                <w:sz w:val="24"/>
                <w:lang w:eastAsia="zh-CN"/>
              </w:rPr>
              <w:t>。</w:t>
            </w:r>
          </w:p>
          <w:p w14:paraId="1245DAE0">
            <w:pPr>
              <w:spacing w:line="360" w:lineRule="auto"/>
              <w:rPr>
                <w:rFonts w:ascii="Times New Roman" w:hAnsi="Times New Roman"/>
                <w:b/>
                <w:bCs/>
                <w:sz w:val="24"/>
              </w:rPr>
            </w:pPr>
          </w:p>
          <w:p w14:paraId="57CA17EE">
            <w:pPr>
              <w:spacing w:line="360" w:lineRule="auto"/>
              <w:rPr>
                <w:rFonts w:ascii="Times New Roman" w:hAnsi="Times New Roman"/>
                <w:b/>
                <w:bCs/>
                <w:sz w:val="24"/>
              </w:rPr>
            </w:pPr>
            <w:r>
              <w:rPr>
                <w:rFonts w:ascii="Times New Roman" w:hAnsi="Times New Roman"/>
                <w:b/>
                <w:bCs/>
                <w:sz w:val="24"/>
              </w:rPr>
              <w:t>二、近期大事记</w:t>
            </w:r>
          </w:p>
          <w:p w14:paraId="055C07E0">
            <w:pPr>
              <w:numPr>
                <w:ilvl w:val="255"/>
                <w:numId w:val="0"/>
              </w:numPr>
              <w:spacing w:line="360" w:lineRule="auto"/>
              <w:ind w:firstLine="480" w:firstLineChars="200"/>
              <w:rPr>
                <w:rFonts w:hint="eastAsia" w:ascii="Times New Roman" w:hAnsi="Times New Roman"/>
                <w:sz w:val="24"/>
              </w:rPr>
            </w:pPr>
            <w:r>
              <w:rPr>
                <w:rFonts w:hint="eastAsia" w:ascii="Times New Roman" w:hAnsi="Times New Roman"/>
                <w:sz w:val="24"/>
              </w:rPr>
              <w:t>（1）2024年7月30日，公司与湘潭市妇幼保健院就实验室自动化流水线系统产学研合作正式签约，双方将发挥各自优势，合力在高性能实验室自动化流水线系统领域深耕优化，促进性能技术提升，为医务工作者提供更便捷精准的诊断产品，为患者提供更高效优质的医疗服务，为体外诊断行业培养更多优秀人才。</w:t>
            </w:r>
          </w:p>
          <w:p w14:paraId="3A86C759">
            <w:pPr>
              <w:numPr>
                <w:ilvl w:val="255"/>
                <w:numId w:val="0"/>
              </w:numPr>
              <w:spacing w:line="360" w:lineRule="auto"/>
              <w:ind w:firstLine="480" w:firstLineChars="200"/>
              <w:rPr>
                <w:rFonts w:hint="eastAsia" w:ascii="Times New Roman" w:hAnsi="Times New Roman"/>
                <w:sz w:val="24"/>
              </w:rPr>
            </w:pPr>
            <w:r>
              <w:rPr>
                <w:rFonts w:hint="eastAsia" w:ascii="Times New Roman" w:hAnsi="Times New Roman"/>
                <w:sz w:val="24"/>
              </w:rPr>
              <w:t>（2）2024年9月10日，亚辉龙第二产业园启德大厦正式开园启用，这标志着亚辉龙的发展进入了一个新阶段。当天的活动中，第二期“北京大学-亚辉龙感染性疾病分子诊断联合实验室”揭牌，标志着北大与亚辉龙将展开新一轮的产学研合作。这一合作不仅将促进双方在科研上的进一步交流与融合，也将为我国医疗事业的发展添砖加瓦。</w:t>
            </w:r>
          </w:p>
          <w:p w14:paraId="5E0EC7A8">
            <w:pPr>
              <w:numPr>
                <w:ilvl w:val="255"/>
                <w:numId w:val="0"/>
              </w:numPr>
              <w:spacing w:line="360" w:lineRule="auto"/>
              <w:ind w:firstLine="480" w:firstLineChars="200"/>
              <w:rPr>
                <w:rFonts w:hint="eastAsia" w:ascii="Times New Roman" w:hAnsi="Times New Roman"/>
                <w:sz w:val="24"/>
              </w:rPr>
            </w:pPr>
            <w:r>
              <w:rPr>
                <w:rFonts w:hint="eastAsia" w:ascii="Times New Roman" w:hAnsi="Times New Roman"/>
                <w:sz w:val="24"/>
              </w:rPr>
              <w:t>（3）2024年9月22日，亚辉龙开罗培训服务中心在众多客户及专家的共同见证下，正式宣告成立并投入使用。作为亚辉龙首个海外培训服务中心，开罗中心的启用，不仅标志着亚辉龙本地服务体系的进一步完善，而且为亚辉龙未来本地化服务体系建设注入了新的活力，增添了新的支撑点。</w:t>
            </w:r>
          </w:p>
          <w:p w14:paraId="4BB4E9EA">
            <w:pPr>
              <w:numPr>
                <w:ilvl w:val="255"/>
                <w:numId w:val="0"/>
              </w:numPr>
              <w:spacing w:line="360" w:lineRule="auto"/>
              <w:ind w:firstLine="480" w:firstLineChars="200"/>
              <w:rPr>
                <w:rFonts w:hint="eastAsia" w:ascii="Times New Roman" w:hAnsi="Times New Roman"/>
                <w:sz w:val="24"/>
              </w:rPr>
            </w:pPr>
            <w:r>
              <w:rPr>
                <w:rFonts w:hint="eastAsia" w:ascii="Times New Roman" w:hAnsi="Times New Roman"/>
                <w:sz w:val="24"/>
              </w:rPr>
              <w:t>（4）2024年9月，亚辉龙自主研发的全场景智慧生态解决方案iTLA MAX斩获2024 MUSE缪斯设计奖金奖，表明了国际顶尖工业设计专业领域对该款产品设计理念、设计美学和功能设计等方面的综合认可。</w:t>
            </w:r>
          </w:p>
          <w:p w14:paraId="38200B2B">
            <w:pPr>
              <w:widowControl/>
              <w:numPr>
                <w:ilvl w:val="255"/>
                <w:numId w:val="0"/>
              </w:numPr>
              <w:spacing w:line="360" w:lineRule="auto"/>
              <w:jc w:val="left"/>
              <w:rPr>
                <w:rFonts w:ascii="Times New Roman" w:hAnsi="Times New Roman"/>
                <w:sz w:val="24"/>
              </w:rPr>
            </w:pPr>
          </w:p>
          <w:p w14:paraId="622AEC41">
            <w:pPr>
              <w:spacing w:line="360" w:lineRule="auto"/>
              <w:rPr>
                <w:rFonts w:ascii="Times New Roman" w:hAnsi="Times New Roman"/>
                <w:sz w:val="24"/>
              </w:rPr>
            </w:pPr>
            <w:r>
              <w:rPr>
                <w:rFonts w:ascii="Times New Roman" w:hAnsi="Times New Roman"/>
                <w:b/>
                <w:bCs/>
                <w:sz w:val="24"/>
              </w:rPr>
              <w:t>三、</w:t>
            </w:r>
            <w:r>
              <w:rPr>
                <w:rFonts w:hint="eastAsia" w:ascii="Times New Roman" w:hAnsi="Times New Roman"/>
                <w:b/>
                <w:bCs/>
                <w:sz w:val="24"/>
                <w:lang w:val="en-US" w:eastAsia="zh-CN"/>
              </w:rPr>
              <w:t>除前期已披露的内容外，本次新增</w:t>
            </w:r>
            <w:r>
              <w:rPr>
                <w:rFonts w:ascii="Times New Roman" w:hAnsi="Times New Roman"/>
                <w:b/>
                <w:bCs/>
                <w:sz w:val="24"/>
              </w:rPr>
              <w:t>主要互动交流内容如下：</w:t>
            </w:r>
          </w:p>
          <w:p w14:paraId="7D7CD136">
            <w:pPr>
              <w:numPr>
                <w:ilvl w:val="0"/>
                <w:numId w:val="2"/>
              </w:numPr>
              <w:spacing w:line="360" w:lineRule="auto"/>
              <w:ind w:firstLine="0"/>
              <w:rPr>
                <w:rFonts w:hint="eastAsia" w:ascii="Times New Roman" w:hAnsi="Times New Roman"/>
                <w:b/>
                <w:sz w:val="24"/>
                <w:lang w:eastAsia="zh-CN"/>
              </w:rPr>
            </w:pPr>
            <w:r>
              <w:rPr>
                <w:rFonts w:ascii="Times New Roman" w:hAnsi="Times New Roman"/>
                <w:b/>
                <w:sz w:val="24"/>
              </w:rPr>
              <w:t>目前公司的试剂库存情况？</w:t>
            </w:r>
          </w:p>
          <w:p w14:paraId="1FFFADC4">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答：公司的主营业务，特别是发光业务在过去几个季度经历了快速发展，营销端对渠道的了解，渠道库存有所增加，发光试剂的效期一般在12个月左右，渠道库存较高对后续渠道发货和终端动销较为不利。因此为了公司营销渠道的健康发展，公司也致力渠道库存改善，同时基于经营性现金流管理的角度出发也减少了赊销类订单。除渠道库存外，公司其他核心经营数据，如应收账款、存货和经营性现金流净额均健康向上。从10月份的营销情况看，随着一系列措施的有效实行，渠道的库存压力已逐步在减轻。</w:t>
            </w:r>
          </w:p>
          <w:p w14:paraId="0B55A427">
            <w:pPr>
              <w:spacing w:line="360" w:lineRule="auto"/>
              <w:rPr>
                <w:rFonts w:ascii="Times New Roman" w:hAnsi="Times New Roman"/>
                <w:sz w:val="24"/>
              </w:rPr>
            </w:pPr>
          </w:p>
          <w:p w14:paraId="0EBCA0DF">
            <w:pPr>
              <w:numPr>
                <w:ilvl w:val="0"/>
                <w:numId w:val="2"/>
              </w:numPr>
              <w:spacing w:line="360" w:lineRule="auto"/>
              <w:ind w:firstLine="0"/>
              <w:rPr>
                <w:rFonts w:hint="eastAsia" w:ascii="Times New Roman" w:hAnsi="Times New Roman"/>
                <w:b/>
                <w:sz w:val="24"/>
                <w:lang w:eastAsia="zh-CN"/>
              </w:rPr>
            </w:pPr>
            <w:r>
              <w:rPr>
                <w:rFonts w:ascii="Times New Roman" w:hAnsi="Times New Roman"/>
                <w:b/>
                <w:sz w:val="24"/>
              </w:rPr>
              <w:t>公司降本增效的举措</w:t>
            </w:r>
            <w:r>
              <w:rPr>
                <w:rFonts w:hint="eastAsia" w:ascii="Times New Roman" w:hAnsi="Times New Roman"/>
                <w:b/>
                <w:sz w:val="24"/>
              </w:rPr>
              <w:t>？</w:t>
            </w:r>
          </w:p>
          <w:p w14:paraId="5D4B9201">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答：公司对提升利润率也制定了多个举措，首先原材料方面，我们正在加大和国内原材料厂商的战略合作，来保证我们原材料的成本可控。此外，公司在去年基础上仍将自上而下坚决执行降本增效政策，同时在现有基础上进一步优化新业务研发投入，这样可以把资金用在更能快速出商业化成果的项目上。</w:t>
            </w:r>
          </w:p>
          <w:p w14:paraId="05CEA654">
            <w:pPr>
              <w:spacing w:line="360" w:lineRule="auto"/>
              <w:rPr>
                <w:rFonts w:ascii="Times New Roman" w:hAnsi="Times New Roman"/>
                <w:sz w:val="24"/>
              </w:rPr>
            </w:pPr>
          </w:p>
          <w:p w14:paraId="591684F6">
            <w:pPr>
              <w:numPr>
                <w:ilvl w:val="0"/>
                <w:numId w:val="2"/>
              </w:numPr>
              <w:spacing w:line="360" w:lineRule="auto"/>
              <w:ind w:firstLine="0"/>
              <w:rPr>
                <w:rFonts w:hint="eastAsia" w:ascii="Times New Roman" w:hAnsi="Times New Roman"/>
                <w:b/>
                <w:sz w:val="24"/>
              </w:rPr>
            </w:pPr>
            <w:r>
              <w:rPr>
                <w:rFonts w:hint="eastAsia" w:ascii="Times New Roman" w:hAnsi="Times New Roman"/>
                <w:b/>
                <w:sz w:val="24"/>
              </w:rPr>
              <w:t>集采已落地省份执行落地情况？出厂价降幅区间和给经销商的利润空间大致有多少？</w:t>
            </w:r>
          </w:p>
          <w:p w14:paraId="2D72397D">
            <w:pPr>
              <w:spacing w:line="360" w:lineRule="auto"/>
              <w:rPr>
                <w:rFonts w:ascii="Times New Roman" w:hAnsi="Times New Roman"/>
                <w:sz w:val="24"/>
              </w:rPr>
            </w:pPr>
            <w:r>
              <w:rPr>
                <w:rFonts w:hint="eastAsia" w:ascii="Times New Roman" w:hAnsi="Times New Roman"/>
                <w:sz w:val="24"/>
              </w:rPr>
              <w:t>答：对于集采，公司在年初已启动了新一轮和各家代理商的议价过程，已经基本完成。价格变动情况根据各省实际情况会有所调整，整体从公司今年的试剂毛利率情况可以看出，出厂价的降幅是比较小的，从营销端来看，年初到现在我们给到渠道端的利润空间受集采调价的影响不大，相比来说而进口代理商的利润被很大程度上压缩了。而今年上半年的业绩来看，我们化学发光整体收入增速和去年同期相比稳中有升。而从去年12月集采报量和中标情况来看，我们坚定认为：当下发光仍然是进口企业为主导份额，国产替代空间很大，而安徽集采的规则和施行会加速国产替代的速度，也有利于终端市场增加更能解决临床需求及利润空间较大的特色项目的需求。</w:t>
            </w:r>
          </w:p>
          <w:p w14:paraId="3F925AB6">
            <w:pPr>
              <w:spacing w:line="360" w:lineRule="auto"/>
              <w:rPr>
                <w:rFonts w:ascii="Times New Roman" w:hAnsi="Times New Roman"/>
                <w:sz w:val="24"/>
              </w:rPr>
            </w:pPr>
          </w:p>
          <w:p w14:paraId="19008BAC">
            <w:pPr>
              <w:numPr>
                <w:ilvl w:val="0"/>
                <w:numId w:val="2"/>
              </w:numPr>
              <w:spacing w:line="360" w:lineRule="auto"/>
              <w:ind w:firstLine="0"/>
              <w:rPr>
                <w:rFonts w:hint="eastAsia" w:ascii="Times New Roman" w:hAnsi="Times New Roman"/>
                <w:b/>
                <w:sz w:val="24"/>
              </w:rPr>
            </w:pPr>
            <w:r>
              <w:rPr>
                <w:rFonts w:hint="eastAsia" w:ascii="Times New Roman" w:hAnsi="Times New Roman"/>
                <w:b/>
                <w:sz w:val="24"/>
              </w:rPr>
              <w:t>后续肿标及甲功的集采对于公司的影响以及公司的应对措施？</w:t>
            </w:r>
          </w:p>
          <w:p w14:paraId="32BF49BE">
            <w:pPr>
              <w:spacing w:line="360" w:lineRule="auto"/>
              <w:rPr>
                <w:rFonts w:ascii="Times New Roman" w:hAnsi="Times New Roman"/>
                <w:sz w:val="24"/>
              </w:rPr>
            </w:pPr>
            <w:r>
              <w:rPr>
                <w:rFonts w:hint="eastAsia" w:ascii="Times New Roman" w:hAnsi="Times New Roman"/>
                <w:sz w:val="24"/>
              </w:rPr>
              <w:t>答：关于集采后的影响我们也和市场做了比较多的交流和探讨。集采后的价格对于外资来说，其承担的整体降幅较国产更大。当然为了保证经销商的合作，外资也会同步降价，可以预见，将会是双方共担这部分降幅的，这就直接导致外资经销商的利润收到更大压制，出于对利润的追求，他们对应在国内的学术推广、研发、人力等费用空间也可能会被压缩，同时也会进一步转嫁这种压力给经销商，进一步提高了经销商的门槛，同时也间接限制外资在集采后的业务渠道扩展、售后、应用推广能力。综合来看，集采后他们的综合竞争力其实是下来的。同时，对三级医院来说，服务要求更是精细化，要求提供更多贴心服务，需要更多的精益化操作，这样进一步推高成本。这样，我们可以预见，未来的国产企业会更有动力和能力在三级医院以产学研和合规的学术方式进行推广，国产替代的份额也将加速提升。我们也有信心，可以在当前趋势下保持甚至扩大亚辉龙在头部医院的领先份额。关于肿标等项目的集采，从肿标和甲功来看：肿标的国产市占率不到10%，甲功不到20%；也就是说公司和国产友商还有很大的提升空间，而集采提供了重要的机会。同时五月份医保局在《关于加强区域协同做好2024年医药集中采购提质扩面的通知》中有提及肿标等项目集采。公司层面，我们肯定会积极响应并参与报价。集采具体情况要等《征求意见稿》发布后，根据相应政策规则和市场做探讨。</w:t>
            </w:r>
          </w:p>
          <w:p w14:paraId="0CE805F9">
            <w:pPr>
              <w:spacing w:line="360" w:lineRule="auto"/>
              <w:rPr>
                <w:rFonts w:ascii="Times New Roman" w:hAnsi="Times New Roman"/>
                <w:sz w:val="24"/>
              </w:rPr>
            </w:pPr>
          </w:p>
          <w:p w14:paraId="5600DA95">
            <w:pPr>
              <w:numPr>
                <w:ilvl w:val="0"/>
                <w:numId w:val="2"/>
              </w:numPr>
              <w:spacing w:line="360" w:lineRule="auto"/>
              <w:ind w:firstLine="0"/>
              <w:rPr>
                <w:rFonts w:hint="eastAsia" w:ascii="Times New Roman" w:hAnsi="Times New Roman"/>
                <w:b/>
                <w:sz w:val="24"/>
                <w:lang w:eastAsia="zh-CN"/>
              </w:rPr>
            </w:pPr>
            <w:r>
              <w:rPr>
                <w:rFonts w:hint="eastAsia" w:ascii="Times New Roman" w:hAnsi="Times New Roman"/>
                <w:b/>
                <w:sz w:val="24"/>
              </w:rPr>
              <w:t>自免项目在体检市场的潜力，公司对于自免后续的增速预期与竞争格局如何看待？</w:t>
            </w:r>
          </w:p>
          <w:p w14:paraId="402470F8">
            <w:pPr>
              <w:spacing w:line="360" w:lineRule="auto"/>
              <w:rPr>
                <w:rFonts w:hint="eastAsia" w:ascii="Times New Roman" w:hAnsi="Times New Roman"/>
                <w:sz w:val="24"/>
                <w:lang w:val="en-US" w:eastAsia="zh-CN"/>
              </w:rPr>
            </w:pPr>
            <w:r>
              <w:rPr>
                <w:rFonts w:hint="eastAsia" w:ascii="Times New Roman" w:hAnsi="Times New Roman"/>
                <w:sz w:val="24"/>
              </w:rPr>
              <w:t>答：根据BCC Research统计，自免治疗市场在2022年已经超过1000亿美金，是全球仅次于肿瘤的第二大适应症市场，国内自免新药的上市，各种突破性疗法（如PD-L1等）在自免领域的应用也越来越多。其实这个问题公司的业务数据就能回答。今年我们自免整个panel的营收增长了23%，而自免发光增长超过31%。说明自免终端越来越需要能精确定量的方法学，亚辉龙作为国内最早一批自免发光企业，也是国内自免诊断的龙头企业，无论是在方法学的应用还是在产学研推广上都会积极承担这一责任。关于自免诊断市场，2019年国内规模是20多亿，还不是一个大市场。但根据Kalorama 2023年的数据，全球市场中，自免诊断市场份额已经占到8%，仅次于心肌、肿标、糖尿病和蛋白类检测。如果按照这个比例，国内1000亿的IVD市场中，自免诊断的理论市场空间80亿。叠加中国更大的人口基数和未来的老龄化需求，潜在需求市场应该更大。</w:t>
            </w:r>
            <w:r>
              <w:rPr>
                <w:rFonts w:hint="eastAsia" w:ascii="Times New Roman" w:hAnsi="Times New Roman"/>
                <w:sz w:val="24"/>
                <w:lang w:val="en-US" w:eastAsia="zh-CN"/>
              </w:rPr>
              <w:t>从这两年的行业增速看，自免和心肌在发光领域也是增速最快的项目，这个赛道的成长性毋庸置疑。竞争格局这块，按照方法学区分大约是膜条50%，发光30%，荧光和其它方法学大约20%。膜条目前还是欧蒙为主，我们也在积极通过性价比更高的产品实现国产替代；发光这块，以我们、科新、丽珠、康润、携光、浩欧博为代表的一批发光企业已经成长起来了，传统发光龙头也有向这个赛道进军的迹象，大家一起做大这个蛋糕。亚辉龙在这个赛道的传统优势没有改变，那就是我们是国内方法学最全、试剂菜单最丰富以及软硬件赋能实力最强的自免诊断服务提供商；同时在特色创新项目上，我们还在持续发力。今年我们在国内首家推出了天疱疮四项化学发光法检测套餐，朝着ABSD这一复杂难治型疾病的量化和分型诊断迈出了一大步。未来我们仍旧会在自免赛道为大家带来更多兼顾临床需求和检测可及性的创新产品，持续夯实我们国内自免检测龙头的地位。</w:t>
            </w:r>
          </w:p>
          <w:p w14:paraId="401A473B">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随着公众健康意识增强，“未病先治”的理念已深入人心。自身免疫性疾病是机体对自身抗原产生免疫反应引发的复杂疾病，发病率高，临床表现多样，可能严重影响健康，且易反复发作，难以根治。目前已知存在超过100种自身免疫性疾病，影响着超过5%的人群，已被世界卫生组织列为第三大健康威胁。其实在自身免疫性疾病出现临床症状之前，患者血清中可能已存在自身抗体。因此，在体检中检测自身抗体对于早期发现疾病、监测疾病活动性和疗效评估至关重要。2023年发布的《成人个体化健康体检项目推荐专家共识》建议，在冠心病、脑卒中、肝癌和糖尿病等高风险人群中筛查相关自身抗体，以实现精准评估和干预.目前很多公立三甲医院和第三方也推出了不同自身抗体检测的体检组合套餐满足公众的需求。</w:t>
            </w:r>
          </w:p>
          <w:p w14:paraId="62B8AD43">
            <w:pPr>
              <w:spacing w:line="360" w:lineRule="auto"/>
              <w:rPr>
                <w:rFonts w:ascii="Times New Roman" w:hAnsi="Times New Roman"/>
                <w:sz w:val="24"/>
              </w:rPr>
            </w:pPr>
          </w:p>
          <w:p w14:paraId="3DC28957">
            <w:pPr>
              <w:numPr>
                <w:ilvl w:val="0"/>
                <w:numId w:val="2"/>
              </w:numPr>
              <w:spacing w:line="360" w:lineRule="auto"/>
              <w:ind w:firstLine="0"/>
              <w:rPr>
                <w:rFonts w:hint="eastAsia" w:ascii="Times New Roman" w:hAnsi="Times New Roman"/>
                <w:b/>
                <w:sz w:val="24"/>
                <w:lang w:eastAsia="zh-CN"/>
              </w:rPr>
            </w:pPr>
            <w:r>
              <w:rPr>
                <w:rFonts w:hint="eastAsia" w:ascii="Times New Roman" w:hAnsi="Times New Roman"/>
                <w:b/>
                <w:sz w:val="24"/>
              </w:rPr>
              <w:t>海外的注册进展，毛利率水平及变动趋势</w:t>
            </w:r>
            <w:r>
              <w:rPr>
                <w:rFonts w:hint="eastAsia" w:ascii="Times New Roman" w:hAnsi="Times New Roman"/>
                <w:b/>
                <w:sz w:val="24"/>
                <w:lang w:eastAsia="zh-CN"/>
              </w:rPr>
              <w:t>？</w:t>
            </w:r>
          </w:p>
          <w:p w14:paraId="4BA53C83">
            <w:pPr>
              <w:spacing w:line="360" w:lineRule="auto"/>
              <w:ind w:firstLine="0" w:firstLineChars="0"/>
              <w:rPr>
                <w:rFonts w:hint="eastAsia" w:ascii="Times New Roman" w:hAnsi="Times New Roman"/>
                <w:sz w:val="24"/>
                <w:lang w:val="en-US" w:eastAsia="zh-CN"/>
              </w:rPr>
            </w:pPr>
            <w:r>
              <w:rPr>
                <w:rFonts w:hint="eastAsia" w:ascii="Times New Roman" w:hAnsi="Times New Roman"/>
                <w:sz w:val="24"/>
                <w:lang w:val="en-US" w:eastAsia="zh-CN"/>
              </w:rPr>
              <w:t>答：24年上半年，iBC 900全自动生化分析仪已经开始了海外市场布局并顺利完成国际CE注册。今年三季度，我们也是取得了亚辉龙第一张 IVDR CE Class D 证书。日本的注册周期一般都得3年以上，目前抗磷脂项目注册中，除了日本，公司在独联体、中东等国家或地区，也都在做产品准入注册。</w:t>
            </w:r>
          </w:p>
          <w:p w14:paraId="41B0D91A">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海外市场通过多年深耕，业务逐步稳固，前三季度，海外市场实现化学发光业务收入13,419.38万元，同比增长45.71%。特别是海外市场化学发光试剂（含耗材）营业收入同比增长60.24%，这也反映了公司在海外的装机带动试剂的销售逐步起量。至于海外毛利率这一块，因为现在海外业务仍处于放量早期，因此整体毛利尚不稳定，从今年数据来看，公司海外市场实现毛利率为77.14%，和行业头部企业相比仍有一段距离。但随着试剂收入稳定向上，我们判断未来毛利还有进一步上升空间。</w:t>
            </w:r>
          </w:p>
          <w:p w14:paraId="1D1AA2C5">
            <w:pPr>
              <w:spacing w:line="360" w:lineRule="auto"/>
              <w:rPr>
                <w:rFonts w:ascii="Times New Roman" w:hAnsi="Times New Roman"/>
                <w:sz w:val="24"/>
              </w:rPr>
            </w:pPr>
          </w:p>
          <w:p w14:paraId="71831525">
            <w:pPr>
              <w:numPr>
                <w:ilvl w:val="0"/>
                <w:numId w:val="2"/>
              </w:numPr>
              <w:spacing w:line="360" w:lineRule="auto"/>
              <w:ind w:firstLine="0"/>
              <w:rPr>
                <w:rFonts w:hint="eastAsia" w:ascii="Times New Roman" w:hAnsi="Times New Roman"/>
                <w:b/>
                <w:sz w:val="24"/>
              </w:rPr>
            </w:pPr>
            <w:r>
              <w:rPr>
                <w:rFonts w:hint="eastAsia" w:ascii="Times New Roman" w:hAnsi="Times New Roman"/>
                <w:b/>
                <w:sz w:val="24"/>
              </w:rPr>
              <w:t>研发投入上未来1-2年我们在项目布局上是否会有比较有潜力的项目上市？</w:t>
            </w:r>
          </w:p>
          <w:p w14:paraId="72CCEE44">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答：我们的在研产品这块这两年会有很多核心产品出来，首先看试剂。脑损伤，特别是阿尔茨海默症是当下研究和检测的一个热点。我们与中国科学院物理研究所的阎锡蕴院士合作开发的sCD146是一个全新的阿尔茨海默症检测指标。sCD146目前在脑损伤（阿兹海默症）和神经系统疾病领域都展现了很大的诊断潜力。同时亚辉龙还有aβ1-42, T-tau, p-181、p-Tau 217、aβ1-40、NFL的脑脊液和血液检测项目在加速开发中。然后是自免生殖产线也有重磅产品，我们的抗γ干扰素自身抗体（适应症成人免疫缺陷综合症）已完成开发，处于注册检验中。非标磷脂9项处于临床试验中，预计明年获证。另外在心肌心梗方向，可溶性生长刺激基因2（sST2）在注册临床实验阶段；肝病方向，我们的丁型肝炎病毒IgG抗体、丁型肝炎病毒核酸测定试剂盒（PCR-荧光探针法）目前正在开展临床试验；血栓方面预计在今年年底几个证能获证拿齐。</w:t>
            </w:r>
          </w:p>
          <w:p w14:paraId="3EABCBB9">
            <w:pPr>
              <w:spacing w:line="360" w:lineRule="auto"/>
              <w:rPr>
                <w:rFonts w:ascii="楷体" w:hAnsi="楷体" w:eastAsia="楷体" w:cs="楷体"/>
                <w:b/>
                <w:bCs/>
                <w:color w:val="4472C4" w:themeColor="accent5"/>
                <w:sz w:val="24"/>
                <w:szCs w:val="24"/>
                <w14:textFill>
                  <w14:solidFill>
                    <w14:schemeClr w14:val="accent5"/>
                  </w14:solidFill>
                </w14:textFill>
              </w:rPr>
            </w:pPr>
          </w:p>
          <w:p w14:paraId="29DFE3AF">
            <w:pPr>
              <w:numPr>
                <w:ilvl w:val="0"/>
                <w:numId w:val="2"/>
              </w:numPr>
              <w:spacing w:line="360" w:lineRule="auto"/>
              <w:ind w:firstLine="0"/>
              <w:rPr>
                <w:rFonts w:hint="eastAsia" w:ascii="Times New Roman" w:hAnsi="Times New Roman"/>
                <w:b/>
                <w:sz w:val="24"/>
                <w:lang w:val="en-US" w:eastAsia="zh-CN"/>
              </w:rPr>
            </w:pPr>
            <w:r>
              <w:rPr>
                <w:rFonts w:hint="eastAsia" w:ascii="Times New Roman" w:hAnsi="Times New Roman"/>
                <w:b/>
                <w:sz w:val="24"/>
              </w:rPr>
              <w:t>公司对于业务拓展包括并购等业务是否有考虑</w:t>
            </w:r>
            <w:r>
              <w:rPr>
                <w:rFonts w:hint="eastAsia" w:ascii="Times New Roman" w:hAnsi="Times New Roman"/>
                <w:b/>
                <w:sz w:val="24"/>
                <w:lang w:eastAsia="zh-CN"/>
              </w:rPr>
              <w:t>？</w:t>
            </w:r>
          </w:p>
          <w:p w14:paraId="0DCAAC3E">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答：关于业务外延和并购，大家其实也知道，我们上市三年来从未停止对新业务的投入和探索。相继完成对南京波音特、云康集团、武汉臻熙、达远辰光等公司的参控股投资。公司选择标的的标准主要包括：1.和公司主业强相关，核心技术平台有望迭代当前主流产品技术的创新型企业。2.公司产业链上下游，或能有效完善公司产业链，实现降本增效的标的。3.能和公司国际营销业务形成强协同，助力公司业务出海的海外标的。在IVD赛道，任何伟大企业的形成都伴随着对新业务的并购整合。因此我们欢迎投资人朋友和我们一同挖掘潜在标的。但这一切的前提还是立足主业做大做强，把我们的基本功练扎实。</w:t>
            </w:r>
          </w:p>
          <w:p w14:paraId="7D77BF4D">
            <w:pPr>
              <w:spacing w:line="360" w:lineRule="auto"/>
              <w:rPr>
                <w:rFonts w:hint="eastAsia" w:ascii="楷体" w:hAnsi="楷体" w:eastAsia="楷体"/>
                <w:sz w:val="24"/>
                <w:szCs w:val="24"/>
                <w:lang w:val="en-US" w:eastAsia="zh-CN"/>
              </w:rPr>
            </w:pPr>
          </w:p>
          <w:p w14:paraId="28FBB708">
            <w:pPr>
              <w:numPr>
                <w:ilvl w:val="0"/>
                <w:numId w:val="2"/>
              </w:numPr>
              <w:spacing w:line="360" w:lineRule="auto"/>
              <w:ind w:firstLine="0"/>
              <w:rPr>
                <w:rFonts w:hint="eastAsia" w:ascii="Times New Roman" w:hAnsi="Times New Roman"/>
                <w:b/>
                <w:sz w:val="24"/>
                <w:lang w:eastAsia="zh-CN"/>
              </w:rPr>
            </w:pPr>
            <w:r>
              <w:rPr>
                <w:rFonts w:hint="eastAsia" w:ascii="Times New Roman" w:hAnsi="Times New Roman"/>
                <w:b/>
                <w:sz w:val="24"/>
              </w:rPr>
              <w:t>公司可能步入了前期投入的回报期，也处于行业发展关键节点。公司的战略重心有没有变化？是倾向于继续加大研发、销售投入，还是适当放慢扩张节奏，提升收益？</w:t>
            </w:r>
          </w:p>
          <w:p w14:paraId="4320F9FB">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答：公司仍会坚定不移地继续进行研发投入，特别是在微流控、生化、上游原料等领域以及未来有潜在商业价值的其他平台，创新是企业生命线这一点无论是现在还是未来都不会有丝毫改变。但作为上市公司，本着为全体股东负责的态度，在坚定投研发的同时，我们必须在立项阶段就把研发的投资回报率测算清楚。而随着公司逐渐发展壮大，各产线的研发立项需求逐渐增多，我们一定会把战略资源更多地倾斜到：1. 公司的战略级项目，即能创新性满足临床需求，同时有广大市场空间的项目。比如我们的自免、生殖、糖代谢、肝病、心肌心梗以及脑损伤六大板块。2. 即将迎来商业化阶段，能快速进入变现期的项目。与此同时，公司也通过推进“降本增效”的战略，从精益管理、供应链优化等方面入手，提高整体运营效率。</w:t>
            </w:r>
          </w:p>
          <w:p w14:paraId="2F19F234">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虽然过去几年的扩展期投入较大，但现在的目标是更好地提升市场占有率和市场口碑，并且优化利润结构。未来几年，公司将进一步聚焦于核心市场的发展，并着眼于学术推广、国产替代以及国际市场的拓展，积极推进各类高端产品的研发和上市。特别是在国内外学术推广方面，持续与各大院士合作，深化产学研用。同时，公司还计划通过不断提高装机量和客户覆盖率，实现核心业务收入快速增长。</w:t>
            </w:r>
          </w:p>
          <w:p w14:paraId="50B5D097">
            <w:pPr>
              <w:spacing w:line="360" w:lineRule="auto"/>
              <w:rPr>
                <w:rFonts w:ascii="Times New Roman" w:hAnsi="Times New Roman"/>
                <w:sz w:val="24"/>
              </w:rPr>
            </w:pPr>
          </w:p>
          <w:p w14:paraId="2590AFAE">
            <w:pPr>
              <w:numPr>
                <w:ilvl w:val="0"/>
                <w:numId w:val="2"/>
              </w:numPr>
              <w:spacing w:line="360" w:lineRule="auto"/>
              <w:ind w:firstLine="0"/>
              <w:rPr>
                <w:rFonts w:hint="eastAsia" w:ascii="Times New Roman" w:hAnsi="Times New Roman"/>
                <w:b/>
                <w:sz w:val="24"/>
              </w:rPr>
            </w:pPr>
            <w:r>
              <w:rPr>
                <w:rFonts w:hint="eastAsia" w:ascii="Times New Roman" w:hAnsi="Times New Roman"/>
                <w:b/>
                <w:sz w:val="24"/>
              </w:rPr>
              <w:t>在集采的省份之外，各地关于发光的政策如何？这部分省份的特点和集采省份有区别吗，公司在这些省份做了什么工作开拓市场？</w:t>
            </w:r>
          </w:p>
          <w:p w14:paraId="6F54A188">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答：集采之外的省份，虽然没有参与集采，但是很多地区都要求按照集采的价格来实施落地，或者参考集采的价格来进院。这些省份的区别就在于，非集采省份医院的自由度相对会大一些，可以不受集采报量的限制，又可以参考集采价格执行。公司围绕学术引领销售、标杆带动周边策略，贴近临床，组织一些专业的学术会议，与医院、高校开展多中心的研究，持续挖掘临床需求，同时，积极培养扶植经销商，协助投标报价，与经销商携手共进，开拓市场。</w:t>
            </w:r>
          </w:p>
          <w:p w14:paraId="1C840EBC">
            <w:pPr>
              <w:spacing w:line="360" w:lineRule="auto"/>
              <w:rPr>
                <w:rFonts w:ascii="Times New Roman" w:hAnsi="Times New Roman"/>
                <w:sz w:val="24"/>
              </w:rPr>
            </w:pPr>
          </w:p>
          <w:p w14:paraId="6664D64A">
            <w:pPr>
              <w:numPr>
                <w:ilvl w:val="0"/>
                <w:numId w:val="2"/>
              </w:numPr>
              <w:spacing w:line="360" w:lineRule="auto"/>
              <w:ind w:firstLine="0"/>
              <w:rPr>
                <w:rFonts w:hint="eastAsia" w:ascii="Times New Roman" w:hAnsi="Times New Roman"/>
                <w:b/>
                <w:sz w:val="24"/>
              </w:rPr>
            </w:pPr>
            <w:r>
              <w:rPr>
                <w:rFonts w:hint="eastAsia" w:ascii="Times New Roman" w:hAnsi="Times New Roman"/>
                <w:b/>
                <w:sz w:val="24"/>
              </w:rPr>
              <w:t>请问领导如何看待今后三年IVD产业的发展动力？行业的增长中枢预计会在什么水平呢？有没有什么结构性变化？</w:t>
            </w:r>
          </w:p>
          <w:p w14:paraId="37E14CA9">
            <w:pPr>
              <w:spacing w:line="360" w:lineRule="auto"/>
              <w:rPr>
                <w:rFonts w:hint="eastAsia" w:ascii="Times New Roman" w:hAnsi="Times New Roman"/>
                <w:sz w:val="24"/>
                <w:lang w:val="en-US" w:eastAsia="zh-CN"/>
              </w:rPr>
            </w:pPr>
            <w:r>
              <w:rPr>
                <w:rFonts w:hint="eastAsia" w:ascii="Times New Roman" w:hAnsi="Times New Roman"/>
                <w:sz w:val="24"/>
                <w:lang w:val="en-US" w:eastAsia="zh-CN"/>
              </w:rPr>
              <w:t>答：从长期看，行业的阵痛迟早会过去，中国体外诊断的临床需求依然旺盛，国产替代的大潮也势不可挡。</w:t>
            </w:r>
          </w:p>
          <w:p w14:paraId="69165A34">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从国家政策层面来看，国家重视医疗，国家对其投入在不断增加，比如新农合、近几年也有新医院扩建，并且如何将高端医疗下沉到乡镇是目前国家重点关注。医疗行业未来会不断增长，未来会成为国家经济的支柱产业，并且医疗会拉动基础研究，带动产学研，总的来说医疗行业是朝阳产业。其次，从市场来说，市场非常庞大，尤其是国际业务，亚辉龙的海外市场营收与占比也在不断提升，同时也是未来的一个发展重点，相信未来公司会越来越被海外市场认可，不断培养队伍，未来还有非常大的海外增长空间；从国内市场来看，虽然近几年受到新冠影响，但是随着社会老龄化，市场会逐渐恢复，甚至需求会更大。同时，发光赛道这两年正经历结构化转型期，我们相信赛道依然长坡厚雪，但未来成为赛道主力板块的，一定是更满足临床需求，能给出更有价值诊断参考的项目。因此我们相信，亚辉龙的“特色带常规”打法不止在渠道渗透，包括在项目迭代上也有望有更大的放量空间。</w:t>
            </w:r>
          </w:p>
          <w:p w14:paraId="29B69788">
            <w:pPr>
              <w:spacing w:line="360" w:lineRule="auto"/>
              <w:rPr>
                <w:rFonts w:ascii="Times New Roman" w:hAnsi="Times New Roman"/>
                <w:b/>
                <w:bCs/>
                <w:sz w:val="24"/>
              </w:rPr>
            </w:pPr>
          </w:p>
        </w:tc>
      </w:tr>
    </w:tbl>
    <w:p w14:paraId="7B45182C">
      <w:pPr>
        <w:rPr>
          <w:rFonts w:ascii="Times New Roman" w:hAnsi="Times New Roman" w:eastAsiaTheme="minorEastAsia"/>
          <w:sz w:val="24"/>
        </w:rPr>
      </w:pPr>
    </w:p>
    <w:p w14:paraId="1FBFBBC7">
      <w:pPr>
        <w:rPr>
          <w:rFonts w:ascii="Times New Roman" w:hAnsi="Times New Roman" w:eastAsiaTheme="minorEastAsia"/>
          <w:sz w:val="24"/>
        </w:rPr>
      </w:pPr>
      <w:r>
        <w:rPr>
          <w:rFonts w:ascii="Times New Roman" w:hAnsi="Times New Roman" w:eastAsiaTheme="minorEastAsia"/>
          <w:sz w:val="24"/>
        </w:rPr>
        <w:br w:type="page"/>
      </w:r>
    </w:p>
    <w:p w14:paraId="3FBB356A">
      <w:pPr>
        <w:rPr>
          <w:rFonts w:ascii="Times New Roman" w:hAnsi="Times New Roman" w:eastAsiaTheme="minorEastAsia"/>
          <w:sz w:val="24"/>
        </w:rPr>
      </w:pPr>
      <w:r>
        <w:rPr>
          <w:rFonts w:ascii="Times New Roman" w:hAnsi="Times New Roman" w:eastAsiaTheme="minorEastAsia"/>
          <w:sz w:val="24"/>
        </w:rPr>
        <w:t>附件：</w:t>
      </w:r>
    </w:p>
    <w:p w14:paraId="265A0B84">
      <w:pPr>
        <w:jc w:val="center"/>
        <w:rPr>
          <w:rFonts w:ascii="Times New Roman" w:hAnsi="Times New Roman" w:eastAsiaTheme="minorEastAsia"/>
          <w:b/>
          <w:bCs/>
          <w:sz w:val="24"/>
        </w:rPr>
      </w:pPr>
      <w:r>
        <w:rPr>
          <w:rFonts w:ascii="Times New Roman" w:hAnsi="Times New Roman" w:eastAsiaTheme="minorEastAsia"/>
          <w:b/>
          <w:bCs/>
          <w:sz w:val="24"/>
        </w:rPr>
        <w:t>与会清单</w:t>
      </w:r>
    </w:p>
    <w:tbl>
      <w:tblPr>
        <w:tblStyle w:val="8"/>
        <w:tblW w:w="9067" w:type="dxa"/>
        <w:tblInd w:w="-383" w:type="dxa"/>
        <w:tblLayout w:type="fixed"/>
        <w:tblCellMar>
          <w:top w:w="15" w:type="dxa"/>
          <w:left w:w="15" w:type="dxa"/>
          <w:bottom w:w="15" w:type="dxa"/>
          <w:right w:w="15" w:type="dxa"/>
        </w:tblCellMar>
      </w:tblPr>
      <w:tblGrid>
        <w:gridCol w:w="578"/>
        <w:gridCol w:w="3689"/>
        <w:gridCol w:w="589"/>
        <w:gridCol w:w="4211"/>
      </w:tblGrid>
      <w:tr w14:paraId="633CC6D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D12">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8BFA">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CBC9">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E0C">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r>
      <w:tr w14:paraId="4BE6136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F64D">
            <w:pPr>
              <w:widowControl/>
              <w:jc w:val="center"/>
              <w:textAlignment w:val="center"/>
              <w:rPr>
                <w:rFonts w:ascii="Times New Roman" w:hAnsi="Times New Roman"/>
                <w:sz w:val="24"/>
              </w:rPr>
            </w:pPr>
            <w:r>
              <w:rPr>
                <w:rFonts w:ascii="Times New Roman" w:hAnsi="Times New Roman"/>
                <w:color w:val="000000"/>
                <w:kern w:val="0"/>
                <w:sz w:val="24"/>
                <w:lang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6BB">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HBM Partners Hong Kong Limited</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7408">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953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国信证券股份有限公司</w:t>
            </w:r>
          </w:p>
        </w:tc>
      </w:tr>
      <w:tr w14:paraId="29EB63F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C600">
            <w:pPr>
              <w:widowControl/>
              <w:jc w:val="center"/>
              <w:textAlignment w:val="center"/>
              <w:rPr>
                <w:rFonts w:ascii="Times New Roman" w:hAnsi="Times New Roman"/>
                <w:sz w:val="24"/>
              </w:rPr>
            </w:pPr>
            <w:r>
              <w:rPr>
                <w:rFonts w:ascii="Times New Roman" w:hAnsi="Times New Roman"/>
                <w:color w:val="000000"/>
                <w:kern w:val="0"/>
                <w:sz w:val="24"/>
                <w:lang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05DE">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MS</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1A48">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47C">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海赢基金</w:t>
            </w:r>
          </w:p>
        </w:tc>
      </w:tr>
      <w:tr w14:paraId="4B7FF2C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915">
            <w:pPr>
              <w:widowControl/>
              <w:jc w:val="center"/>
              <w:textAlignment w:val="center"/>
              <w:rPr>
                <w:rFonts w:ascii="Times New Roman" w:hAnsi="Times New Roman"/>
                <w:sz w:val="24"/>
              </w:rPr>
            </w:pPr>
            <w:r>
              <w:rPr>
                <w:rFonts w:ascii="Times New Roman" w:hAnsi="Times New Roman"/>
                <w:color w:val="000000"/>
                <w:kern w:val="0"/>
                <w:sz w:val="24"/>
                <w:lang w:bidi="ar"/>
              </w:rPr>
              <w:t>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489">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Superstring Capital Management LP</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211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7A7D">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杭州优益增投资</w:t>
            </w:r>
          </w:p>
        </w:tc>
      </w:tr>
      <w:tr w14:paraId="5D9B32F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C6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4C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Yong Rong (HK) Asset Management Limited</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51EA">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F7C">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杭州兆石投资管理有限公司</w:t>
            </w:r>
          </w:p>
        </w:tc>
      </w:tr>
      <w:tr w14:paraId="3EFD59D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DC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43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ZEAL ASSET MANAGEMENT LIMITED</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D01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15A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宏利基金管理有限公司</w:t>
            </w:r>
          </w:p>
        </w:tc>
      </w:tr>
      <w:tr w14:paraId="657CC0E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FD1">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D32">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安信基金管理有限责任公司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50F1">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6F3E">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湖南聚力财富私募基金管理有限公司</w:t>
            </w:r>
          </w:p>
        </w:tc>
      </w:tr>
      <w:tr w14:paraId="47E758E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3A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E379">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保银</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852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61A">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湖南源乘私募基金管理有限公司</w:t>
            </w:r>
          </w:p>
        </w:tc>
      </w:tr>
      <w:tr w14:paraId="3604AA9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55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8FEA">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北京金百镕投资管理有限公司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2A35">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711B">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华安证券</w:t>
            </w:r>
          </w:p>
        </w:tc>
      </w:tr>
      <w:tr w14:paraId="35F6D3F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F8B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28B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北京康曼德私募基金管理有限公司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740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735D">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华宝基金管理有限公司</w:t>
            </w:r>
          </w:p>
        </w:tc>
      </w:tr>
      <w:tr w14:paraId="7FBA1ED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7FDB">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62D1">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北京颐和久富投资管理有限公司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5DEB">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92B">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华宸未来基金管理有限公司</w:t>
            </w:r>
          </w:p>
        </w:tc>
      </w:tr>
      <w:tr w14:paraId="4EA5DE5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F7C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11AB">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北银理财有限责任公司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8CE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9CEF">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华创证券</w:t>
            </w:r>
          </w:p>
        </w:tc>
      </w:tr>
      <w:tr w14:paraId="39C4D82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4509">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C26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博道基金管理有限公司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AB9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D2B0">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华美国际投资集团有限公司</w:t>
            </w:r>
          </w:p>
        </w:tc>
      </w:tr>
      <w:tr w14:paraId="2C89FEB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517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A3A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博时基金管理有限公司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689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1402">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华能贵诚信托有限公司</w:t>
            </w:r>
          </w:p>
        </w:tc>
      </w:tr>
      <w:tr w14:paraId="680C112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C0A8">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D7A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博裕资本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173">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2740">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华尚股权投资有限责任公司</w:t>
            </w:r>
          </w:p>
        </w:tc>
      </w:tr>
      <w:tr w14:paraId="18D67D1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26F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C41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博远基金管理有限公司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52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7B0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华泰医药</w:t>
            </w:r>
          </w:p>
        </w:tc>
      </w:tr>
      <w:tr w14:paraId="1EB4F8A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5631">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C7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渤海人寿保险股份有限公司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FA8B">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239A">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华鑫证券</w:t>
            </w:r>
          </w:p>
        </w:tc>
      </w:tr>
      <w:tr w14:paraId="065E483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9FA">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445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淡水泉（北京）投资管理有限公司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23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07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汇安基金管理有限责任公司</w:t>
            </w:r>
          </w:p>
        </w:tc>
      </w:tr>
      <w:tr w14:paraId="78FFBBA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D05A">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2BA">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德邦基金管理有限公司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0B5">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068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嘉实基金管理有限公司</w:t>
            </w:r>
          </w:p>
        </w:tc>
      </w:tr>
      <w:tr w14:paraId="3658ADF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683">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DCC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东方财富证券资产管理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65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7EA2">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建信基金管理有限责任公司</w:t>
            </w:r>
          </w:p>
        </w:tc>
      </w:tr>
      <w:tr w14:paraId="416293F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545">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1C90">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东方证券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A48">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6CF">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交银施罗德基金管理有限公司</w:t>
            </w:r>
          </w:p>
        </w:tc>
      </w:tr>
      <w:tr w14:paraId="25C2E84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DCE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30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东证融汇证券资产管理有限公司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CFA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29BF">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金信基金管理有限公司</w:t>
            </w:r>
          </w:p>
        </w:tc>
      </w:tr>
      <w:tr w14:paraId="1BD24E4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185B">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FFB2">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敦和资产管理有限公司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9C02">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99F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龙场（北京）投资管理有限公司</w:t>
            </w:r>
          </w:p>
        </w:tc>
      </w:tr>
      <w:tr w14:paraId="51B6448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41E8">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9822">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方正证券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560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BF3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民生证券股份有限公司</w:t>
            </w:r>
          </w:p>
        </w:tc>
      </w:tr>
      <w:tr w14:paraId="0364036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58A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1AA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丰琰资产</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05A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9E1C">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摩根士丹利基金管理（中国）有限公司</w:t>
            </w:r>
          </w:p>
        </w:tc>
      </w:tr>
      <w:tr w14:paraId="62F9CF5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4CD3">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4EDB">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复星恒利证券有限公司资管部</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4DF9">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3E09">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宁波三登投资管理合伙企业（有限合伙）</w:t>
            </w:r>
          </w:p>
        </w:tc>
      </w:tr>
      <w:tr w14:paraId="2967252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90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BD9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广东民营投资股份有限公司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2085">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E75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农银人寿保险股份有限公司</w:t>
            </w:r>
          </w:p>
        </w:tc>
      </w:tr>
      <w:tr w14:paraId="015CE4B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02B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BED0">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广东正圆私募基金管理有限公司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5E1E">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542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平安资产管理有限责任公司</w:t>
            </w:r>
          </w:p>
        </w:tc>
      </w:tr>
      <w:tr w14:paraId="10107AB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F72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D9A2">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广发基金管理有限公司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5E3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04DB">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浦银国际</w:t>
            </w:r>
          </w:p>
        </w:tc>
      </w:tr>
      <w:tr w14:paraId="7BFC405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125E">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AFB7">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国海证券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D31A">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FED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前海互兴</w:t>
            </w:r>
          </w:p>
        </w:tc>
      </w:tr>
      <w:tr w14:paraId="46EE24C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F929">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3C49">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国联证券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E582">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4DA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前海睿信</w:t>
            </w:r>
          </w:p>
        </w:tc>
      </w:tr>
      <w:tr w14:paraId="442DF97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AEB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C0BF">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国盛证券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63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FBDE">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青榕资产</w:t>
            </w:r>
          </w:p>
        </w:tc>
      </w:tr>
      <w:tr w14:paraId="4D935020">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59A9">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D5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国泰基金管理有限公司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65E7">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C70F">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泉果基金管理有限公司</w:t>
            </w:r>
          </w:p>
        </w:tc>
      </w:tr>
      <w:tr w14:paraId="71A19F8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113">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F021">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国泰君安</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A8E2">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A51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融通基金管理有限公司</w:t>
            </w:r>
          </w:p>
        </w:tc>
      </w:tr>
      <w:tr w14:paraId="70E2D28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137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771A">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国投信托-景泰复利</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830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F0BC">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锐智资本</w:t>
            </w:r>
          </w:p>
        </w:tc>
      </w:tr>
      <w:tr w14:paraId="4AECDDA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AE99">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ADF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国投证券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13B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139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润晖</w:t>
            </w:r>
          </w:p>
        </w:tc>
      </w:tr>
      <w:tr w14:paraId="6B6D40F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49F7">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96BF">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山高国际资产管理有限公司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3B0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C57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无锡汇蠡投资管理中心（有限合伙）</w:t>
            </w:r>
          </w:p>
        </w:tc>
      </w:tr>
      <w:tr w14:paraId="6667D55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AE37">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BF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上海东方证券资产管理有限公司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CE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653A">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西南证券</w:t>
            </w:r>
          </w:p>
        </w:tc>
      </w:tr>
      <w:tr w14:paraId="2B78494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E232">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0E6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上海高毅资产管理合伙企业（有限合伙）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06F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4BB9">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信达澳亚基金管理有限公司</w:t>
            </w:r>
          </w:p>
        </w:tc>
      </w:tr>
      <w:tr w14:paraId="767AC2D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C0CE">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2C6C">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上海贵源投资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0FB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B3C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兴华基金管理有限公司</w:t>
            </w:r>
          </w:p>
        </w:tc>
      </w:tr>
      <w:tr w14:paraId="22BA06F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881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5CDD">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上海和谐汇一资产管理有限公司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6A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125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兴业证券</w:t>
            </w:r>
          </w:p>
        </w:tc>
      </w:tr>
      <w:tr w14:paraId="594C20C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92D1">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86D">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上海玖鹏资产管理中心(有限合伙)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07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10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循远资产管理（上海）有限公司</w:t>
            </w:r>
          </w:p>
        </w:tc>
      </w:tr>
      <w:tr w14:paraId="7D932C9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4749">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BD0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上海朴易资产管理有限公司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6EF2">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B8A9">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阳光资产管理股份有限公司</w:t>
            </w:r>
          </w:p>
        </w:tc>
      </w:tr>
      <w:tr w14:paraId="7CDBE58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CD38">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C6C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上海勤远资产管理有限公司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175">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A51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易方达基金管理有限公司</w:t>
            </w:r>
          </w:p>
        </w:tc>
      </w:tr>
      <w:tr w14:paraId="28FD60B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082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E94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上海人寿保险股份有限公司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32E">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A6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易米基金管理有限公司</w:t>
            </w:r>
          </w:p>
        </w:tc>
      </w:tr>
      <w:tr w14:paraId="036E33B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03C1">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A10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上海睿扬投资管理有限公司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2BEA">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F6CE">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长盛基金管理有限公司</w:t>
            </w:r>
          </w:p>
        </w:tc>
      </w:tr>
      <w:tr w14:paraId="79E0B0F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70B">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E010">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上海慎知资产管理合伙企业(有限合伙)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50DD">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104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FAC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招商基金管理有限公司</w:t>
            </w:r>
          </w:p>
        </w:tc>
      </w:tr>
      <w:tr w14:paraId="18621BF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7EFE">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570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上海晟盟资产管理有限公司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A97F">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105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83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浙商证券</w:t>
            </w:r>
          </w:p>
        </w:tc>
      </w:tr>
      <w:tr w14:paraId="5F27411A">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67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EFE">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上海盛宇股权投资基金管理有限公司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75D1">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5AE4">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中庚基金管理有限公司</w:t>
            </w:r>
          </w:p>
        </w:tc>
      </w:tr>
      <w:tr w14:paraId="6AB146B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39E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84F7">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上海禧弘私募基金管理有限公司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29F5">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A417">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中金公司</w:t>
            </w:r>
          </w:p>
        </w:tc>
      </w:tr>
      <w:tr w14:paraId="45CFC0A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78A">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1A02">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上海易正朗投资管理有限公司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2AB7">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585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中欧基金管理有限公司</w:t>
            </w:r>
          </w:p>
        </w:tc>
      </w:tr>
      <w:tr w14:paraId="3E7596C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4CF6">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818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上海中域投资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DF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F5FB">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中融汇信投资有限公司</w:t>
            </w:r>
          </w:p>
        </w:tc>
      </w:tr>
      <w:tr w14:paraId="59946DB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B87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521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申万宏源证券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891">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155C">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中泰证券</w:t>
            </w:r>
          </w:p>
        </w:tc>
      </w:tr>
      <w:tr w14:paraId="3C1DC3F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14D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70E">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深圳固禾私募证券基金管理有限公司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D41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58DA">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中信建投证券</w:t>
            </w:r>
          </w:p>
        </w:tc>
      </w:tr>
      <w:tr w14:paraId="0EAE696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307F">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AD7">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深圳市博隆伟业私募证券投资基金管理有限公司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9D93">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3AC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中信期货资管部</w:t>
            </w:r>
          </w:p>
        </w:tc>
      </w:tr>
      <w:tr w14:paraId="36DFAB4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09BE">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83C6">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深圳昭图投资管理有限公司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015">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BB98">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中信证券</w:t>
            </w:r>
          </w:p>
        </w:tc>
      </w:tr>
      <w:tr w14:paraId="7C10111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9F4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7EFC">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太平洋证券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453C">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B75">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中邮证券</w:t>
            </w:r>
          </w:p>
        </w:tc>
      </w:tr>
      <w:tr w14:paraId="4B71045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2194">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A74F">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天风证券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F25D">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D2E">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珠池资产</w:t>
            </w:r>
          </w:p>
        </w:tc>
      </w:tr>
      <w:tr w14:paraId="4F849278">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D837">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131">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通用技术集团投资管理有限公司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F0F3">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153">
            <w:pPr>
              <w:keepNext w:val="0"/>
              <w:keepLines w:val="0"/>
              <w:widowControl/>
              <w:suppressLineNumbers w:val="0"/>
              <w:jc w:val="left"/>
              <w:textAlignment w:val="center"/>
              <w:rPr>
                <w:rFonts w:ascii="Times New Roman" w:hAnsi="Times New Roman"/>
                <w:color w:val="000000"/>
                <w:kern w:val="0"/>
                <w:sz w:val="24"/>
                <w:lang w:bidi="ar"/>
              </w:rPr>
            </w:pPr>
            <w:r>
              <w:rPr>
                <w:rFonts w:hint="eastAsia" w:ascii="宋体" w:hAnsi="宋体" w:eastAsia="宋体" w:cs="宋体"/>
                <w:i w:val="0"/>
                <w:iCs w:val="0"/>
                <w:color w:val="000000"/>
                <w:kern w:val="0"/>
                <w:sz w:val="22"/>
                <w:szCs w:val="22"/>
                <w:u w:val="none"/>
                <w:lang w:val="en-US" w:eastAsia="zh-CN" w:bidi="ar"/>
              </w:rPr>
              <w:t>珠海盈米基金销售有限公司</w:t>
            </w:r>
          </w:p>
        </w:tc>
      </w:tr>
    </w:tbl>
    <w:p w14:paraId="6BE1DA8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4817F"/>
    <w:multiLevelType w:val="singleLevel"/>
    <w:tmpl w:val="DE64817F"/>
    <w:lvl w:ilvl="0" w:tentative="0">
      <w:start w:val="1"/>
      <w:numFmt w:val="decimal"/>
      <w:suff w:val="nothing"/>
      <w:lvlText w:val="%1．"/>
      <w:lvlJc w:val="left"/>
      <w:pPr>
        <w:ind w:left="0" w:firstLine="400"/>
      </w:pPr>
      <w:rPr>
        <w:rFonts w:hint="default"/>
        <w:color w:val="auto"/>
      </w:rPr>
    </w:lvl>
  </w:abstractNum>
  <w:abstractNum w:abstractNumId="1">
    <w:nsid w:val="7893E51F"/>
    <w:multiLevelType w:val="singleLevel"/>
    <w:tmpl w:val="7893E51F"/>
    <w:lvl w:ilvl="0" w:tentative="0">
      <w:start w:val="1"/>
      <w:numFmt w:val="decimal"/>
      <w:suff w:val="nothing"/>
      <w:lvlText w:val="（%1）"/>
      <w:lvlJc w:val="left"/>
      <w:pPr>
        <w:tabs>
          <w:tab w:val="left" w:pos="0"/>
        </w:tabs>
      </w:pPr>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ZTFkYTFhMzM3MDVlZGQ4ZTg0Yzg2M2NjNTg4OGMifQ=="/>
  </w:docVars>
  <w:rsids>
    <w:rsidRoot w:val="00172A27"/>
    <w:rsid w:val="000019F5"/>
    <w:rsid w:val="0000476B"/>
    <w:rsid w:val="000146DB"/>
    <w:rsid w:val="0002144B"/>
    <w:rsid w:val="000304CF"/>
    <w:rsid w:val="00051074"/>
    <w:rsid w:val="00052E01"/>
    <w:rsid w:val="000600F3"/>
    <w:rsid w:val="000A38E0"/>
    <w:rsid w:val="000B3EAD"/>
    <w:rsid w:val="000C024B"/>
    <w:rsid w:val="000E10EE"/>
    <w:rsid w:val="000E23AF"/>
    <w:rsid w:val="00127BB5"/>
    <w:rsid w:val="00130513"/>
    <w:rsid w:val="00132833"/>
    <w:rsid w:val="0014532C"/>
    <w:rsid w:val="00161935"/>
    <w:rsid w:val="00172A27"/>
    <w:rsid w:val="001849D2"/>
    <w:rsid w:val="00186098"/>
    <w:rsid w:val="00194810"/>
    <w:rsid w:val="001B7ED5"/>
    <w:rsid w:val="001C7C5B"/>
    <w:rsid w:val="001D6695"/>
    <w:rsid w:val="001F6AC9"/>
    <w:rsid w:val="002039FD"/>
    <w:rsid w:val="002145E6"/>
    <w:rsid w:val="00231D49"/>
    <w:rsid w:val="00237684"/>
    <w:rsid w:val="00265043"/>
    <w:rsid w:val="00283901"/>
    <w:rsid w:val="002F0E56"/>
    <w:rsid w:val="002F276D"/>
    <w:rsid w:val="002F2CA5"/>
    <w:rsid w:val="002F4732"/>
    <w:rsid w:val="002F60D3"/>
    <w:rsid w:val="0034358F"/>
    <w:rsid w:val="00354B69"/>
    <w:rsid w:val="00365660"/>
    <w:rsid w:val="00383B1D"/>
    <w:rsid w:val="003F6513"/>
    <w:rsid w:val="00402E97"/>
    <w:rsid w:val="00402F43"/>
    <w:rsid w:val="00404430"/>
    <w:rsid w:val="004121A0"/>
    <w:rsid w:val="00417296"/>
    <w:rsid w:val="00424ABE"/>
    <w:rsid w:val="00426326"/>
    <w:rsid w:val="004329A0"/>
    <w:rsid w:val="00435097"/>
    <w:rsid w:val="004554AA"/>
    <w:rsid w:val="00480EF7"/>
    <w:rsid w:val="004874BD"/>
    <w:rsid w:val="004874D5"/>
    <w:rsid w:val="004D3654"/>
    <w:rsid w:val="004F2B17"/>
    <w:rsid w:val="00501D5F"/>
    <w:rsid w:val="00526503"/>
    <w:rsid w:val="005311AB"/>
    <w:rsid w:val="00571574"/>
    <w:rsid w:val="00575AFB"/>
    <w:rsid w:val="00583597"/>
    <w:rsid w:val="005842D6"/>
    <w:rsid w:val="00593247"/>
    <w:rsid w:val="00593365"/>
    <w:rsid w:val="005B7D27"/>
    <w:rsid w:val="005C53CA"/>
    <w:rsid w:val="005C5E43"/>
    <w:rsid w:val="005C7FE6"/>
    <w:rsid w:val="005E25EB"/>
    <w:rsid w:val="005F1F06"/>
    <w:rsid w:val="006200C5"/>
    <w:rsid w:val="00620D0C"/>
    <w:rsid w:val="0066162A"/>
    <w:rsid w:val="0067069E"/>
    <w:rsid w:val="006845D7"/>
    <w:rsid w:val="00693E56"/>
    <w:rsid w:val="006D031E"/>
    <w:rsid w:val="006D716B"/>
    <w:rsid w:val="006E11E3"/>
    <w:rsid w:val="006F2886"/>
    <w:rsid w:val="006F6093"/>
    <w:rsid w:val="00702BC3"/>
    <w:rsid w:val="00704336"/>
    <w:rsid w:val="00731CF8"/>
    <w:rsid w:val="00743C46"/>
    <w:rsid w:val="00784A24"/>
    <w:rsid w:val="007A126C"/>
    <w:rsid w:val="007C1516"/>
    <w:rsid w:val="007C37DC"/>
    <w:rsid w:val="007F50CB"/>
    <w:rsid w:val="00805353"/>
    <w:rsid w:val="008109BD"/>
    <w:rsid w:val="0084243C"/>
    <w:rsid w:val="00844EAB"/>
    <w:rsid w:val="00880411"/>
    <w:rsid w:val="008A4827"/>
    <w:rsid w:val="008B6FC2"/>
    <w:rsid w:val="008C707D"/>
    <w:rsid w:val="008E2265"/>
    <w:rsid w:val="008E2A0E"/>
    <w:rsid w:val="008E45EE"/>
    <w:rsid w:val="008F636C"/>
    <w:rsid w:val="00904D19"/>
    <w:rsid w:val="009238B4"/>
    <w:rsid w:val="0093354C"/>
    <w:rsid w:val="00935183"/>
    <w:rsid w:val="00936832"/>
    <w:rsid w:val="00944A5D"/>
    <w:rsid w:val="00945C04"/>
    <w:rsid w:val="00975D86"/>
    <w:rsid w:val="009770F3"/>
    <w:rsid w:val="009A2A4F"/>
    <w:rsid w:val="009A31BB"/>
    <w:rsid w:val="009E5850"/>
    <w:rsid w:val="009E6B32"/>
    <w:rsid w:val="009F32F8"/>
    <w:rsid w:val="009F5EA4"/>
    <w:rsid w:val="00A00F22"/>
    <w:rsid w:val="00A05DFA"/>
    <w:rsid w:val="00A15B9C"/>
    <w:rsid w:val="00A17136"/>
    <w:rsid w:val="00A2572B"/>
    <w:rsid w:val="00A47979"/>
    <w:rsid w:val="00A47B86"/>
    <w:rsid w:val="00A47D5E"/>
    <w:rsid w:val="00A51373"/>
    <w:rsid w:val="00A53379"/>
    <w:rsid w:val="00A544FF"/>
    <w:rsid w:val="00A56C4A"/>
    <w:rsid w:val="00A61F58"/>
    <w:rsid w:val="00A659C5"/>
    <w:rsid w:val="00A7632C"/>
    <w:rsid w:val="00A764DD"/>
    <w:rsid w:val="00A80FAF"/>
    <w:rsid w:val="00A84320"/>
    <w:rsid w:val="00AA1023"/>
    <w:rsid w:val="00AB6443"/>
    <w:rsid w:val="00AC079A"/>
    <w:rsid w:val="00AE3720"/>
    <w:rsid w:val="00AF40F8"/>
    <w:rsid w:val="00B01750"/>
    <w:rsid w:val="00B100A8"/>
    <w:rsid w:val="00B33632"/>
    <w:rsid w:val="00B454CD"/>
    <w:rsid w:val="00B50FEA"/>
    <w:rsid w:val="00B51131"/>
    <w:rsid w:val="00B948A4"/>
    <w:rsid w:val="00B95EC5"/>
    <w:rsid w:val="00BD2E78"/>
    <w:rsid w:val="00BD3BF0"/>
    <w:rsid w:val="00BE3FFE"/>
    <w:rsid w:val="00BE6419"/>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C1B78"/>
    <w:rsid w:val="00CC402F"/>
    <w:rsid w:val="00CD37DF"/>
    <w:rsid w:val="00CD6591"/>
    <w:rsid w:val="00D03026"/>
    <w:rsid w:val="00D1098D"/>
    <w:rsid w:val="00D435E4"/>
    <w:rsid w:val="00D67CD4"/>
    <w:rsid w:val="00D83956"/>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50CF"/>
    <w:rsid w:val="00E46FEC"/>
    <w:rsid w:val="00E55AA7"/>
    <w:rsid w:val="00E645F8"/>
    <w:rsid w:val="00E70EE8"/>
    <w:rsid w:val="00E803E7"/>
    <w:rsid w:val="00E91F6E"/>
    <w:rsid w:val="00E92D49"/>
    <w:rsid w:val="00E95649"/>
    <w:rsid w:val="00EA251D"/>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6B1F"/>
    <w:rsid w:val="00FA75A3"/>
    <w:rsid w:val="00FC36E6"/>
    <w:rsid w:val="00FC65C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8D3CD2"/>
    <w:rsid w:val="02A23BF1"/>
    <w:rsid w:val="02A429BD"/>
    <w:rsid w:val="02AE2989"/>
    <w:rsid w:val="02BA21E0"/>
    <w:rsid w:val="02BF3353"/>
    <w:rsid w:val="02DA63DE"/>
    <w:rsid w:val="02FF5E45"/>
    <w:rsid w:val="03010DFA"/>
    <w:rsid w:val="030D056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363869"/>
    <w:rsid w:val="04387860"/>
    <w:rsid w:val="044F7D8F"/>
    <w:rsid w:val="045B07C7"/>
    <w:rsid w:val="046917C8"/>
    <w:rsid w:val="046A6882"/>
    <w:rsid w:val="046E6DB4"/>
    <w:rsid w:val="04706FFA"/>
    <w:rsid w:val="04714B20"/>
    <w:rsid w:val="04A24CDA"/>
    <w:rsid w:val="04A549A2"/>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9845E6"/>
    <w:rsid w:val="06A41EC6"/>
    <w:rsid w:val="06A64F55"/>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80B37"/>
    <w:rsid w:val="07593D76"/>
    <w:rsid w:val="07596ED5"/>
    <w:rsid w:val="075F6EB2"/>
    <w:rsid w:val="07632E46"/>
    <w:rsid w:val="0768220B"/>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1F483A"/>
    <w:rsid w:val="09271C52"/>
    <w:rsid w:val="09383E5F"/>
    <w:rsid w:val="094B3B92"/>
    <w:rsid w:val="09526CCE"/>
    <w:rsid w:val="095567BF"/>
    <w:rsid w:val="09572537"/>
    <w:rsid w:val="09684744"/>
    <w:rsid w:val="09713F02"/>
    <w:rsid w:val="09736C45"/>
    <w:rsid w:val="097B3D2A"/>
    <w:rsid w:val="097C3D4B"/>
    <w:rsid w:val="097E3F67"/>
    <w:rsid w:val="09837CB0"/>
    <w:rsid w:val="09906B6F"/>
    <w:rsid w:val="0992531D"/>
    <w:rsid w:val="09AF1C45"/>
    <w:rsid w:val="09AF6051"/>
    <w:rsid w:val="09C15C02"/>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DF3E28"/>
    <w:rsid w:val="0AE55920"/>
    <w:rsid w:val="0AE71698"/>
    <w:rsid w:val="0AF23140"/>
    <w:rsid w:val="0B127851"/>
    <w:rsid w:val="0B174AB6"/>
    <w:rsid w:val="0B1A1A6E"/>
    <w:rsid w:val="0B3348DE"/>
    <w:rsid w:val="0B4D1E43"/>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F86D50"/>
    <w:rsid w:val="0BFE313E"/>
    <w:rsid w:val="0C0006AD"/>
    <w:rsid w:val="0C063DA0"/>
    <w:rsid w:val="0C0B75AC"/>
    <w:rsid w:val="0C1741FF"/>
    <w:rsid w:val="0C1C1816"/>
    <w:rsid w:val="0C6464C1"/>
    <w:rsid w:val="0C674CAE"/>
    <w:rsid w:val="0C790A16"/>
    <w:rsid w:val="0C796C68"/>
    <w:rsid w:val="0C7C4062"/>
    <w:rsid w:val="0C803B53"/>
    <w:rsid w:val="0C815242"/>
    <w:rsid w:val="0C8A3B58"/>
    <w:rsid w:val="0C991887"/>
    <w:rsid w:val="0CB832EC"/>
    <w:rsid w:val="0CBE28CD"/>
    <w:rsid w:val="0CCD1A0E"/>
    <w:rsid w:val="0CD10852"/>
    <w:rsid w:val="0CD143AE"/>
    <w:rsid w:val="0CD43E9E"/>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87299"/>
    <w:rsid w:val="0E897D34"/>
    <w:rsid w:val="0E9733D5"/>
    <w:rsid w:val="0E9E4764"/>
    <w:rsid w:val="0EA54766"/>
    <w:rsid w:val="0EA87391"/>
    <w:rsid w:val="0EB977F0"/>
    <w:rsid w:val="0ECF62D5"/>
    <w:rsid w:val="0EE505E5"/>
    <w:rsid w:val="0EE57B2C"/>
    <w:rsid w:val="0EE82C7F"/>
    <w:rsid w:val="0EEA1757"/>
    <w:rsid w:val="0EF9796F"/>
    <w:rsid w:val="0F0B2F2E"/>
    <w:rsid w:val="0F1669F0"/>
    <w:rsid w:val="0F2E7896"/>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213DF5"/>
    <w:rsid w:val="104754D6"/>
    <w:rsid w:val="1057106E"/>
    <w:rsid w:val="105714CF"/>
    <w:rsid w:val="10596B94"/>
    <w:rsid w:val="105C21A1"/>
    <w:rsid w:val="1067750E"/>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46B5C"/>
    <w:rsid w:val="11494E5B"/>
    <w:rsid w:val="114F1D45"/>
    <w:rsid w:val="11535CDA"/>
    <w:rsid w:val="1157426E"/>
    <w:rsid w:val="115C6212"/>
    <w:rsid w:val="115F467E"/>
    <w:rsid w:val="11603F53"/>
    <w:rsid w:val="116A163A"/>
    <w:rsid w:val="116F30DD"/>
    <w:rsid w:val="117322E5"/>
    <w:rsid w:val="117417AC"/>
    <w:rsid w:val="11757094"/>
    <w:rsid w:val="11886388"/>
    <w:rsid w:val="1198193E"/>
    <w:rsid w:val="11BD0F7D"/>
    <w:rsid w:val="11BD75F7"/>
    <w:rsid w:val="11C72224"/>
    <w:rsid w:val="11CB3B93"/>
    <w:rsid w:val="11D02E86"/>
    <w:rsid w:val="11DD1A47"/>
    <w:rsid w:val="11FC1ECD"/>
    <w:rsid w:val="11FC6FBB"/>
    <w:rsid w:val="12211934"/>
    <w:rsid w:val="123A29F6"/>
    <w:rsid w:val="12415B32"/>
    <w:rsid w:val="125735A8"/>
    <w:rsid w:val="1292638E"/>
    <w:rsid w:val="12957C2C"/>
    <w:rsid w:val="129C545E"/>
    <w:rsid w:val="12B207DE"/>
    <w:rsid w:val="12B71B73"/>
    <w:rsid w:val="12DC3AAD"/>
    <w:rsid w:val="12E56E05"/>
    <w:rsid w:val="12F21AC5"/>
    <w:rsid w:val="12F268C3"/>
    <w:rsid w:val="13225964"/>
    <w:rsid w:val="133378CC"/>
    <w:rsid w:val="13390EFF"/>
    <w:rsid w:val="139A7BF0"/>
    <w:rsid w:val="13BA5B9C"/>
    <w:rsid w:val="13BD743A"/>
    <w:rsid w:val="13D6674E"/>
    <w:rsid w:val="13ED0BA8"/>
    <w:rsid w:val="13FA243C"/>
    <w:rsid w:val="142B0848"/>
    <w:rsid w:val="143C2A55"/>
    <w:rsid w:val="14467430"/>
    <w:rsid w:val="145A737F"/>
    <w:rsid w:val="146848EA"/>
    <w:rsid w:val="146855F8"/>
    <w:rsid w:val="146927B7"/>
    <w:rsid w:val="146D0E60"/>
    <w:rsid w:val="146E4BD8"/>
    <w:rsid w:val="14A423A8"/>
    <w:rsid w:val="14A8428F"/>
    <w:rsid w:val="14AD5D1E"/>
    <w:rsid w:val="14B7032D"/>
    <w:rsid w:val="14B9386E"/>
    <w:rsid w:val="14D02BF1"/>
    <w:rsid w:val="14D62EA9"/>
    <w:rsid w:val="14E2309A"/>
    <w:rsid w:val="14F41582"/>
    <w:rsid w:val="1514752E"/>
    <w:rsid w:val="15170DCC"/>
    <w:rsid w:val="151B6B0E"/>
    <w:rsid w:val="152A4FA3"/>
    <w:rsid w:val="152D05F0"/>
    <w:rsid w:val="152F136F"/>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034EFD"/>
    <w:rsid w:val="161B48EC"/>
    <w:rsid w:val="162A6EA6"/>
    <w:rsid w:val="16324245"/>
    <w:rsid w:val="163A251B"/>
    <w:rsid w:val="16431CA6"/>
    <w:rsid w:val="167E55A7"/>
    <w:rsid w:val="168F574B"/>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522B84"/>
    <w:rsid w:val="17654405"/>
    <w:rsid w:val="1778657A"/>
    <w:rsid w:val="17793FC0"/>
    <w:rsid w:val="177B2942"/>
    <w:rsid w:val="17924EA8"/>
    <w:rsid w:val="17982698"/>
    <w:rsid w:val="17A728DB"/>
    <w:rsid w:val="17AD77C6"/>
    <w:rsid w:val="17B15508"/>
    <w:rsid w:val="17B209EB"/>
    <w:rsid w:val="17BE5C12"/>
    <w:rsid w:val="17C3523B"/>
    <w:rsid w:val="17C57205"/>
    <w:rsid w:val="17CE60BA"/>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F5EEB"/>
    <w:rsid w:val="18BA03EC"/>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67E27"/>
    <w:rsid w:val="1A197394"/>
    <w:rsid w:val="1A217544"/>
    <w:rsid w:val="1A246465"/>
    <w:rsid w:val="1A345654"/>
    <w:rsid w:val="1A3A7A37"/>
    <w:rsid w:val="1A3B730B"/>
    <w:rsid w:val="1A3F329F"/>
    <w:rsid w:val="1A485230"/>
    <w:rsid w:val="1A4C59BC"/>
    <w:rsid w:val="1A5D544C"/>
    <w:rsid w:val="1A5E7972"/>
    <w:rsid w:val="1A78603A"/>
    <w:rsid w:val="1A9855D1"/>
    <w:rsid w:val="1AB168C2"/>
    <w:rsid w:val="1ABD41C4"/>
    <w:rsid w:val="1ACA4B77"/>
    <w:rsid w:val="1AD25EC1"/>
    <w:rsid w:val="1AD928F8"/>
    <w:rsid w:val="1ADA3EE1"/>
    <w:rsid w:val="1ADC289C"/>
    <w:rsid w:val="1AE259D8"/>
    <w:rsid w:val="1AEF5554"/>
    <w:rsid w:val="1AFC1190"/>
    <w:rsid w:val="1B0016FF"/>
    <w:rsid w:val="1B042E56"/>
    <w:rsid w:val="1B1A33C4"/>
    <w:rsid w:val="1B2111EA"/>
    <w:rsid w:val="1B2A7AAB"/>
    <w:rsid w:val="1B2E6E70"/>
    <w:rsid w:val="1B4072CF"/>
    <w:rsid w:val="1B4641B9"/>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E53A7"/>
    <w:rsid w:val="1C506572"/>
    <w:rsid w:val="1C6136A4"/>
    <w:rsid w:val="1C6E39C8"/>
    <w:rsid w:val="1C705992"/>
    <w:rsid w:val="1C7C059A"/>
    <w:rsid w:val="1C8054A9"/>
    <w:rsid w:val="1CAC629E"/>
    <w:rsid w:val="1CB6536F"/>
    <w:rsid w:val="1CC414BE"/>
    <w:rsid w:val="1CCB3617"/>
    <w:rsid w:val="1CE26164"/>
    <w:rsid w:val="1CF10155"/>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107A4D"/>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A976C4"/>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0CC"/>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E19EC"/>
    <w:rsid w:val="2221328A"/>
    <w:rsid w:val="22364F87"/>
    <w:rsid w:val="223C6316"/>
    <w:rsid w:val="225B416B"/>
    <w:rsid w:val="22947F00"/>
    <w:rsid w:val="22957293"/>
    <w:rsid w:val="22965A26"/>
    <w:rsid w:val="229E44DE"/>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E91A35"/>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351AE1"/>
    <w:rsid w:val="2641214D"/>
    <w:rsid w:val="26574DB8"/>
    <w:rsid w:val="266D7564"/>
    <w:rsid w:val="267869B5"/>
    <w:rsid w:val="268D6456"/>
    <w:rsid w:val="268F4C66"/>
    <w:rsid w:val="26D553E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A50A6"/>
    <w:rsid w:val="284F6DA3"/>
    <w:rsid w:val="28565507"/>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22F02"/>
    <w:rsid w:val="29A57818"/>
    <w:rsid w:val="29B82726"/>
    <w:rsid w:val="29CE1F49"/>
    <w:rsid w:val="29DA6B40"/>
    <w:rsid w:val="29E75C1B"/>
    <w:rsid w:val="29E75DD5"/>
    <w:rsid w:val="29F714A0"/>
    <w:rsid w:val="29FD282F"/>
    <w:rsid w:val="29FE10C2"/>
    <w:rsid w:val="2A241B69"/>
    <w:rsid w:val="2A31022A"/>
    <w:rsid w:val="2A420242"/>
    <w:rsid w:val="2A6712D3"/>
    <w:rsid w:val="2A6A3727"/>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5F72E9"/>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EA52EC"/>
    <w:rsid w:val="2CF079A9"/>
    <w:rsid w:val="2D0A14EA"/>
    <w:rsid w:val="2D1B36F8"/>
    <w:rsid w:val="2D1F6963"/>
    <w:rsid w:val="2D2E0DD5"/>
    <w:rsid w:val="2D3C1485"/>
    <w:rsid w:val="2D4C08B7"/>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97950"/>
    <w:rsid w:val="2E7A444E"/>
    <w:rsid w:val="2E840E29"/>
    <w:rsid w:val="2E8A1118"/>
    <w:rsid w:val="2E9A064C"/>
    <w:rsid w:val="2EA80FBB"/>
    <w:rsid w:val="2EAC037F"/>
    <w:rsid w:val="2EB1305B"/>
    <w:rsid w:val="2EB45BB2"/>
    <w:rsid w:val="2EB711FE"/>
    <w:rsid w:val="2EB85F02"/>
    <w:rsid w:val="2EC37E0C"/>
    <w:rsid w:val="2EC55D48"/>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03CE6"/>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C65728"/>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11315F"/>
    <w:rsid w:val="342B1D46"/>
    <w:rsid w:val="343B467F"/>
    <w:rsid w:val="343C4A44"/>
    <w:rsid w:val="344D6161"/>
    <w:rsid w:val="344F012B"/>
    <w:rsid w:val="34524C3E"/>
    <w:rsid w:val="345A3896"/>
    <w:rsid w:val="347A51A8"/>
    <w:rsid w:val="347E1EB9"/>
    <w:rsid w:val="34806536"/>
    <w:rsid w:val="349D0859"/>
    <w:rsid w:val="34AF2977"/>
    <w:rsid w:val="34BD6E42"/>
    <w:rsid w:val="34C24459"/>
    <w:rsid w:val="34C634A0"/>
    <w:rsid w:val="34E02B31"/>
    <w:rsid w:val="34E25270"/>
    <w:rsid w:val="35150CA4"/>
    <w:rsid w:val="35243365"/>
    <w:rsid w:val="352769B2"/>
    <w:rsid w:val="35327830"/>
    <w:rsid w:val="353F3CFB"/>
    <w:rsid w:val="35447564"/>
    <w:rsid w:val="3550415A"/>
    <w:rsid w:val="355E6877"/>
    <w:rsid w:val="35611EC4"/>
    <w:rsid w:val="356419B4"/>
    <w:rsid w:val="358D6E3D"/>
    <w:rsid w:val="3592207D"/>
    <w:rsid w:val="359A47E7"/>
    <w:rsid w:val="35C81F43"/>
    <w:rsid w:val="35CE6E2D"/>
    <w:rsid w:val="35D568E8"/>
    <w:rsid w:val="35EF4A56"/>
    <w:rsid w:val="35F72828"/>
    <w:rsid w:val="361E6007"/>
    <w:rsid w:val="3643781B"/>
    <w:rsid w:val="365C2AB3"/>
    <w:rsid w:val="36603F29"/>
    <w:rsid w:val="36681030"/>
    <w:rsid w:val="366D4F82"/>
    <w:rsid w:val="3688082F"/>
    <w:rsid w:val="369B7AD7"/>
    <w:rsid w:val="36A55DE0"/>
    <w:rsid w:val="36B55EFA"/>
    <w:rsid w:val="36C070BE"/>
    <w:rsid w:val="36C92189"/>
    <w:rsid w:val="36CA3A99"/>
    <w:rsid w:val="36D36FEB"/>
    <w:rsid w:val="36E44B5A"/>
    <w:rsid w:val="36E62EDF"/>
    <w:rsid w:val="36F2131A"/>
    <w:rsid w:val="37060F75"/>
    <w:rsid w:val="370E4A47"/>
    <w:rsid w:val="370E607B"/>
    <w:rsid w:val="37321D6A"/>
    <w:rsid w:val="373813E5"/>
    <w:rsid w:val="373830F8"/>
    <w:rsid w:val="375515B4"/>
    <w:rsid w:val="37555A58"/>
    <w:rsid w:val="37585548"/>
    <w:rsid w:val="375A6BEA"/>
    <w:rsid w:val="37643EED"/>
    <w:rsid w:val="377F5CE6"/>
    <w:rsid w:val="378B3228"/>
    <w:rsid w:val="379A346B"/>
    <w:rsid w:val="379E11AD"/>
    <w:rsid w:val="37A37839"/>
    <w:rsid w:val="37A70E58"/>
    <w:rsid w:val="37AD1E32"/>
    <w:rsid w:val="37C8622A"/>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165EE"/>
    <w:rsid w:val="385C1663"/>
    <w:rsid w:val="3862023B"/>
    <w:rsid w:val="386F2B4A"/>
    <w:rsid w:val="387B50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7248F"/>
    <w:rsid w:val="396C0E37"/>
    <w:rsid w:val="397C5883"/>
    <w:rsid w:val="397E7B16"/>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3FB6"/>
    <w:rsid w:val="3AE50EA1"/>
    <w:rsid w:val="3AF41B7D"/>
    <w:rsid w:val="3AF61300"/>
    <w:rsid w:val="3B045425"/>
    <w:rsid w:val="3B1874C8"/>
    <w:rsid w:val="3B351E28"/>
    <w:rsid w:val="3B36697E"/>
    <w:rsid w:val="3B3862EC"/>
    <w:rsid w:val="3B602C1D"/>
    <w:rsid w:val="3B7A3CDF"/>
    <w:rsid w:val="3B844B5E"/>
    <w:rsid w:val="3B8A360D"/>
    <w:rsid w:val="3BA23236"/>
    <w:rsid w:val="3BA500E3"/>
    <w:rsid w:val="3BB048EC"/>
    <w:rsid w:val="3BC7092B"/>
    <w:rsid w:val="3BC907C3"/>
    <w:rsid w:val="3BCE7B87"/>
    <w:rsid w:val="3BE33F3A"/>
    <w:rsid w:val="3BF03FA1"/>
    <w:rsid w:val="3BF079CC"/>
    <w:rsid w:val="3BF33A92"/>
    <w:rsid w:val="3BFC64A2"/>
    <w:rsid w:val="3C022A7A"/>
    <w:rsid w:val="3C1F35BD"/>
    <w:rsid w:val="3C291261"/>
    <w:rsid w:val="3C320116"/>
    <w:rsid w:val="3C326368"/>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B5432"/>
    <w:rsid w:val="3D0F18FA"/>
    <w:rsid w:val="3D0F4E2C"/>
    <w:rsid w:val="3D2D4C6D"/>
    <w:rsid w:val="3D37175C"/>
    <w:rsid w:val="3D4E71D1"/>
    <w:rsid w:val="3D602E0E"/>
    <w:rsid w:val="3D607183"/>
    <w:rsid w:val="3D817B4F"/>
    <w:rsid w:val="3D895F5B"/>
    <w:rsid w:val="3DA212CB"/>
    <w:rsid w:val="3DB01C3A"/>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BE0387"/>
    <w:rsid w:val="3EC3599D"/>
    <w:rsid w:val="3EC837C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2725F6"/>
    <w:rsid w:val="40464190"/>
    <w:rsid w:val="404A33D6"/>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204EB5"/>
    <w:rsid w:val="42350960"/>
    <w:rsid w:val="423D5A66"/>
    <w:rsid w:val="423E1BF2"/>
    <w:rsid w:val="42552DB0"/>
    <w:rsid w:val="42577CB7"/>
    <w:rsid w:val="425D7EB7"/>
    <w:rsid w:val="425F59DD"/>
    <w:rsid w:val="42642FF3"/>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C64BAC"/>
    <w:rsid w:val="43EF0FE2"/>
    <w:rsid w:val="43FB1735"/>
    <w:rsid w:val="43FD36FF"/>
    <w:rsid w:val="44044A8E"/>
    <w:rsid w:val="44083A49"/>
    <w:rsid w:val="44093E52"/>
    <w:rsid w:val="44095C00"/>
    <w:rsid w:val="441A7E0D"/>
    <w:rsid w:val="443B5FD6"/>
    <w:rsid w:val="4456487E"/>
    <w:rsid w:val="44586B88"/>
    <w:rsid w:val="445E3167"/>
    <w:rsid w:val="446E2CE6"/>
    <w:rsid w:val="4475773A"/>
    <w:rsid w:val="447B0A98"/>
    <w:rsid w:val="448E4357"/>
    <w:rsid w:val="449A2CFC"/>
    <w:rsid w:val="44A43B7B"/>
    <w:rsid w:val="44AB189A"/>
    <w:rsid w:val="44CB1108"/>
    <w:rsid w:val="44EA6461"/>
    <w:rsid w:val="44F22B38"/>
    <w:rsid w:val="44F82488"/>
    <w:rsid w:val="44FC39B7"/>
    <w:rsid w:val="44FF653C"/>
    <w:rsid w:val="44FF68B5"/>
    <w:rsid w:val="45126D36"/>
    <w:rsid w:val="4517434D"/>
    <w:rsid w:val="451F222F"/>
    <w:rsid w:val="45252F0E"/>
    <w:rsid w:val="452B429C"/>
    <w:rsid w:val="45352A25"/>
    <w:rsid w:val="45383379"/>
    <w:rsid w:val="455957D0"/>
    <w:rsid w:val="45617CBE"/>
    <w:rsid w:val="4565155C"/>
    <w:rsid w:val="4577421C"/>
    <w:rsid w:val="457C2402"/>
    <w:rsid w:val="457F25AC"/>
    <w:rsid w:val="458A4B1F"/>
    <w:rsid w:val="459260C9"/>
    <w:rsid w:val="45AD4CB1"/>
    <w:rsid w:val="45BB73CE"/>
    <w:rsid w:val="45BF15E4"/>
    <w:rsid w:val="45C23611"/>
    <w:rsid w:val="45D4326F"/>
    <w:rsid w:val="45D65FB6"/>
    <w:rsid w:val="45EA7CB3"/>
    <w:rsid w:val="45FD79E7"/>
    <w:rsid w:val="46160AA8"/>
    <w:rsid w:val="46186893"/>
    <w:rsid w:val="46192347"/>
    <w:rsid w:val="461D5993"/>
    <w:rsid w:val="464E1FF0"/>
    <w:rsid w:val="46690BD8"/>
    <w:rsid w:val="466A4950"/>
    <w:rsid w:val="46712183"/>
    <w:rsid w:val="46767EF0"/>
    <w:rsid w:val="46784782"/>
    <w:rsid w:val="4686217F"/>
    <w:rsid w:val="468712CD"/>
    <w:rsid w:val="46953415"/>
    <w:rsid w:val="46971BE9"/>
    <w:rsid w:val="46A270ED"/>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501D98"/>
    <w:rsid w:val="4755115C"/>
    <w:rsid w:val="475853F1"/>
    <w:rsid w:val="47590191"/>
    <w:rsid w:val="476F0470"/>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D634C"/>
    <w:rsid w:val="49494CF1"/>
    <w:rsid w:val="49836455"/>
    <w:rsid w:val="499248EA"/>
    <w:rsid w:val="49C34AA3"/>
    <w:rsid w:val="49CE3833"/>
    <w:rsid w:val="49CF3B15"/>
    <w:rsid w:val="49DE45AD"/>
    <w:rsid w:val="49DE48E7"/>
    <w:rsid w:val="49E8275C"/>
    <w:rsid w:val="49EC3FFA"/>
    <w:rsid w:val="49F5708A"/>
    <w:rsid w:val="4A043EC0"/>
    <w:rsid w:val="4A0C5E36"/>
    <w:rsid w:val="4A103DB4"/>
    <w:rsid w:val="4A120A1E"/>
    <w:rsid w:val="4A1C41B3"/>
    <w:rsid w:val="4A30015B"/>
    <w:rsid w:val="4A363010"/>
    <w:rsid w:val="4A396FD6"/>
    <w:rsid w:val="4A3C414F"/>
    <w:rsid w:val="4A474538"/>
    <w:rsid w:val="4A4C1A86"/>
    <w:rsid w:val="4A5D6CA6"/>
    <w:rsid w:val="4A643CC6"/>
    <w:rsid w:val="4A712751"/>
    <w:rsid w:val="4A713873"/>
    <w:rsid w:val="4A804742"/>
    <w:rsid w:val="4A881849"/>
    <w:rsid w:val="4A9154D0"/>
    <w:rsid w:val="4A930919"/>
    <w:rsid w:val="4A993A56"/>
    <w:rsid w:val="4AA2290B"/>
    <w:rsid w:val="4AA623D2"/>
    <w:rsid w:val="4AB56AE0"/>
    <w:rsid w:val="4AC9433B"/>
    <w:rsid w:val="4AD11442"/>
    <w:rsid w:val="4ADF590D"/>
    <w:rsid w:val="4AEB73F7"/>
    <w:rsid w:val="4AF07B1A"/>
    <w:rsid w:val="4AF42A3D"/>
    <w:rsid w:val="4B035107"/>
    <w:rsid w:val="4B074E64"/>
    <w:rsid w:val="4B1F21AD"/>
    <w:rsid w:val="4B3A6FE7"/>
    <w:rsid w:val="4B3D2633"/>
    <w:rsid w:val="4B553763"/>
    <w:rsid w:val="4B5F6A4E"/>
    <w:rsid w:val="4B693428"/>
    <w:rsid w:val="4B6978CC"/>
    <w:rsid w:val="4B736055"/>
    <w:rsid w:val="4B885FA4"/>
    <w:rsid w:val="4B8A6F75"/>
    <w:rsid w:val="4B8B339F"/>
    <w:rsid w:val="4B8D7117"/>
    <w:rsid w:val="4B92297F"/>
    <w:rsid w:val="4B9C694A"/>
    <w:rsid w:val="4B9F6E4A"/>
    <w:rsid w:val="4BA10E14"/>
    <w:rsid w:val="4BBA1ED6"/>
    <w:rsid w:val="4BD20FCE"/>
    <w:rsid w:val="4BD42F98"/>
    <w:rsid w:val="4BED0619"/>
    <w:rsid w:val="4BF325AA"/>
    <w:rsid w:val="4BF52F0E"/>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308FD"/>
    <w:rsid w:val="4CFB4554"/>
    <w:rsid w:val="4D084097"/>
    <w:rsid w:val="4D113D78"/>
    <w:rsid w:val="4D221AE1"/>
    <w:rsid w:val="4D2717ED"/>
    <w:rsid w:val="4D2B4E39"/>
    <w:rsid w:val="4D387556"/>
    <w:rsid w:val="4D3F2693"/>
    <w:rsid w:val="4D4555F6"/>
    <w:rsid w:val="4D553C64"/>
    <w:rsid w:val="4D5D6FBD"/>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F027E1C"/>
    <w:rsid w:val="4F035942"/>
    <w:rsid w:val="4F22401A"/>
    <w:rsid w:val="4F310701"/>
    <w:rsid w:val="4F380341"/>
    <w:rsid w:val="4F3F1118"/>
    <w:rsid w:val="4F4C6AE6"/>
    <w:rsid w:val="4F5F701C"/>
    <w:rsid w:val="4F620867"/>
    <w:rsid w:val="4F626AB5"/>
    <w:rsid w:val="4F732AC8"/>
    <w:rsid w:val="4F7836C0"/>
    <w:rsid w:val="4F7D65B4"/>
    <w:rsid w:val="4F820F5D"/>
    <w:rsid w:val="4F934F18"/>
    <w:rsid w:val="4F9B5B7A"/>
    <w:rsid w:val="4FA2515B"/>
    <w:rsid w:val="4FA709C3"/>
    <w:rsid w:val="4FAE2DF6"/>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AE61CF"/>
    <w:rsid w:val="50B96C00"/>
    <w:rsid w:val="50BB0282"/>
    <w:rsid w:val="50C86E43"/>
    <w:rsid w:val="50CD6207"/>
    <w:rsid w:val="50D86490"/>
    <w:rsid w:val="50DD469C"/>
    <w:rsid w:val="50E04CCB"/>
    <w:rsid w:val="5100482F"/>
    <w:rsid w:val="51031C29"/>
    <w:rsid w:val="5112495F"/>
    <w:rsid w:val="511D2CEB"/>
    <w:rsid w:val="512C5309"/>
    <w:rsid w:val="512F0C70"/>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1E31BF"/>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12DDC"/>
    <w:rsid w:val="53FF0DCE"/>
    <w:rsid w:val="540A36FE"/>
    <w:rsid w:val="542C4A0D"/>
    <w:rsid w:val="543F27CA"/>
    <w:rsid w:val="54420CBA"/>
    <w:rsid w:val="545033D7"/>
    <w:rsid w:val="5452714F"/>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5B2034"/>
    <w:rsid w:val="55627866"/>
    <w:rsid w:val="556D2AB7"/>
    <w:rsid w:val="556E3D60"/>
    <w:rsid w:val="55757A42"/>
    <w:rsid w:val="557B0928"/>
    <w:rsid w:val="55943798"/>
    <w:rsid w:val="5598367D"/>
    <w:rsid w:val="55A57753"/>
    <w:rsid w:val="55CC4CE0"/>
    <w:rsid w:val="55CF47D0"/>
    <w:rsid w:val="55E24761"/>
    <w:rsid w:val="56053BDD"/>
    <w:rsid w:val="56097CE2"/>
    <w:rsid w:val="56116B96"/>
    <w:rsid w:val="5614511B"/>
    <w:rsid w:val="56244B1C"/>
    <w:rsid w:val="56262642"/>
    <w:rsid w:val="563D798B"/>
    <w:rsid w:val="563E42D5"/>
    <w:rsid w:val="564B1A92"/>
    <w:rsid w:val="56633896"/>
    <w:rsid w:val="567726B1"/>
    <w:rsid w:val="567A0BDF"/>
    <w:rsid w:val="56820FF4"/>
    <w:rsid w:val="568F5336"/>
    <w:rsid w:val="569B6EDB"/>
    <w:rsid w:val="56B91708"/>
    <w:rsid w:val="56BB6F37"/>
    <w:rsid w:val="56D959D2"/>
    <w:rsid w:val="56E04EE6"/>
    <w:rsid w:val="57197549"/>
    <w:rsid w:val="572E33CF"/>
    <w:rsid w:val="573828A1"/>
    <w:rsid w:val="574511ED"/>
    <w:rsid w:val="57521214"/>
    <w:rsid w:val="57575EC4"/>
    <w:rsid w:val="576D3514"/>
    <w:rsid w:val="57713D91"/>
    <w:rsid w:val="57792C45"/>
    <w:rsid w:val="578B02E3"/>
    <w:rsid w:val="579655A5"/>
    <w:rsid w:val="57A53A3A"/>
    <w:rsid w:val="57B3788F"/>
    <w:rsid w:val="57BD0D84"/>
    <w:rsid w:val="57C2283E"/>
    <w:rsid w:val="57C31F15"/>
    <w:rsid w:val="57CC546B"/>
    <w:rsid w:val="57DD4F82"/>
    <w:rsid w:val="57DE0CFA"/>
    <w:rsid w:val="57E60BB6"/>
    <w:rsid w:val="57EA58F1"/>
    <w:rsid w:val="57FD08E2"/>
    <w:rsid w:val="58003366"/>
    <w:rsid w:val="58424773"/>
    <w:rsid w:val="5842572D"/>
    <w:rsid w:val="584B2834"/>
    <w:rsid w:val="586631C9"/>
    <w:rsid w:val="58670CF0"/>
    <w:rsid w:val="58716105"/>
    <w:rsid w:val="5898150B"/>
    <w:rsid w:val="58B90001"/>
    <w:rsid w:val="58CA58AC"/>
    <w:rsid w:val="58CA7BFC"/>
    <w:rsid w:val="58D02D39"/>
    <w:rsid w:val="58E07B61"/>
    <w:rsid w:val="58FA6008"/>
    <w:rsid w:val="5904189E"/>
    <w:rsid w:val="590D1897"/>
    <w:rsid w:val="59137F72"/>
    <w:rsid w:val="59260BAB"/>
    <w:rsid w:val="592B61C1"/>
    <w:rsid w:val="592D018B"/>
    <w:rsid w:val="592F728C"/>
    <w:rsid w:val="59350DEE"/>
    <w:rsid w:val="594159E5"/>
    <w:rsid w:val="594D25DB"/>
    <w:rsid w:val="595179CC"/>
    <w:rsid w:val="5954396A"/>
    <w:rsid w:val="596C2759"/>
    <w:rsid w:val="59785807"/>
    <w:rsid w:val="597D333F"/>
    <w:rsid w:val="598002BB"/>
    <w:rsid w:val="59897066"/>
    <w:rsid w:val="59950642"/>
    <w:rsid w:val="59A3156E"/>
    <w:rsid w:val="59AD4E28"/>
    <w:rsid w:val="59B003BD"/>
    <w:rsid w:val="59B2243E"/>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B0697E"/>
    <w:rsid w:val="5AB63862"/>
    <w:rsid w:val="5AC57AAA"/>
    <w:rsid w:val="5AD52888"/>
    <w:rsid w:val="5AFF16CB"/>
    <w:rsid w:val="5B084A0C"/>
    <w:rsid w:val="5B0B0058"/>
    <w:rsid w:val="5B0D5B7E"/>
    <w:rsid w:val="5B37709F"/>
    <w:rsid w:val="5B6B0AF7"/>
    <w:rsid w:val="5B871DD5"/>
    <w:rsid w:val="5B8D499C"/>
    <w:rsid w:val="5B9444F1"/>
    <w:rsid w:val="5B986C1A"/>
    <w:rsid w:val="5BA109BC"/>
    <w:rsid w:val="5BA364E3"/>
    <w:rsid w:val="5BA7735A"/>
    <w:rsid w:val="5BAA5AC3"/>
    <w:rsid w:val="5BAA7871"/>
    <w:rsid w:val="5BAC61BC"/>
    <w:rsid w:val="5BB16E51"/>
    <w:rsid w:val="5BBB7CD0"/>
    <w:rsid w:val="5BC00E43"/>
    <w:rsid w:val="5BD32A03"/>
    <w:rsid w:val="5BDC23BE"/>
    <w:rsid w:val="5BF50912"/>
    <w:rsid w:val="5BFE5E0F"/>
    <w:rsid w:val="5C1D0043"/>
    <w:rsid w:val="5C317F92"/>
    <w:rsid w:val="5C321615"/>
    <w:rsid w:val="5C3B671B"/>
    <w:rsid w:val="5C432809"/>
    <w:rsid w:val="5C480E38"/>
    <w:rsid w:val="5C4B1054"/>
    <w:rsid w:val="5C50666A"/>
    <w:rsid w:val="5C6A1DAB"/>
    <w:rsid w:val="5C6B2E76"/>
    <w:rsid w:val="5C6C0FCA"/>
    <w:rsid w:val="5C793BD5"/>
    <w:rsid w:val="5CA3206C"/>
    <w:rsid w:val="5CA70466"/>
    <w:rsid w:val="5CAC13C7"/>
    <w:rsid w:val="5CCE758F"/>
    <w:rsid w:val="5CD821BC"/>
    <w:rsid w:val="5CED210B"/>
    <w:rsid w:val="5D06123C"/>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03E1A"/>
    <w:rsid w:val="5E287173"/>
    <w:rsid w:val="5E3C677A"/>
    <w:rsid w:val="5E3D6352"/>
    <w:rsid w:val="5E5416A1"/>
    <w:rsid w:val="5E6C52B2"/>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A204D"/>
    <w:rsid w:val="5FBC5FAF"/>
    <w:rsid w:val="5FBC6DF6"/>
    <w:rsid w:val="5FBF7663"/>
    <w:rsid w:val="5FC86039"/>
    <w:rsid w:val="5FDF0FD9"/>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A1206B"/>
    <w:rsid w:val="60A35854"/>
    <w:rsid w:val="60AA20C1"/>
    <w:rsid w:val="60B371C8"/>
    <w:rsid w:val="60C03867"/>
    <w:rsid w:val="60C7070B"/>
    <w:rsid w:val="60D86C2E"/>
    <w:rsid w:val="60DF42DA"/>
    <w:rsid w:val="6109328C"/>
    <w:rsid w:val="611117DD"/>
    <w:rsid w:val="611D6B21"/>
    <w:rsid w:val="611F660B"/>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152E6B"/>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4055F8C"/>
    <w:rsid w:val="64061D04"/>
    <w:rsid w:val="6408290B"/>
    <w:rsid w:val="640970FF"/>
    <w:rsid w:val="640F6E0B"/>
    <w:rsid w:val="643B3294"/>
    <w:rsid w:val="644A0B70"/>
    <w:rsid w:val="644A57F4"/>
    <w:rsid w:val="64522AC1"/>
    <w:rsid w:val="6454481E"/>
    <w:rsid w:val="64557281"/>
    <w:rsid w:val="645B3DFE"/>
    <w:rsid w:val="64622593"/>
    <w:rsid w:val="6470717E"/>
    <w:rsid w:val="6484149B"/>
    <w:rsid w:val="6486074F"/>
    <w:rsid w:val="648C045C"/>
    <w:rsid w:val="649317EA"/>
    <w:rsid w:val="64A461C0"/>
    <w:rsid w:val="64A5151D"/>
    <w:rsid w:val="64A82DBC"/>
    <w:rsid w:val="64A96947"/>
    <w:rsid w:val="64AA08E2"/>
    <w:rsid w:val="64B11C70"/>
    <w:rsid w:val="64B27796"/>
    <w:rsid w:val="64B81251"/>
    <w:rsid w:val="64C319A4"/>
    <w:rsid w:val="64DF4A2F"/>
    <w:rsid w:val="64E36803"/>
    <w:rsid w:val="64E75692"/>
    <w:rsid w:val="64F034F8"/>
    <w:rsid w:val="64F3532E"/>
    <w:rsid w:val="64F81377"/>
    <w:rsid w:val="65054102"/>
    <w:rsid w:val="65393A14"/>
    <w:rsid w:val="653D665E"/>
    <w:rsid w:val="6546761D"/>
    <w:rsid w:val="655E23A5"/>
    <w:rsid w:val="65674A25"/>
    <w:rsid w:val="656C3DE9"/>
    <w:rsid w:val="65723276"/>
    <w:rsid w:val="657D5FF6"/>
    <w:rsid w:val="6583273A"/>
    <w:rsid w:val="65847385"/>
    <w:rsid w:val="65851060"/>
    <w:rsid w:val="658729D1"/>
    <w:rsid w:val="65894591"/>
    <w:rsid w:val="658C7269"/>
    <w:rsid w:val="65AD6267"/>
    <w:rsid w:val="65B463A2"/>
    <w:rsid w:val="65BB1CB1"/>
    <w:rsid w:val="65CB4FB4"/>
    <w:rsid w:val="65D6704C"/>
    <w:rsid w:val="65DD0843"/>
    <w:rsid w:val="65E46075"/>
    <w:rsid w:val="65F549B6"/>
    <w:rsid w:val="661029C7"/>
    <w:rsid w:val="66187B52"/>
    <w:rsid w:val="66236B9E"/>
    <w:rsid w:val="66257375"/>
    <w:rsid w:val="663568D1"/>
    <w:rsid w:val="66442670"/>
    <w:rsid w:val="665F3CF0"/>
    <w:rsid w:val="66613222"/>
    <w:rsid w:val="667A1DC3"/>
    <w:rsid w:val="667C1E0A"/>
    <w:rsid w:val="6683763C"/>
    <w:rsid w:val="66903B07"/>
    <w:rsid w:val="669B6734"/>
    <w:rsid w:val="66A17AC3"/>
    <w:rsid w:val="66A202A8"/>
    <w:rsid w:val="66B512B0"/>
    <w:rsid w:val="66BE2423"/>
    <w:rsid w:val="66CF63DE"/>
    <w:rsid w:val="66D03FE3"/>
    <w:rsid w:val="66D9725C"/>
    <w:rsid w:val="66DE2AC5"/>
    <w:rsid w:val="66DF76A3"/>
    <w:rsid w:val="66E300DB"/>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C365D4"/>
    <w:rsid w:val="67C577E1"/>
    <w:rsid w:val="67D363A2"/>
    <w:rsid w:val="67DA328C"/>
    <w:rsid w:val="67DD4B2A"/>
    <w:rsid w:val="67F52D61"/>
    <w:rsid w:val="67F85E08"/>
    <w:rsid w:val="68106CAE"/>
    <w:rsid w:val="68112A26"/>
    <w:rsid w:val="68190258"/>
    <w:rsid w:val="681E4E55"/>
    <w:rsid w:val="681F0CC3"/>
    <w:rsid w:val="683D381B"/>
    <w:rsid w:val="68437083"/>
    <w:rsid w:val="68594AF9"/>
    <w:rsid w:val="685A43CD"/>
    <w:rsid w:val="6864263E"/>
    <w:rsid w:val="68664B20"/>
    <w:rsid w:val="687F7F38"/>
    <w:rsid w:val="688050E1"/>
    <w:rsid w:val="688436DE"/>
    <w:rsid w:val="6885769C"/>
    <w:rsid w:val="688D2886"/>
    <w:rsid w:val="689A0C6D"/>
    <w:rsid w:val="68A13DAA"/>
    <w:rsid w:val="68B25FB7"/>
    <w:rsid w:val="68B63CF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D56401"/>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A3A8C"/>
    <w:rsid w:val="6ACD70D8"/>
    <w:rsid w:val="6ADF0BB9"/>
    <w:rsid w:val="6AE0505D"/>
    <w:rsid w:val="6AE40637"/>
    <w:rsid w:val="6AF34579"/>
    <w:rsid w:val="6AFC79BD"/>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C20D5"/>
    <w:rsid w:val="6BCC4F47"/>
    <w:rsid w:val="6BCF32E2"/>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06213"/>
    <w:rsid w:val="6C5B7135"/>
    <w:rsid w:val="6C5C4BB7"/>
    <w:rsid w:val="6C787517"/>
    <w:rsid w:val="6C8E61E8"/>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7D5C34"/>
    <w:rsid w:val="6D834C28"/>
    <w:rsid w:val="6D9E52CD"/>
    <w:rsid w:val="6DAA1A4D"/>
    <w:rsid w:val="6DAF47B5"/>
    <w:rsid w:val="6DAF6F69"/>
    <w:rsid w:val="6DB01B9B"/>
    <w:rsid w:val="6DB73312"/>
    <w:rsid w:val="6DBC435D"/>
    <w:rsid w:val="6DC20A4A"/>
    <w:rsid w:val="6DC7788A"/>
    <w:rsid w:val="6DCE3893"/>
    <w:rsid w:val="6DEB4A1F"/>
    <w:rsid w:val="6DFA6436"/>
    <w:rsid w:val="6E095A12"/>
    <w:rsid w:val="6E274302"/>
    <w:rsid w:val="6E2A4841"/>
    <w:rsid w:val="6E3E2746"/>
    <w:rsid w:val="6E4069CE"/>
    <w:rsid w:val="6E5E236B"/>
    <w:rsid w:val="6E6C4E5A"/>
    <w:rsid w:val="6E7D0E15"/>
    <w:rsid w:val="6E7D2BC3"/>
    <w:rsid w:val="6E8201DA"/>
    <w:rsid w:val="6E8B100D"/>
    <w:rsid w:val="6EA463A2"/>
    <w:rsid w:val="6EB365E5"/>
    <w:rsid w:val="6EB87019"/>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F45107"/>
    <w:rsid w:val="70310109"/>
    <w:rsid w:val="703D6AAE"/>
    <w:rsid w:val="70761FC0"/>
    <w:rsid w:val="7080699B"/>
    <w:rsid w:val="708F0C37"/>
    <w:rsid w:val="709B5583"/>
    <w:rsid w:val="709D579F"/>
    <w:rsid w:val="70A02B99"/>
    <w:rsid w:val="70AE175A"/>
    <w:rsid w:val="70B76860"/>
    <w:rsid w:val="70BD4A45"/>
    <w:rsid w:val="70C00112"/>
    <w:rsid w:val="70C76378"/>
    <w:rsid w:val="70C90342"/>
    <w:rsid w:val="70ED4E43"/>
    <w:rsid w:val="70EE34A4"/>
    <w:rsid w:val="70F058CE"/>
    <w:rsid w:val="70F96E79"/>
    <w:rsid w:val="710B3DC7"/>
    <w:rsid w:val="71213CDA"/>
    <w:rsid w:val="71254FDC"/>
    <w:rsid w:val="713D0223"/>
    <w:rsid w:val="71493231"/>
    <w:rsid w:val="714A76D4"/>
    <w:rsid w:val="71526589"/>
    <w:rsid w:val="716562BC"/>
    <w:rsid w:val="716B31A7"/>
    <w:rsid w:val="71706A0F"/>
    <w:rsid w:val="717C1858"/>
    <w:rsid w:val="71804EA4"/>
    <w:rsid w:val="718D5813"/>
    <w:rsid w:val="71915F81"/>
    <w:rsid w:val="71AC6A34"/>
    <w:rsid w:val="71B6030F"/>
    <w:rsid w:val="71BB2380"/>
    <w:rsid w:val="71BE777B"/>
    <w:rsid w:val="71C54FAD"/>
    <w:rsid w:val="71D749E9"/>
    <w:rsid w:val="71D855D4"/>
    <w:rsid w:val="71E13469"/>
    <w:rsid w:val="71F633B8"/>
    <w:rsid w:val="72020394"/>
    <w:rsid w:val="721750DD"/>
    <w:rsid w:val="722F68CA"/>
    <w:rsid w:val="72516841"/>
    <w:rsid w:val="72676064"/>
    <w:rsid w:val="726E11A1"/>
    <w:rsid w:val="72A44BC2"/>
    <w:rsid w:val="72B712F9"/>
    <w:rsid w:val="72B96AC6"/>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962C31"/>
    <w:rsid w:val="749D5D6D"/>
    <w:rsid w:val="74B4532F"/>
    <w:rsid w:val="74C42C67"/>
    <w:rsid w:val="74D92404"/>
    <w:rsid w:val="74FB02E0"/>
    <w:rsid w:val="75041948"/>
    <w:rsid w:val="75054A3E"/>
    <w:rsid w:val="7514032E"/>
    <w:rsid w:val="751678CE"/>
    <w:rsid w:val="75181898"/>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83B2B"/>
    <w:rsid w:val="775F730A"/>
    <w:rsid w:val="77666BE5"/>
    <w:rsid w:val="77672D33"/>
    <w:rsid w:val="776808B4"/>
    <w:rsid w:val="77690189"/>
    <w:rsid w:val="77711172"/>
    <w:rsid w:val="777149CE"/>
    <w:rsid w:val="77970BEE"/>
    <w:rsid w:val="779F2A68"/>
    <w:rsid w:val="77AB254F"/>
    <w:rsid w:val="77BD0295"/>
    <w:rsid w:val="77D37062"/>
    <w:rsid w:val="77DA2E34"/>
    <w:rsid w:val="77E97E78"/>
    <w:rsid w:val="77F008AA"/>
    <w:rsid w:val="77F04406"/>
    <w:rsid w:val="77F43EF6"/>
    <w:rsid w:val="781C169F"/>
    <w:rsid w:val="7826607A"/>
    <w:rsid w:val="78411105"/>
    <w:rsid w:val="78423923"/>
    <w:rsid w:val="78432CEE"/>
    <w:rsid w:val="78480063"/>
    <w:rsid w:val="784939F7"/>
    <w:rsid w:val="78496FD5"/>
    <w:rsid w:val="787E073F"/>
    <w:rsid w:val="78964FAD"/>
    <w:rsid w:val="78BF58FE"/>
    <w:rsid w:val="78CC0BF2"/>
    <w:rsid w:val="78D20A3A"/>
    <w:rsid w:val="78E55F35"/>
    <w:rsid w:val="78E81581"/>
    <w:rsid w:val="790509DC"/>
    <w:rsid w:val="79075EAB"/>
    <w:rsid w:val="79077C59"/>
    <w:rsid w:val="791734EA"/>
    <w:rsid w:val="79240BCC"/>
    <w:rsid w:val="79242B81"/>
    <w:rsid w:val="792E1A0D"/>
    <w:rsid w:val="793E17C8"/>
    <w:rsid w:val="794120D4"/>
    <w:rsid w:val="79743104"/>
    <w:rsid w:val="797B41A3"/>
    <w:rsid w:val="797C38A0"/>
    <w:rsid w:val="798F7B90"/>
    <w:rsid w:val="799B65F3"/>
    <w:rsid w:val="79BA4CCB"/>
    <w:rsid w:val="79BF056F"/>
    <w:rsid w:val="79C142AC"/>
    <w:rsid w:val="79C97604"/>
    <w:rsid w:val="79CF07B8"/>
    <w:rsid w:val="79D044EF"/>
    <w:rsid w:val="79D35D8D"/>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E18A7"/>
    <w:rsid w:val="7D7F0706"/>
    <w:rsid w:val="7D89210A"/>
    <w:rsid w:val="7D952597"/>
    <w:rsid w:val="7DBB7264"/>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D92098"/>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paragraph" w:customStyle="1" w:styleId="13">
    <w:name w:val="005正文"/>
    <w:basedOn w:val="1"/>
    <w:qFormat/>
    <w:uiPriority w:val="0"/>
    <w:pPr>
      <w:adjustRightInd w:val="0"/>
      <w:snapToGrid w:val="0"/>
      <w:spacing w:before="50" w:beforeLines="50" w:line="360" w:lineRule="auto"/>
      <w:ind w:firstLine="200" w:firstLineChars="200"/>
    </w:pPr>
    <w:rPr>
      <w:rFonts w:ascii="Times New Roman" w:hAnsi="Times New Roman"/>
      <w:sz w:val="24"/>
      <w:szCs w:val="22"/>
    </w:rPr>
  </w:style>
  <w:style w:type="character" w:customStyle="1" w:styleId="14">
    <w:name w:val="批注框文本 字符"/>
    <w:basedOn w:val="10"/>
    <w:link w:val="4"/>
    <w:qFormat/>
    <w:uiPriority w:val="0"/>
    <w:rPr>
      <w:rFonts w:ascii="Calibri" w:hAnsi="Calibri"/>
      <w:kern w:val="2"/>
      <w:sz w:val="18"/>
      <w:szCs w:val="18"/>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 w:type="character" w:customStyle="1" w:styleId="17">
    <w:name w:val="font31"/>
    <w:basedOn w:val="10"/>
    <w:qFormat/>
    <w:uiPriority w:val="0"/>
    <w:rPr>
      <w:rFonts w:hint="default" w:ascii="Times New Roman" w:hAnsi="Times New Roman" w:cs="Times New Roman"/>
      <w:color w:val="000000"/>
      <w:sz w:val="24"/>
      <w:szCs w:val="24"/>
      <w:u w:val="none"/>
    </w:rPr>
  </w:style>
  <w:style w:type="character" w:customStyle="1" w:styleId="18">
    <w:name w:val="font21"/>
    <w:basedOn w:val="10"/>
    <w:qFormat/>
    <w:uiPriority w:val="0"/>
    <w:rPr>
      <w:rFonts w:hint="eastAsia" w:ascii="宋体" w:hAnsi="宋体" w:eastAsia="宋体" w:cs="宋体"/>
      <w:b/>
      <w:bCs/>
      <w:color w:val="000000"/>
      <w:sz w:val="24"/>
      <w:szCs w:val="24"/>
      <w:u w:val="none"/>
    </w:rPr>
  </w:style>
  <w:style w:type="character" w:customStyle="1" w:styleId="19">
    <w:name w:val="font11"/>
    <w:basedOn w:val="10"/>
    <w:qFormat/>
    <w:uiPriority w:val="0"/>
    <w:rPr>
      <w:rFonts w:hint="eastAsia" w:ascii="微软雅黑" w:hAnsi="微软雅黑" w:eastAsia="微软雅黑" w:cs="微软雅黑"/>
      <w:color w:val="000000"/>
      <w:sz w:val="20"/>
      <w:szCs w:val="20"/>
      <w:u w:val="none"/>
    </w:rPr>
  </w:style>
  <w:style w:type="paragraph" w:customStyle="1" w:styleId="20">
    <w:name w:val="msonospacing"/>
    <w:basedOn w:val="1"/>
    <w:qFormat/>
    <w:uiPriority w:val="0"/>
    <w:rPr>
      <w:szCs w:val="22"/>
    </w:rPr>
  </w:style>
  <w:style w:type="paragraph" w:customStyle="1" w:styleId="2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DA76-0CC2-4752-BBCE-A93BBA7F09F4}">
  <ds:schemaRefs/>
</ds:datastoreItem>
</file>

<file path=docProps/app.xml><?xml version="1.0" encoding="utf-8"?>
<Properties xmlns="http://schemas.openxmlformats.org/officeDocument/2006/extended-properties" xmlns:vt="http://schemas.openxmlformats.org/officeDocument/2006/docPropsVTypes">
  <Template>Normal</Template>
  <Pages>13</Pages>
  <Words>7514</Words>
  <Characters>8242</Characters>
  <Lines>72</Lines>
  <Paragraphs>20</Paragraphs>
  <TotalTime>31</TotalTime>
  <ScaleCrop>false</ScaleCrop>
  <LinksUpToDate>false</LinksUpToDate>
  <CharactersWithSpaces>8357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2022-05-06T02:43:00Z</dcterms:created>
  <dc:creator>zhou</dc:creator>
  <cp:lastModifiedBy>亚楠</cp:lastModifiedBy>
  <dcterms:modified xsi:type="dcterms:W3CDTF">2024-10-31T08:27:24Z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8EF85BA401EB4037A1E46975808CB7DE_13</vt:lpwstr>
  </property>
</Properties>
</file>