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82" w:rsidRDefault="00603072">
      <w:pPr>
        <w:autoSpaceDE w:val="0"/>
        <w:autoSpaceDN w:val="0"/>
        <w:spacing w:before="77"/>
        <w:ind w:left="120" w:firstLineChars="100" w:firstLine="241"/>
        <w:rPr>
          <w:rFonts w:ascii="宋体" w:eastAsia="宋体" w:hAnsi="宋体" w:cs="宋体"/>
          <w:sz w:val="24"/>
          <w:lang w:val="zh-CN" w:bidi="zh-CN"/>
        </w:rPr>
      </w:pPr>
      <w:r>
        <w:rPr>
          <w:rFonts w:ascii="宋体" w:eastAsia="宋体" w:hAnsi="宋体" w:cs="宋体"/>
          <w:b/>
          <w:bCs/>
          <w:sz w:val="24"/>
          <w:lang w:val="zh-CN" w:bidi="zh-CN"/>
        </w:rPr>
        <w:t>证券代码</w:t>
      </w:r>
      <w:r>
        <w:rPr>
          <w:rFonts w:ascii="宋体" w:eastAsia="宋体" w:hAnsi="宋体" w:cs="宋体" w:hint="eastAsia"/>
          <w:b/>
          <w:bCs/>
          <w:sz w:val="24"/>
          <w:lang w:val="zh-CN" w:bidi="zh-CN"/>
        </w:rPr>
        <w:t>：</w:t>
      </w:r>
      <w:r>
        <w:rPr>
          <w:rFonts w:ascii="Times New Roman" w:eastAsia="宋体" w:hAnsi="Times New Roman" w:cs="Times New Roman"/>
          <w:b/>
          <w:bCs/>
          <w:sz w:val="24"/>
          <w:lang w:val="zh-CN" w:bidi="zh-CN"/>
        </w:rPr>
        <w:t>6</w:t>
      </w:r>
      <w:r>
        <w:rPr>
          <w:rFonts w:ascii="Times New Roman" w:eastAsia="宋体" w:hAnsi="Times New Roman" w:cs="Times New Roman"/>
          <w:b/>
          <w:bCs/>
          <w:sz w:val="24"/>
          <w:lang w:bidi="zh-CN"/>
        </w:rPr>
        <w:t xml:space="preserve">88425  </w:t>
      </w:r>
      <w:r>
        <w:rPr>
          <w:rFonts w:ascii="宋体" w:eastAsia="宋体" w:hAnsi="宋体" w:cs="宋体" w:hint="eastAsia"/>
          <w:b/>
          <w:bCs/>
          <w:sz w:val="24"/>
          <w:lang w:bidi="zh-CN"/>
        </w:rPr>
        <w:t xml:space="preserve"> </w:t>
      </w:r>
      <w:r>
        <w:rPr>
          <w:rFonts w:ascii="宋体" w:eastAsia="宋体" w:hAnsi="宋体" w:cs="宋体" w:hint="eastAsia"/>
          <w:sz w:val="24"/>
          <w:lang w:bidi="zh-CN"/>
        </w:rPr>
        <w:t xml:space="preserve">                             </w:t>
      </w:r>
      <w:r>
        <w:rPr>
          <w:rFonts w:ascii="宋体" w:eastAsia="宋体" w:hAnsi="宋体" w:cs="宋体"/>
          <w:b/>
          <w:bCs/>
          <w:sz w:val="24"/>
          <w:lang w:val="zh-CN" w:bidi="zh-CN"/>
        </w:rPr>
        <w:t>证券简称：</w:t>
      </w:r>
      <w:proofErr w:type="gramStart"/>
      <w:r>
        <w:rPr>
          <w:rFonts w:ascii="宋体" w:eastAsia="宋体" w:hAnsi="宋体" w:cs="宋体" w:hint="eastAsia"/>
          <w:b/>
          <w:bCs/>
          <w:sz w:val="24"/>
          <w:lang w:bidi="zh-CN"/>
        </w:rPr>
        <w:t>铁建重工</w:t>
      </w:r>
      <w:proofErr w:type="gramEnd"/>
      <w:r>
        <w:rPr>
          <w:rFonts w:ascii="宋体" w:eastAsia="宋体" w:hAnsi="宋体" w:cs="宋体"/>
          <w:sz w:val="24"/>
          <w:lang w:val="zh-CN" w:bidi="zh-CN"/>
        </w:rPr>
        <w:t xml:space="preserve"> </w:t>
      </w:r>
    </w:p>
    <w:p w:rsidR="00792182" w:rsidRDefault="00792182">
      <w:pPr>
        <w:autoSpaceDE w:val="0"/>
        <w:autoSpaceDN w:val="0"/>
        <w:ind w:firstLine="402"/>
        <w:rPr>
          <w:rFonts w:ascii="宋体" w:eastAsia="宋体" w:hAnsi="宋体" w:cs="宋体"/>
          <w:sz w:val="20"/>
          <w:lang w:val="zh-CN" w:bidi="zh-CN"/>
        </w:rPr>
      </w:pPr>
    </w:p>
    <w:p w:rsidR="00792182" w:rsidRDefault="00603072">
      <w:pPr>
        <w:autoSpaceDE w:val="0"/>
        <w:autoSpaceDN w:val="0"/>
        <w:spacing w:line="429" w:lineRule="exact"/>
        <w:jc w:val="center"/>
        <w:rPr>
          <w:rFonts w:ascii="Microsoft JhengHei" w:eastAsia="Microsoft JhengHei" w:hAnsi="宋体" w:cs="宋体"/>
          <w:b/>
          <w:kern w:val="0"/>
          <w:sz w:val="24"/>
          <w:szCs w:val="22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zh-CN"/>
        </w:rPr>
        <w:t>中国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zh-CN"/>
        </w:rPr>
        <w:t>铁建重工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zh-CN"/>
        </w:rPr>
        <w:t>集团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val="zh-CN" w:bidi="zh-CN"/>
        </w:rPr>
        <w:t>股份有限公司投资者关系活动记录表</w:t>
      </w:r>
    </w:p>
    <w:p w:rsidR="00792182" w:rsidRDefault="00603072">
      <w:pPr>
        <w:autoSpaceDE w:val="0"/>
        <w:autoSpaceDN w:val="0"/>
        <w:spacing w:before="194" w:after="15"/>
        <w:ind w:left="2"/>
        <w:jc w:val="center"/>
        <w:rPr>
          <w:rFonts w:ascii="宋体" w:eastAsia="宋体" w:hAnsi="宋体" w:cs="宋体"/>
          <w:sz w:val="24"/>
          <w:lang w:val="zh-CN" w:bidi="zh-CN"/>
        </w:rPr>
      </w:pPr>
      <w:r>
        <w:rPr>
          <w:rFonts w:ascii="宋体" w:eastAsia="宋体" w:hAnsi="宋体" w:cs="宋体"/>
          <w:sz w:val="24"/>
          <w:lang w:val="zh-CN" w:bidi="zh-CN"/>
        </w:rPr>
        <w:t xml:space="preserve">                                                       </w:t>
      </w:r>
    </w:p>
    <w:tbl>
      <w:tblPr>
        <w:tblW w:w="8666" w:type="dxa"/>
        <w:jc w:val="center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7000"/>
      </w:tblGrid>
      <w:tr w:rsidR="00792182" w:rsidTr="00B144EC">
        <w:trPr>
          <w:trHeight w:val="2670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宋体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投资者关系活动类别</w:t>
            </w:r>
          </w:p>
        </w:tc>
        <w:tc>
          <w:tcPr>
            <w:tcW w:w="7000" w:type="dxa"/>
          </w:tcPr>
          <w:p w:rsidR="00792182" w:rsidRDefault="00603072">
            <w:pPr>
              <w:autoSpaceDE w:val="0"/>
              <w:autoSpaceDN w:val="0"/>
              <w:spacing w:before="170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特定对象调研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分析师会议 </w:t>
            </w:r>
          </w:p>
          <w:p w:rsidR="00792182" w:rsidRDefault="00603072">
            <w:pPr>
              <w:autoSpaceDE w:val="0"/>
              <w:autoSpaceDN w:val="0"/>
              <w:spacing w:before="172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媒体采访            </w:t>
            </w:r>
            <w:r w:rsidR="00137EE3"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业绩说明会 </w:t>
            </w:r>
          </w:p>
          <w:p w:rsidR="00792182" w:rsidRDefault="00603072">
            <w:pPr>
              <w:autoSpaceDE w:val="0"/>
              <w:autoSpaceDN w:val="0"/>
              <w:spacing w:before="173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□路演活动 </w:t>
            </w:r>
          </w:p>
          <w:p w:rsidR="00792182" w:rsidRDefault="00603072">
            <w:pPr>
              <w:tabs>
                <w:tab w:val="left" w:pos="3154"/>
              </w:tabs>
              <w:autoSpaceDE w:val="0"/>
              <w:autoSpaceDN w:val="0"/>
              <w:spacing w:before="173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□现场交流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电话会议</w:t>
            </w:r>
          </w:p>
          <w:p w:rsidR="00792182" w:rsidRDefault="00603072">
            <w:pPr>
              <w:tabs>
                <w:tab w:val="left" w:pos="3154"/>
              </w:tabs>
              <w:autoSpaceDE w:val="0"/>
              <w:autoSpaceDN w:val="0"/>
              <w:spacing w:before="173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□投资策略会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□其他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</w:t>
            </w:r>
          </w:p>
        </w:tc>
      </w:tr>
      <w:tr w:rsidR="00792182" w:rsidTr="00B144EC">
        <w:trPr>
          <w:trHeight w:val="2149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参与单位名称</w:t>
            </w:r>
            <w:r w:rsidRPr="00B54D9F"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及人员姓名</w:t>
            </w:r>
          </w:p>
        </w:tc>
        <w:tc>
          <w:tcPr>
            <w:tcW w:w="7000" w:type="dxa"/>
            <w:vAlign w:val="center"/>
          </w:tcPr>
          <w:p w:rsidR="00792182" w:rsidRDefault="009711A6" w:rsidP="00D316A6">
            <w:pPr>
              <w:autoSpaceDE w:val="0"/>
              <w:autoSpaceDN w:val="0"/>
              <w:spacing w:line="480" w:lineRule="exac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国联基金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国寿安保基金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鑫元基金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和基基金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永赢基金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东吴基金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太平基金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华宝基金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深圳中天汇富基金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招商基金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兴银基金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北京海鹏私募基金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珠海横琴方普私募基金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青骊投资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中杰（厦门）投资有限公司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兴银理财有限责任公司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厦门中略投资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中国东方资产管理公司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上海杭贵投资管理有限公司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上海天猊投资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北京瑞颐投资管理有限公司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中再资产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风炎投资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申万宏源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申银万国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华创证券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天风证券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东吴证券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财信证券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华泰证券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东北证券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国海证券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711A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长江证券</w:t>
            </w:r>
            <w:r w:rsidR="006560B1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等</w:t>
            </w:r>
          </w:p>
        </w:tc>
      </w:tr>
      <w:tr w:rsidR="00792182" w:rsidTr="00B144EC">
        <w:trPr>
          <w:trHeight w:val="1155"/>
          <w:jc w:val="center"/>
        </w:trPr>
        <w:tc>
          <w:tcPr>
            <w:tcW w:w="1666" w:type="dxa"/>
            <w:vAlign w:val="center"/>
          </w:tcPr>
          <w:p w:rsidR="00792182" w:rsidRDefault="00603072" w:rsidP="00B54D9F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Times New Roman" w:eastAsia="Microsoft JhengHei" w:hAnsi="Times New Roman" w:cs="Times New Roman"/>
                <w:b/>
                <w:sz w:val="24"/>
                <w:szCs w:val="22"/>
                <w:lang w:val="zh-CN" w:bidi="zh-CN"/>
              </w:rPr>
            </w:pPr>
            <w:r w:rsidRPr="00B54D9F">
              <w:rPr>
                <w:rFonts w:ascii="方正小标宋简体" w:eastAsia="方正小标宋简体" w:hAnsi="方正小标宋简体" w:cs="方正小标宋简体"/>
                <w:bCs/>
                <w:sz w:val="24"/>
                <w:lang w:val="zh-CN" w:bidi="zh-CN"/>
              </w:rPr>
              <w:t>时  间</w:t>
            </w:r>
          </w:p>
        </w:tc>
        <w:tc>
          <w:tcPr>
            <w:tcW w:w="7000" w:type="dxa"/>
            <w:vAlign w:val="center"/>
          </w:tcPr>
          <w:p w:rsidR="00792182" w:rsidRDefault="00603072" w:rsidP="00603072">
            <w:pPr>
              <w:autoSpaceDE w:val="0"/>
              <w:autoSpaceDN w:val="0"/>
              <w:spacing w:before="170" w:line="289" w:lineRule="exac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月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31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日</w:t>
            </w:r>
          </w:p>
        </w:tc>
      </w:tr>
      <w:tr w:rsidR="00792182" w:rsidTr="00B144EC">
        <w:trPr>
          <w:trHeight w:val="1246"/>
          <w:jc w:val="center"/>
        </w:trPr>
        <w:tc>
          <w:tcPr>
            <w:tcW w:w="1666" w:type="dxa"/>
            <w:vAlign w:val="center"/>
          </w:tcPr>
          <w:p w:rsidR="00792182" w:rsidRDefault="00603072" w:rsidP="00B54D9F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地  点</w:t>
            </w:r>
          </w:p>
        </w:tc>
        <w:tc>
          <w:tcPr>
            <w:tcW w:w="7000" w:type="dxa"/>
            <w:vAlign w:val="center"/>
          </w:tcPr>
          <w:p w:rsidR="00792182" w:rsidRDefault="00603072" w:rsidP="00B144EC">
            <w:pPr>
              <w:autoSpaceDE w:val="0"/>
              <w:autoSpaceDN w:val="0"/>
              <w:spacing w:before="173" w:line="289" w:lineRule="exact"/>
              <w:rPr>
                <w:rFonts w:ascii="Calibri" w:eastAsia="宋体" w:hAnsi="Calibri" w:cs="Times New Roman"/>
                <w:spacing w:val="-6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铁建重工长</w:t>
            </w:r>
            <w:proofErr w:type="gramEnd"/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沙总部</w:t>
            </w:r>
          </w:p>
        </w:tc>
      </w:tr>
      <w:tr w:rsidR="00792182" w:rsidTr="00B144EC">
        <w:trPr>
          <w:trHeight w:val="1560"/>
          <w:jc w:val="center"/>
        </w:trPr>
        <w:tc>
          <w:tcPr>
            <w:tcW w:w="1666" w:type="dxa"/>
            <w:vAlign w:val="center"/>
          </w:tcPr>
          <w:p w:rsidR="00792182" w:rsidRDefault="00603072" w:rsidP="00B54D9F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 w:rsidRPr="00B54D9F"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上市公司接待人员姓名</w:t>
            </w:r>
          </w:p>
        </w:tc>
        <w:tc>
          <w:tcPr>
            <w:tcW w:w="7000" w:type="dxa"/>
            <w:vAlign w:val="center"/>
          </w:tcPr>
          <w:p w:rsidR="00792182" w:rsidRDefault="00603072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副总经理、总会计师、总法律顾问、董事会秘书：唐翔</w:t>
            </w:r>
          </w:p>
          <w:p w:rsidR="00B144EC" w:rsidRDefault="00B144EC" w:rsidP="00B144EC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财务部总经理：</w:t>
            </w:r>
            <w:r w:rsidR="00E5073B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王淑川</w:t>
            </w:r>
          </w:p>
          <w:p w:rsidR="00B144EC" w:rsidRDefault="00E5073B" w:rsidP="00B144EC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E5073B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经营计划部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总</w:t>
            </w:r>
            <w:r w:rsid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经理：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陈</w:t>
            </w:r>
            <w:r w:rsidRPr="00E5073B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杰</w:t>
            </w:r>
          </w:p>
          <w:p w:rsidR="00E5073B" w:rsidRPr="00E5073B" w:rsidRDefault="00E5073B" w:rsidP="00E5073B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董事会工作部总经理、证券事务代表：李刚</w:t>
            </w:r>
          </w:p>
          <w:p w:rsidR="00E5073B" w:rsidRDefault="00E5073B" w:rsidP="00E5073B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E5073B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掘进机事业部副总经理：滕飞</w:t>
            </w:r>
          </w:p>
          <w:p w:rsidR="00E5073B" w:rsidRPr="00E5073B" w:rsidRDefault="00E5073B" w:rsidP="00E5073B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E5073B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科技发展部经理：胡小勇</w:t>
            </w:r>
          </w:p>
          <w:p w:rsidR="00B144EC" w:rsidRDefault="00B144EC" w:rsidP="00E5073B">
            <w:pPr>
              <w:pStyle w:val="a0"/>
              <w:ind w:firstLineChars="0" w:firstLine="0"/>
              <w:rPr>
                <w:lang w:bidi="zh-CN"/>
              </w:rPr>
            </w:pPr>
          </w:p>
          <w:p w:rsidR="00E5073B" w:rsidRPr="00B144EC" w:rsidRDefault="00E5073B" w:rsidP="00E5073B">
            <w:pPr>
              <w:pStyle w:val="a0"/>
              <w:ind w:firstLineChars="0" w:firstLine="0"/>
              <w:rPr>
                <w:lang w:bidi="zh-CN"/>
              </w:rPr>
            </w:pPr>
          </w:p>
        </w:tc>
      </w:tr>
    </w:tbl>
    <w:p w:rsidR="00792182" w:rsidRDefault="00792182">
      <w:pPr>
        <w:spacing w:line="289" w:lineRule="exact"/>
        <w:rPr>
          <w:sz w:val="24"/>
        </w:rPr>
        <w:sectPr w:rsidR="00792182">
          <w:footerReference w:type="default" r:id="rId9"/>
          <w:pgSz w:w="11910" w:h="16840"/>
          <w:pgMar w:top="1580" w:right="1560" w:bottom="280" w:left="1680" w:header="720" w:footer="720" w:gutter="0"/>
          <w:cols w:space="720"/>
        </w:sectPr>
      </w:pPr>
    </w:p>
    <w:tbl>
      <w:tblPr>
        <w:tblW w:w="8769" w:type="dxa"/>
        <w:jc w:val="center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7064"/>
      </w:tblGrid>
      <w:tr w:rsidR="00792182" w:rsidTr="0095195F">
        <w:trPr>
          <w:trHeight w:val="4315"/>
          <w:jc w:val="center"/>
        </w:trPr>
        <w:tc>
          <w:tcPr>
            <w:tcW w:w="1705" w:type="dxa"/>
          </w:tcPr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603072" w:rsidP="00B54D9F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投资者关系活动主要内容介绍</w:t>
            </w:r>
          </w:p>
        </w:tc>
        <w:tc>
          <w:tcPr>
            <w:tcW w:w="7064" w:type="dxa"/>
          </w:tcPr>
          <w:p w:rsidR="00792182" w:rsidRPr="00B144EC" w:rsidRDefault="00CE3A26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2024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日晚间，</w:t>
            </w:r>
            <w:r w:rsidR="00E5073B">
              <w:rPr>
                <w:rFonts w:ascii="Times New Roman" w:eastAsia="宋体" w:hAnsi="Times New Roman" w:cs="Times New Roman" w:hint="eastAsia"/>
                <w:sz w:val="24"/>
              </w:rPr>
              <w:t>铁</w:t>
            </w:r>
            <w:proofErr w:type="gramStart"/>
            <w:r w:rsidR="00E5073B">
              <w:rPr>
                <w:rFonts w:ascii="Times New Roman" w:eastAsia="宋体" w:hAnsi="Times New Roman" w:cs="Times New Roman" w:hint="eastAsia"/>
                <w:sz w:val="24"/>
              </w:rPr>
              <w:t>建重工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发布</w:t>
            </w:r>
            <w:proofErr w:type="gramEnd"/>
            <w:r w:rsidR="00B144EC">
              <w:rPr>
                <w:rFonts w:ascii="Times New Roman" w:eastAsia="宋体" w:hAnsi="Times New Roman" w:cs="Times New Roman" w:hint="eastAsia"/>
                <w:sz w:val="24"/>
              </w:rPr>
              <w:t>了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2024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sz w:val="24"/>
              </w:rPr>
              <w:t>第三季度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报告，针对公司财务</w:t>
            </w:r>
            <w:r w:rsidR="00B144EC">
              <w:rPr>
                <w:rFonts w:ascii="Times New Roman" w:eastAsia="宋体" w:hAnsi="Times New Roman" w:cs="Times New Roman"/>
                <w:sz w:val="24"/>
              </w:rPr>
              <w:t>状况、经营情况等与机构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投资者进行了互动交流，</w:t>
            </w:r>
            <w:r w:rsidR="00603072">
              <w:rPr>
                <w:rFonts w:ascii="Times New Roman" w:eastAsia="宋体" w:hAnsi="Times New Roman" w:cs="Times New Roman"/>
                <w:sz w:val="24"/>
              </w:rPr>
              <w:t>有关问答情况如下：</w:t>
            </w:r>
            <w:r w:rsidR="00603072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</w:t>
            </w:r>
          </w:p>
          <w:p w:rsidR="00792182" w:rsidRDefault="00603072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一、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1-9</w:t>
            </w:r>
            <w:r w:rsidR="00B54D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月财务概述</w:t>
            </w:r>
          </w:p>
          <w:p w:rsidR="00B54D9F" w:rsidRDefault="00603072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公司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1-9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实现营业收入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8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.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01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</w:t>
            </w:r>
            <w:r w:rsidR="00B54D9F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其中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7-9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月实现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19.97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亿元，同比增长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9.05%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；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1-9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月实现</w:t>
            </w:r>
            <w:r w:rsidR="00B54D9F" w:rsidRP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归属于上市公司股东的净利润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10.29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亿元，其中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7-9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月实现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3.06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亿元，同比增长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61.03%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；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1-9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</w:t>
            </w:r>
            <w:r w:rsidR="00B54D9F" w:rsidRP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经营活动产生的现金流量净额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8.91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亿元，同比增长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98.13%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B144EC" w:rsidRDefault="00B144EC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二、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1-9</w:t>
            </w:r>
            <w:r w:rsidR="00B54D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经营情况</w:t>
            </w:r>
          </w:p>
          <w:p w:rsidR="00B144EC" w:rsidRDefault="00B144EC" w:rsidP="00A977D7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 w:rsidR="00F43E9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合同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承揽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方面，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2024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1-9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</w:t>
            </w:r>
            <w:r w:rsidR="00E5073B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公司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合计承揽合同</w:t>
            </w:r>
            <w:r w:rsidR="00E5073B" w:rsidRP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105.89</w:t>
            </w:r>
            <w:r w:rsidR="00E5073B" w:rsidRP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。其中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按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业务类型划分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</w:t>
            </w:r>
            <w:r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隧道掘进机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69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.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17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</w:t>
            </w:r>
            <w:r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特种专业装备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5.63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</w:t>
            </w:r>
            <w:r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轨道交通设备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21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.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09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；按区域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类型划分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，境内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78.39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，海外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7.51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792182" w:rsidRDefault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三</w:t>
            </w:r>
            <w:r w:rsidR="006030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、</w:t>
            </w:r>
            <w:r w:rsidR="00603072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1-9</w:t>
            </w:r>
            <w:r w:rsidR="00B54D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月</w:t>
            </w:r>
            <w:r w:rsidR="00603072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海外市场情况</w:t>
            </w:r>
          </w:p>
          <w:p w:rsidR="00E8668A" w:rsidRPr="00E8668A" w:rsidRDefault="00603072" w:rsidP="00E8668A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答：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9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公司完成海外新签合同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中标额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27.51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亿元，同比增长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49.27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%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，在</w:t>
            </w:r>
            <w:r w:rsidR="00E5073B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去年同期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高基数的基础上，继续实现大幅增长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创历史新高。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2021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年以来，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公司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近三年</w:t>
            </w:r>
            <w:proofErr w:type="gramStart"/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海外合同</w:t>
            </w:r>
            <w:proofErr w:type="gramEnd"/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承揽分别为：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7.7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亿元（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21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年）、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13.5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亿元（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22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同比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增长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74.47%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）、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20.6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亿元（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23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同比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增长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52.64%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），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每年都实现较大增长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B144EC" w:rsidRPr="00E5073B" w:rsidRDefault="00B144EC" w:rsidP="00E5073B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报告期内，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公司坚定实施“海外优先”战略，为公司产业发展提供新动能。目前，公司海外业务已实现掘进机、钻爆法施工装备、矿山装备、轨道系统装备、高端农机等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34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种产品的销售，正逐步实现全系列产品和全市场销售，累计出口或开展业务至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49</w:t>
            </w:r>
            <w:r w:rsidR="00A977D7">
              <w:rPr>
                <w:rFonts w:ascii="Times New Roman" w:hAnsi="Times New Roman" w:cs="Times New Roman" w:hint="eastAsia"/>
                <w:sz w:val="24"/>
              </w:rPr>
              <w:t>个国家和地区</w:t>
            </w:r>
            <w:r w:rsidRPr="00E5073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。</w:t>
            </w:r>
          </w:p>
          <w:p w:rsidR="00E5073B" w:rsidRPr="00E5073B" w:rsidRDefault="00E5073B" w:rsidP="00E5073B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四</w:t>
            </w:r>
            <w:r w:rsidRPr="00E5073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、公司产品在各领域的应用及后续展望</w:t>
            </w:r>
          </w:p>
          <w:p w:rsidR="00E5073B" w:rsidRPr="00E5073B" w:rsidRDefault="00E5073B" w:rsidP="00E5073B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2"/>
                <w:lang w:bidi="zh-CN"/>
              </w:rPr>
            </w:pP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答：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2024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年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1-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9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月，公司产品在城市轨道交通、铁路、公路等传统市场保持稳定份额和市场占有率的基础上，持续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看好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水利（含抽水蓄能）、矿山建设等新领域市场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的应用与开拓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。</w:t>
            </w:r>
          </w:p>
          <w:p w:rsidR="00E5073B" w:rsidRDefault="00E5073B" w:rsidP="00E5073B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2"/>
                <w:lang w:bidi="zh-CN"/>
              </w:rPr>
            </w:pP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在水利（含抽水蓄能）领域，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随着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环北部湾、引</w:t>
            </w:r>
            <w:proofErr w:type="gramStart"/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江补汉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、</w:t>
            </w:r>
            <w:r w:rsidR="00931B59" w:rsidRPr="00931B59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引大</w:t>
            </w:r>
            <w:r w:rsidR="00931B59" w:rsidRPr="00931B59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lastRenderedPageBreak/>
              <w:t>济</w:t>
            </w:r>
            <w:proofErr w:type="gramStart"/>
            <w:r w:rsidR="00931B59" w:rsidRPr="00931B59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岷</w:t>
            </w:r>
            <w:proofErr w:type="gramEnd"/>
            <w:r w:rsidR="00931B59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、四川白龙江、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吉林大水网等项目的</w:t>
            </w:r>
            <w:r w:rsidR="00F04F29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持续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推进，公司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TBM</w:t>
            </w:r>
            <w:r w:rsidR="00931B59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以及特种专业装备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的应用会有新的机遇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。在矿山领域，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随着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矿山开采作业机械化程度的提升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，以及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行业机械化、智能化转型升级及设备更新的持续推进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，煤矿以及非煤矿等</w:t>
            </w:r>
            <w:r w:rsidRPr="00E5073B"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项目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的持续跟进和推广，公司矿山装备和矿用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TBM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2"/>
                <w:lang w:bidi="zh-CN"/>
              </w:rPr>
              <w:t>应用不断增强。</w:t>
            </w:r>
          </w:p>
          <w:p w:rsidR="00792182" w:rsidRDefault="00E5073B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五</w:t>
            </w:r>
            <w:r w:rsidR="00603072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、公司</w:t>
            </w:r>
            <w:r w:rsidR="00C15A96" w:rsidRPr="00C15A96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核心关键技术、“卡脖子”零部件推广应用</w:t>
            </w:r>
            <w:r w:rsidR="00C15A96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情况</w:t>
            </w:r>
          </w:p>
          <w:p w:rsidR="00792182" w:rsidRDefault="00B144EC" w:rsidP="00C15A96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2024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1-9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月，公司</w:t>
            </w:r>
            <w:r w:rsidR="00B54D9F" w:rsidRP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研发投入合计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6.31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亿元，研发投入强度</w:t>
            </w:r>
            <w:r w:rsidR="00B54D9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9.27%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。</w:t>
            </w:r>
            <w:r w:rsidR="00B54D9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报告期内，</w:t>
            </w:r>
            <w:r w:rsidR="00C15A96" w:rsidRPr="00C15A9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公司持续强化前沿技术、基础研究、应用技术攻关力度，突破一系列地下工程装备关键核心技术，瞄准掘进机主轴承、主驱动密封、减速机、大排量液压泵及马达、控制系统等核心零部件技术，持续攻坚克难，加快推进国产核心零部件应用推广。建成全球最大主轴承生产线，实现全系列化掘进机主轴承研制，研制了全球最大的9m掘进机主轴承工况模拟试验平台，推进多种规格主轴承试验验证，实现了5m级以下轴承的工程应用；PLC</w:t>
            </w:r>
            <w:proofErr w:type="gramStart"/>
            <w:r w:rsidR="00C15A96" w:rsidRPr="00C15A9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产线已</w:t>
            </w:r>
            <w:proofErr w:type="gramEnd"/>
            <w:r w:rsidR="00C15A96" w:rsidRPr="00C15A9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初步建成，成功研制了掘进机控制系统CPU，正在小批量装机试用；国产大排量液压泵/马达已批量化装机应用</w:t>
            </w:r>
            <w:r w:rsidR="00C15A96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。</w:t>
            </w:r>
          </w:p>
          <w:p w:rsidR="00040079" w:rsidRDefault="00040079" w:rsidP="00040079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</w:pPr>
            <w:r w:rsidRPr="00040079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六、公司</w:t>
            </w:r>
            <w:r w:rsidRPr="00040079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高原新兴装备产业</w:t>
            </w:r>
            <w:r w:rsidRPr="00040079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及</w:t>
            </w:r>
            <w:r w:rsidRPr="00040079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农机装备产业</w:t>
            </w:r>
            <w:r w:rsidRPr="00040079"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发展情况</w:t>
            </w:r>
          </w:p>
          <w:p w:rsidR="00040079" w:rsidRDefault="00040079" w:rsidP="00040079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</w:pP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高原新兴装备产业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方面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公司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全球首创高原增压增氧装配式建筑，打造单多层增压建筑、增压可移动房、增压睡眠舱等9大系列产品，已通过高原人居健康医学论证。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5月，公司高原空间站参加“应急使命•西藏2024”高寒高海拔地区地震灾害区域联合救援演习，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已经产生订单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。</w:t>
            </w:r>
          </w:p>
          <w:p w:rsidR="00040079" w:rsidRPr="00040079" w:rsidRDefault="00040079" w:rsidP="00040079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农机装备产业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方面</w:t>
            </w:r>
            <w:r>
              <w:rPr>
                <w:rFonts w:ascii="宋体" w:eastAsia="宋体" w:hAnsi="宋体" w:cs="宋体" w:hint="eastAsia"/>
                <w:b/>
                <w:sz w:val="24"/>
                <w:szCs w:val="22"/>
                <w:lang w:bidi="zh-CN"/>
              </w:rPr>
              <w:t>，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公司利用新疆公司制造基地的产能、技术和区位优势，自主研发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采棉机、番茄收获机、青贮机、</w:t>
            </w:r>
            <w:proofErr w:type="gramStart"/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压捆机</w:t>
            </w:r>
            <w:proofErr w:type="gramEnd"/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，其中采棉机已形成2个系列5类产品。正在推进智能化、电动化升级，提升产品竞争力，积极拓展中亚、巴西等海外市场。抢抓国家高标准农田建设机遇，研发</w:t>
            </w:r>
            <w:proofErr w:type="gramStart"/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混动采</w:t>
            </w:r>
            <w:proofErr w:type="gramEnd"/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棉机、鲜食玉米机、谷物收获机等装备。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10月26日至28日，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公司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携高端农机新产品亮相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2024中国国际农业机械展览会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首次展出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4YZX型自走式鲜食(制种)玉米收获机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等</w:t>
            </w:r>
            <w:r w:rsidRPr="0004007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3个新产品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。</w:t>
            </w:r>
          </w:p>
        </w:tc>
      </w:tr>
    </w:tbl>
    <w:p w:rsidR="00792182" w:rsidRDefault="00792182" w:rsidP="00546675"/>
    <w:sectPr w:rsidR="00792182">
      <w:pgSz w:w="11910" w:h="16840"/>
      <w:pgMar w:top="142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6A" w:rsidRDefault="005E586A" w:rsidP="00B144EC">
      <w:r>
        <w:separator/>
      </w:r>
    </w:p>
  </w:endnote>
  <w:endnote w:type="continuationSeparator" w:id="0">
    <w:p w:rsidR="005E586A" w:rsidRDefault="005E586A" w:rsidP="00B1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131599"/>
      <w:docPartObj>
        <w:docPartGallery w:val="Page Numbers (Bottom of Page)"/>
        <w:docPartUnique/>
      </w:docPartObj>
    </w:sdtPr>
    <w:sdtEndPr/>
    <w:sdtContent>
      <w:p w:rsidR="006560B1" w:rsidRDefault="006560B1" w:rsidP="005466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079" w:rsidRPr="00040079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6A" w:rsidRDefault="005E586A" w:rsidP="00B144EC">
      <w:r>
        <w:separator/>
      </w:r>
    </w:p>
  </w:footnote>
  <w:footnote w:type="continuationSeparator" w:id="0">
    <w:p w:rsidR="005E586A" w:rsidRDefault="005E586A" w:rsidP="00B1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YWY5YWNiNDE5NmI3YTYwMGE1ZGJhY2M2ODQ0MjMifQ=="/>
  </w:docVars>
  <w:rsids>
    <w:rsidRoot w:val="22C02D9E"/>
    <w:rsid w:val="00026E7B"/>
    <w:rsid w:val="00040079"/>
    <w:rsid w:val="00075A04"/>
    <w:rsid w:val="00075DE5"/>
    <w:rsid w:val="000A3529"/>
    <w:rsid w:val="000D59AA"/>
    <w:rsid w:val="001226EE"/>
    <w:rsid w:val="00134447"/>
    <w:rsid w:val="00137EE3"/>
    <w:rsid w:val="00152957"/>
    <w:rsid w:val="001908C2"/>
    <w:rsid w:val="001B61C8"/>
    <w:rsid w:val="00220C2E"/>
    <w:rsid w:val="002368E5"/>
    <w:rsid w:val="0024101C"/>
    <w:rsid w:val="00241FA5"/>
    <w:rsid w:val="00282FAC"/>
    <w:rsid w:val="0029568A"/>
    <w:rsid w:val="002978E0"/>
    <w:rsid w:val="002A5633"/>
    <w:rsid w:val="002C62BE"/>
    <w:rsid w:val="002D5B9E"/>
    <w:rsid w:val="002E6C89"/>
    <w:rsid w:val="00315A81"/>
    <w:rsid w:val="00334215"/>
    <w:rsid w:val="00344384"/>
    <w:rsid w:val="00347455"/>
    <w:rsid w:val="00350B8F"/>
    <w:rsid w:val="0036654A"/>
    <w:rsid w:val="003818DA"/>
    <w:rsid w:val="00385C3F"/>
    <w:rsid w:val="003869D7"/>
    <w:rsid w:val="003B4FD2"/>
    <w:rsid w:val="003B5A70"/>
    <w:rsid w:val="004127AC"/>
    <w:rsid w:val="00435BB3"/>
    <w:rsid w:val="004670BD"/>
    <w:rsid w:val="00475083"/>
    <w:rsid w:val="00477C91"/>
    <w:rsid w:val="00500F4A"/>
    <w:rsid w:val="00506AF5"/>
    <w:rsid w:val="005145BC"/>
    <w:rsid w:val="00524BC5"/>
    <w:rsid w:val="00540072"/>
    <w:rsid w:val="00546675"/>
    <w:rsid w:val="0055094F"/>
    <w:rsid w:val="00581DE1"/>
    <w:rsid w:val="00587B4D"/>
    <w:rsid w:val="00595B2E"/>
    <w:rsid w:val="00595F5D"/>
    <w:rsid w:val="005B3801"/>
    <w:rsid w:val="005E586A"/>
    <w:rsid w:val="00601807"/>
    <w:rsid w:val="00602295"/>
    <w:rsid w:val="00603072"/>
    <w:rsid w:val="00610649"/>
    <w:rsid w:val="00646EEE"/>
    <w:rsid w:val="0065377B"/>
    <w:rsid w:val="006560B1"/>
    <w:rsid w:val="00673E5C"/>
    <w:rsid w:val="00674CC3"/>
    <w:rsid w:val="006C2A5A"/>
    <w:rsid w:val="00715195"/>
    <w:rsid w:val="00725083"/>
    <w:rsid w:val="00743D5B"/>
    <w:rsid w:val="00792182"/>
    <w:rsid w:val="00792BDC"/>
    <w:rsid w:val="007B33FF"/>
    <w:rsid w:val="007E700C"/>
    <w:rsid w:val="008002B5"/>
    <w:rsid w:val="00812B40"/>
    <w:rsid w:val="00820108"/>
    <w:rsid w:val="00834DB4"/>
    <w:rsid w:val="00837526"/>
    <w:rsid w:val="0085007E"/>
    <w:rsid w:val="0085219E"/>
    <w:rsid w:val="008646D0"/>
    <w:rsid w:val="00877B9F"/>
    <w:rsid w:val="0088533F"/>
    <w:rsid w:val="008B295A"/>
    <w:rsid w:val="008C5F4C"/>
    <w:rsid w:val="009037B7"/>
    <w:rsid w:val="009235B8"/>
    <w:rsid w:val="00931B59"/>
    <w:rsid w:val="0095195F"/>
    <w:rsid w:val="009711A6"/>
    <w:rsid w:val="0098548B"/>
    <w:rsid w:val="009A6BF8"/>
    <w:rsid w:val="009C01A3"/>
    <w:rsid w:val="00A42B88"/>
    <w:rsid w:val="00A75D55"/>
    <w:rsid w:val="00A8273C"/>
    <w:rsid w:val="00A84930"/>
    <w:rsid w:val="00A977D7"/>
    <w:rsid w:val="00AB146D"/>
    <w:rsid w:val="00AD5E58"/>
    <w:rsid w:val="00AD7F7A"/>
    <w:rsid w:val="00AE3D7B"/>
    <w:rsid w:val="00AF125B"/>
    <w:rsid w:val="00B03BE1"/>
    <w:rsid w:val="00B10D2B"/>
    <w:rsid w:val="00B144EC"/>
    <w:rsid w:val="00B213A6"/>
    <w:rsid w:val="00B359E3"/>
    <w:rsid w:val="00B414AD"/>
    <w:rsid w:val="00B424FB"/>
    <w:rsid w:val="00B42C65"/>
    <w:rsid w:val="00B44BF4"/>
    <w:rsid w:val="00B451E2"/>
    <w:rsid w:val="00B529C2"/>
    <w:rsid w:val="00B54D9F"/>
    <w:rsid w:val="00B6023D"/>
    <w:rsid w:val="00B73BD4"/>
    <w:rsid w:val="00B74E83"/>
    <w:rsid w:val="00B84CFF"/>
    <w:rsid w:val="00B85F0C"/>
    <w:rsid w:val="00B922C4"/>
    <w:rsid w:val="00B95230"/>
    <w:rsid w:val="00B97ADB"/>
    <w:rsid w:val="00BD1D5C"/>
    <w:rsid w:val="00C02992"/>
    <w:rsid w:val="00C15A96"/>
    <w:rsid w:val="00C25B58"/>
    <w:rsid w:val="00C27FB0"/>
    <w:rsid w:val="00C4717F"/>
    <w:rsid w:val="00C56F98"/>
    <w:rsid w:val="00C77168"/>
    <w:rsid w:val="00CB65B3"/>
    <w:rsid w:val="00CC6DD0"/>
    <w:rsid w:val="00CD412B"/>
    <w:rsid w:val="00CE2044"/>
    <w:rsid w:val="00CE3A26"/>
    <w:rsid w:val="00CE5981"/>
    <w:rsid w:val="00CF526C"/>
    <w:rsid w:val="00D11134"/>
    <w:rsid w:val="00D316A6"/>
    <w:rsid w:val="00D37FD3"/>
    <w:rsid w:val="00D41F6E"/>
    <w:rsid w:val="00D54CD3"/>
    <w:rsid w:val="00D75CEB"/>
    <w:rsid w:val="00D76631"/>
    <w:rsid w:val="00D80ABD"/>
    <w:rsid w:val="00DA7406"/>
    <w:rsid w:val="00DE1B30"/>
    <w:rsid w:val="00E04E1F"/>
    <w:rsid w:val="00E06F2F"/>
    <w:rsid w:val="00E5073B"/>
    <w:rsid w:val="00E56062"/>
    <w:rsid w:val="00E83D04"/>
    <w:rsid w:val="00E8668A"/>
    <w:rsid w:val="00E921E9"/>
    <w:rsid w:val="00EA7477"/>
    <w:rsid w:val="00EC26AE"/>
    <w:rsid w:val="00F04F29"/>
    <w:rsid w:val="00F20A66"/>
    <w:rsid w:val="00F2161C"/>
    <w:rsid w:val="00F25B61"/>
    <w:rsid w:val="00F33667"/>
    <w:rsid w:val="00F43E99"/>
    <w:rsid w:val="00F70F15"/>
    <w:rsid w:val="00FD0C7A"/>
    <w:rsid w:val="014075AF"/>
    <w:rsid w:val="01776618"/>
    <w:rsid w:val="0204347A"/>
    <w:rsid w:val="02146827"/>
    <w:rsid w:val="02746CB9"/>
    <w:rsid w:val="029A3351"/>
    <w:rsid w:val="03351957"/>
    <w:rsid w:val="03354BA9"/>
    <w:rsid w:val="036E1AFC"/>
    <w:rsid w:val="03D913C1"/>
    <w:rsid w:val="0400177C"/>
    <w:rsid w:val="04331757"/>
    <w:rsid w:val="049B5AE0"/>
    <w:rsid w:val="05053E22"/>
    <w:rsid w:val="05217E5C"/>
    <w:rsid w:val="052B37F3"/>
    <w:rsid w:val="05415D5C"/>
    <w:rsid w:val="054F28E5"/>
    <w:rsid w:val="058853EE"/>
    <w:rsid w:val="06491895"/>
    <w:rsid w:val="06C954F9"/>
    <w:rsid w:val="06E32BC5"/>
    <w:rsid w:val="074C0946"/>
    <w:rsid w:val="07683008"/>
    <w:rsid w:val="07C82502"/>
    <w:rsid w:val="08005EC1"/>
    <w:rsid w:val="09147BD1"/>
    <w:rsid w:val="092E7E14"/>
    <w:rsid w:val="09AC3382"/>
    <w:rsid w:val="0A101979"/>
    <w:rsid w:val="0A712513"/>
    <w:rsid w:val="0B585949"/>
    <w:rsid w:val="0B8056F1"/>
    <w:rsid w:val="0C0952FA"/>
    <w:rsid w:val="0CE87AC9"/>
    <w:rsid w:val="0D345C5A"/>
    <w:rsid w:val="0D9C2B47"/>
    <w:rsid w:val="0E1F5F8F"/>
    <w:rsid w:val="0E6A7FAE"/>
    <w:rsid w:val="0E737D3F"/>
    <w:rsid w:val="0E7C1566"/>
    <w:rsid w:val="0EB5409C"/>
    <w:rsid w:val="0FCD0D0C"/>
    <w:rsid w:val="102E103F"/>
    <w:rsid w:val="103079EA"/>
    <w:rsid w:val="10657B41"/>
    <w:rsid w:val="107447F0"/>
    <w:rsid w:val="116E2D11"/>
    <w:rsid w:val="11ED2806"/>
    <w:rsid w:val="121427F4"/>
    <w:rsid w:val="12215160"/>
    <w:rsid w:val="123A23FE"/>
    <w:rsid w:val="12E26E04"/>
    <w:rsid w:val="136A034F"/>
    <w:rsid w:val="147A79BD"/>
    <w:rsid w:val="14836F8F"/>
    <w:rsid w:val="14A55986"/>
    <w:rsid w:val="14B4537C"/>
    <w:rsid w:val="15312600"/>
    <w:rsid w:val="155C4FE3"/>
    <w:rsid w:val="15603B98"/>
    <w:rsid w:val="15FF2F49"/>
    <w:rsid w:val="16375667"/>
    <w:rsid w:val="16486D01"/>
    <w:rsid w:val="17236F1E"/>
    <w:rsid w:val="17BB35FC"/>
    <w:rsid w:val="18020E75"/>
    <w:rsid w:val="181A3976"/>
    <w:rsid w:val="18F750BC"/>
    <w:rsid w:val="19D33519"/>
    <w:rsid w:val="19ED57B3"/>
    <w:rsid w:val="1A573973"/>
    <w:rsid w:val="1A5E2812"/>
    <w:rsid w:val="1A6A04AE"/>
    <w:rsid w:val="1A7F45B8"/>
    <w:rsid w:val="1B0D6BF8"/>
    <w:rsid w:val="1B944F1D"/>
    <w:rsid w:val="1C142612"/>
    <w:rsid w:val="1C1F5442"/>
    <w:rsid w:val="1C213964"/>
    <w:rsid w:val="1CE53D01"/>
    <w:rsid w:val="1D0C271F"/>
    <w:rsid w:val="1DDC2FBC"/>
    <w:rsid w:val="1E166F81"/>
    <w:rsid w:val="1E4F5FBC"/>
    <w:rsid w:val="1E700E0E"/>
    <w:rsid w:val="1EF74C1E"/>
    <w:rsid w:val="1EFA7E51"/>
    <w:rsid w:val="208E18AB"/>
    <w:rsid w:val="20B724FA"/>
    <w:rsid w:val="20CB1D8C"/>
    <w:rsid w:val="21134F15"/>
    <w:rsid w:val="21720A1F"/>
    <w:rsid w:val="2219319E"/>
    <w:rsid w:val="2292398D"/>
    <w:rsid w:val="22C02D9E"/>
    <w:rsid w:val="23DD70FC"/>
    <w:rsid w:val="23E256F7"/>
    <w:rsid w:val="24445BEF"/>
    <w:rsid w:val="244E4F36"/>
    <w:rsid w:val="24896AB8"/>
    <w:rsid w:val="24D153E7"/>
    <w:rsid w:val="2513542C"/>
    <w:rsid w:val="25404272"/>
    <w:rsid w:val="25444D2D"/>
    <w:rsid w:val="25947FBF"/>
    <w:rsid w:val="267B643F"/>
    <w:rsid w:val="26C72527"/>
    <w:rsid w:val="27655E70"/>
    <w:rsid w:val="276F2CB5"/>
    <w:rsid w:val="27935EA3"/>
    <w:rsid w:val="283A6AB4"/>
    <w:rsid w:val="28706B56"/>
    <w:rsid w:val="28860ECC"/>
    <w:rsid w:val="28A148D5"/>
    <w:rsid w:val="28DB1FF7"/>
    <w:rsid w:val="291C069D"/>
    <w:rsid w:val="293C151E"/>
    <w:rsid w:val="297943AC"/>
    <w:rsid w:val="29856BE1"/>
    <w:rsid w:val="29A82D80"/>
    <w:rsid w:val="29E45531"/>
    <w:rsid w:val="2A331C17"/>
    <w:rsid w:val="2A9F3B8D"/>
    <w:rsid w:val="2AA57B1F"/>
    <w:rsid w:val="2B154DE9"/>
    <w:rsid w:val="2B1D177E"/>
    <w:rsid w:val="2B45013E"/>
    <w:rsid w:val="2CD97EAA"/>
    <w:rsid w:val="2D484E6F"/>
    <w:rsid w:val="2D7D7AA7"/>
    <w:rsid w:val="2E493757"/>
    <w:rsid w:val="2E7815C7"/>
    <w:rsid w:val="2E9B1FA5"/>
    <w:rsid w:val="2EA46D31"/>
    <w:rsid w:val="2EB47CF0"/>
    <w:rsid w:val="2F4534B3"/>
    <w:rsid w:val="2F510246"/>
    <w:rsid w:val="2F564BAE"/>
    <w:rsid w:val="2FBF4E5A"/>
    <w:rsid w:val="2FE166F3"/>
    <w:rsid w:val="2FE311E2"/>
    <w:rsid w:val="30295AA3"/>
    <w:rsid w:val="30E4200A"/>
    <w:rsid w:val="311C3E37"/>
    <w:rsid w:val="3151318A"/>
    <w:rsid w:val="31936F51"/>
    <w:rsid w:val="319932AE"/>
    <w:rsid w:val="327B4792"/>
    <w:rsid w:val="327F2B88"/>
    <w:rsid w:val="32B50D97"/>
    <w:rsid w:val="32B6761A"/>
    <w:rsid w:val="331645B1"/>
    <w:rsid w:val="333431EA"/>
    <w:rsid w:val="33B51B2F"/>
    <w:rsid w:val="3440562E"/>
    <w:rsid w:val="347668DA"/>
    <w:rsid w:val="34D72E0D"/>
    <w:rsid w:val="34E473AF"/>
    <w:rsid w:val="34E672F2"/>
    <w:rsid w:val="35526158"/>
    <w:rsid w:val="357E2C89"/>
    <w:rsid w:val="358E6F01"/>
    <w:rsid w:val="3592112E"/>
    <w:rsid w:val="360F1860"/>
    <w:rsid w:val="371C5DA4"/>
    <w:rsid w:val="379609DC"/>
    <w:rsid w:val="37D80396"/>
    <w:rsid w:val="37F84B3F"/>
    <w:rsid w:val="37FE7526"/>
    <w:rsid w:val="38041E96"/>
    <w:rsid w:val="382D23F5"/>
    <w:rsid w:val="38F2029B"/>
    <w:rsid w:val="391138B2"/>
    <w:rsid w:val="392A542D"/>
    <w:rsid w:val="3A0A0FC6"/>
    <w:rsid w:val="3A14549A"/>
    <w:rsid w:val="3A903116"/>
    <w:rsid w:val="3AA24C9F"/>
    <w:rsid w:val="3AA510F8"/>
    <w:rsid w:val="3AFE1875"/>
    <w:rsid w:val="3B29585C"/>
    <w:rsid w:val="3B3549EE"/>
    <w:rsid w:val="3B60096D"/>
    <w:rsid w:val="3C163E60"/>
    <w:rsid w:val="3C1B472B"/>
    <w:rsid w:val="3C5621E1"/>
    <w:rsid w:val="3CC53C2C"/>
    <w:rsid w:val="3CE912B4"/>
    <w:rsid w:val="3E0C3A82"/>
    <w:rsid w:val="3E0D3E5B"/>
    <w:rsid w:val="3E3825F1"/>
    <w:rsid w:val="3E8D1F15"/>
    <w:rsid w:val="3EC7168E"/>
    <w:rsid w:val="3EE447D9"/>
    <w:rsid w:val="3F47085D"/>
    <w:rsid w:val="3FDA2A51"/>
    <w:rsid w:val="40BF1ED5"/>
    <w:rsid w:val="40C95A74"/>
    <w:rsid w:val="40E24008"/>
    <w:rsid w:val="40F26B35"/>
    <w:rsid w:val="421537A4"/>
    <w:rsid w:val="423A729E"/>
    <w:rsid w:val="424051C7"/>
    <w:rsid w:val="42452805"/>
    <w:rsid w:val="42567842"/>
    <w:rsid w:val="425A5222"/>
    <w:rsid w:val="427020C1"/>
    <w:rsid w:val="449A33FE"/>
    <w:rsid w:val="44A91919"/>
    <w:rsid w:val="4530130F"/>
    <w:rsid w:val="453D5012"/>
    <w:rsid w:val="45B82DA0"/>
    <w:rsid w:val="460D258F"/>
    <w:rsid w:val="46611D24"/>
    <w:rsid w:val="46961585"/>
    <w:rsid w:val="46B16601"/>
    <w:rsid w:val="471B0185"/>
    <w:rsid w:val="478314B3"/>
    <w:rsid w:val="486F66C7"/>
    <w:rsid w:val="488103AE"/>
    <w:rsid w:val="488562C7"/>
    <w:rsid w:val="48B021C6"/>
    <w:rsid w:val="48CC55B6"/>
    <w:rsid w:val="48E729AC"/>
    <w:rsid w:val="495E27E0"/>
    <w:rsid w:val="496635CC"/>
    <w:rsid w:val="49A57642"/>
    <w:rsid w:val="49B2014C"/>
    <w:rsid w:val="49EC2014"/>
    <w:rsid w:val="4A1F6D47"/>
    <w:rsid w:val="4A3E3505"/>
    <w:rsid w:val="4AB96E81"/>
    <w:rsid w:val="4B6058FF"/>
    <w:rsid w:val="4B7E10D3"/>
    <w:rsid w:val="4B8868F7"/>
    <w:rsid w:val="4B944412"/>
    <w:rsid w:val="4BEA2C60"/>
    <w:rsid w:val="4C2C2C6D"/>
    <w:rsid w:val="4C82613C"/>
    <w:rsid w:val="4C95294D"/>
    <w:rsid w:val="4D7475CF"/>
    <w:rsid w:val="4D7F0501"/>
    <w:rsid w:val="4D8349FC"/>
    <w:rsid w:val="4DAB14EE"/>
    <w:rsid w:val="4DC872D1"/>
    <w:rsid w:val="4DCE2C5D"/>
    <w:rsid w:val="4DF80DB9"/>
    <w:rsid w:val="4E1354F7"/>
    <w:rsid w:val="4F1C169F"/>
    <w:rsid w:val="4F5A600F"/>
    <w:rsid w:val="500A107C"/>
    <w:rsid w:val="502C7AAB"/>
    <w:rsid w:val="503A2BCA"/>
    <w:rsid w:val="504C565A"/>
    <w:rsid w:val="505F68CC"/>
    <w:rsid w:val="50701412"/>
    <w:rsid w:val="508B7B19"/>
    <w:rsid w:val="510A20CD"/>
    <w:rsid w:val="51311BD9"/>
    <w:rsid w:val="51406250"/>
    <w:rsid w:val="51750A18"/>
    <w:rsid w:val="51AA1E80"/>
    <w:rsid w:val="51C51BB5"/>
    <w:rsid w:val="51E16832"/>
    <w:rsid w:val="51E34174"/>
    <w:rsid w:val="533725EE"/>
    <w:rsid w:val="533F3AB3"/>
    <w:rsid w:val="53755C44"/>
    <w:rsid w:val="53B25CD5"/>
    <w:rsid w:val="53C020FC"/>
    <w:rsid w:val="543F343F"/>
    <w:rsid w:val="54460AFF"/>
    <w:rsid w:val="54552A11"/>
    <w:rsid w:val="546141A1"/>
    <w:rsid w:val="549F386A"/>
    <w:rsid w:val="55007CB9"/>
    <w:rsid w:val="55C87014"/>
    <w:rsid w:val="55D76548"/>
    <w:rsid w:val="56197FF3"/>
    <w:rsid w:val="56651060"/>
    <w:rsid w:val="56951A0B"/>
    <w:rsid w:val="569C51E4"/>
    <w:rsid w:val="572A5DFA"/>
    <w:rsid w:val="5793080B"/>
    <w:rsid w:val="57C85932"/>
    <w:rsid w:val="57E92765"/>
    <w:rsid w:val="580B283B"/>
    <w:rsid w:val="582450D6"/>
    <w:rsid w:val="588329AC"/>
    <w:rsid w:val="58D81AFC"/>
    <w:rsid w:val="58F454E2"/>
    <w:rsid w:val="599026A6"/>
    <w:rsid w:val="59921378"/>
    <w:rsid w:val="59D4409D"/>
    <w:rsid w:val="5A1102F9"/>
    <w:rsid w:val="5A583808"/>
    <w:rsid w:val="5A8C7275"/>
    <w:rsid w:val="5ABE6659"/>
    <w:rsid w:val="5B586CA2"/>
    <w:rsid w:val="5C247843"/>
    <w:rsid w:val="5C55137A"/>
    <w:rsid w:val="5C5525A0"/>
    <w:rsid w:val="5C945C52"/>
    <w:rsid w:val="5CCC3393"/>
    <w:rsid w:val="5D51749F"/>
    <w:rsid w:val="5D545C81"/>
    <w:rsid w:val="5DB066DB"/>
    <w:rsid w:val="5DF56091"/>
    <w:rsid w:val="5E046864"/>
    <w:rsid w:val="5E173025"/>
    <w:rsid w:val="5E452065"/>
    <w:rsid w:val="5ED828B4"/>
    <w:rsid w:val="5EDE5F3A"/>
    <w:rsid w:val="5EFF5A8E"/>
    <w:rsid w:val="5F0D1B4D"/>
    <w:rsid w:val="5F2A50BF"/>
    <w:rsid w:val="5F476890"/>
    <w:rsid w:val="5F8C52D4"/>
    <w:rsid w:val="5FA5294F"/>
    <w:rsid w:val="5FB60E80"/>
    <w:rsid w:val="5FF14891"/>
    <w:rsid w:val="5FFD7F05"/>
    <w:rsid w:val="605908A1"/>
    <w:rsid w:val="60632812"/>
    <w:rsid w:val="60937CF0"/>
    <w:rsid w:val="6097361E"/>
    <w:rsid w:val="60C37A33"/>
    <w:rsid w:val="60EB32BE"/>
    <w:rsid w:val="60F63018"/>
    <w:rsid w:val="6122209C"/>
    <w:rsid w:val="614C5F46"/>
    <w:rsid w:val="62051ED7"/>
    <w:rsid w:val="62E64CBC"/>
    <w:rsid w:val="630C47C7"/>
    <w:rsid w:val="63400147"/>
    <w:rsid w:val="63B46BBD"/>
    <w:rsid w:val="63C128AF"/>
    <w:rsid w:val="63F243ED"/>
    <w:rsid w:val="645C4936"/>
    <w:rsid w:val="65201F66"/>
    <w:rsid w:val="6523130F"/>
    <w:rsid w:val="66003D71"/>
    <w:rsid w:val="66D47C91"/>
    <w:rsid w:val="66E463DE"/>
    <w:rsid w:val="67AF7155"/>
    <w:rsid w:val="68281439"/>
    <w:rsid w:val="68347762"/>
    <w:rsid w:val="6896208D"/>
    <w:rsid w:val="68A04A58"/>
    <w:rsid w:val="68AB3DD0"/>
    <w:rsid w:val="68AC4094"/>
    <w:rsid w:val="68D832EC"/>
    <w:rsid w:val="68E81ABC"/>
    <w:rsid w:val="68E8766E"/>
    <w:rsid w:val="693C033C"/>
    <w:rsid w:val="696B4984"/>
    <w:rsid w:val="696C6056"/>
    <w:rsid w:val="69FB447A"/>
    <w:rsid w:val="6A42419F"/>
    <w:rsid w:val="6A464CB0"/>
    <w:rsid w:val="6A4E0447"/>
    <w:rsid w:val="6B24785D"/>
    <w:rsid w:val="6BDF7649"/>
    <w:rsid w:val="6CAE1317"/>
    <w:rsid w:val="6CB30B6E"/>
    <w:rsid w:val="6CBD0A9A"/>
    <w:rsid w:val="6D0468E8"/>
    <w:rsid w:val="6DA33507"/>
    <w:rsid w:val="6DF644C8"/>
    <w:rsid w:val="6E2231D4"/>
    <w:rsid w:val="6E6F0B3C"/>
    <w:rsid w:val="6E711093"/>
    <w:rsid w:val="6F3D0C04"/>
    <w:rsid w:val="6F716CD6"/>
    <w:rsid w:val="6F7D25E3"/>
    <w:rsid w:val="6FA4432C"/>
    <w:rsid w:val="6FB8065A"/>
    <w:rsid w:val="70487187"/>
    <w:rsid w:val="70CA272F"/>
    <w:rsid w:val="70F91928"/>
    <w:rsid w:val="710C67BE"/>
    <w:rsid w:val="71A42734"/>
    <w:rsid w:val="71DF11F9"/>
    <w:rsid w:val="71F16312"/>
    <w:rsid w:val="72151F22"/>
    <w:rsid w:val="72455BE8"/>
    <w:rsid w:val="73105145"/>
    <w:rsid w:val="73A2411E"/>
    <w:rsid w:val="73A609D6"/>
    <w:rsid w:val="73BF1B65"/>
    <w:rsid w:val="74057D8F"/>
    <w:rsid w:val="74171C8C"/>
    <w:rsid w:val="742A0A1E"/>
    <w:rsid w:val="75537A58"/>
    <w:rsid w:val="75A35CCF"/>
    <w:rsid w:val="75EF44B1"/>
    <w:rsid w:val="766156E5"/>
    <w:rsid w:val="76D25753"/>
    <w:rsid w:val="76DE0B94"/>
    <w:rsid w:val="77067460"/>
    <w:rsid w:val="77632D4B"/>
    <w:rsid w:val="776C55D6"/>
    <w:rsid w:val="78F64BF0"/>
    <w:rsid w:val="796A7452"/>
    <w:rsid w:val="79A4784C"/>
    <w:rsid w:val="79AA5EC1"/>
    <w:rsid w:val="79B4469B"/>
    <w:rsid w:val="7A1A4B8D"/>
    <w:rsid w:val="7A672CBD"/>
    <w:rsid w:val="7A8003EE"/>
    <w:rsid w:val="7A923C37"/>
    <w:rsid w:val="7AA43769"/>
    <w:rsid w:val="7ACF51A6"/>
    <w:rsid w:val="7B432F32"/>
    <w:rsid w:val="7C98665E"/>
    <w:rsid w:val="7C9B3495"/>
    <w:rsid w:val="7D3674C0"/>
    <w:rsid w:val="7D941BED"/>
    <w:rsid w:val="7DA85FAB"/>
    <w:rsid w:val="7DDC1A9F"/>
    <w:rsid w:val="7EA50649"/>
    <w:rsid w:val="7EAF147F"/>
    <w:rsid w:val="7EF479F0"/>
    <w:rsid w:val="7F0B4D0E"/>
    <w:rsid w:val="7F8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1"/>
    <w:qFormat/>
    <w:pPr>
      <w:spacing w:after="120"/>
    </w:pPr>
  </w:style>
  <w:style w:type="paragraph" w:styleId="1">
    <w:name w:val="toc 1"/>
    <w:basedOn w:val="a"/>
    <w:next w:val="a"/>
    <w:qFormat/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styleId="a7">
    <w:name w:val="annotation reference"/>
    <w:basedOn w:val="a1"/>
    <w:rsid w:val="00F43E99"/>
    <w:rPr>
      <w:sz w:val="21"/>
      <w:szCs w:val="21"/>
    </w:rPr>
  </w:style>
  <w:style w:type="paragraph" w:styleId="a8">
    <w:name w:val="annotation text"/>
    <w:basedOn w:val="a"/>
    <w:link w:val="Char1"/>
    <w:rsid w:val="00F43E99"/>
    <w:pPr>
      <w:jc w:val="left"/>
    </w:pPr>
  </w:style>
  <w:style w:type="character" w:customStyle="1" w:styleId="Char1">
    <w:name w:val="批注文字 Char"/>
    <w:basedOn w:val="a1"/>
    <w:link w:val="a8"/>
    <w:rsid w:val="00F43E9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F43E99"/>
    <w:rPr>
      <w:b/>
      <w:bCs/>
    </w:rPr>
  </w:style>
  <w:style w:type="character" w:customStyle="1" w:styleId="Char2">
    <w:name w:val="批注主题 Char"/>
    <w:basedOn w:val="Char1"/>
    <w:link w:val="a9"/>
    <w:rsid w:val="00F43E9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F43E99"/>
    <w:rPr>
      <w:sz w:val="18"/>
      <w:szCs w:val="18"/>
    </w:rPr>
  </w:style>
  <w:style w:type="character" w:customStyle="1" w:styleId="Char3">
    <w:name w:val="批注框文本 Char"/>
    <w:basedOn w:val="a1"/>
    <w:link w:val="aa"/>
    <w:rsid w:val="00F43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1"/>
    <w:qFormat/>
    <w:pPr>
      <w:spacing w:after="120"/>
    </w:pPr>
  </w:style>
  <w:style w:type="paragraph" w:styleId="1">
    <w:name w:val="toc 1"/>
    <w:basedOn w:val="a"/>
    <w:next w:val="a"/>
    <w:qFormat/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styleId="a7">
    <w:name w:val="annotation reference"/>
    <w:basedOn w:val="a1"/>
    <w:rsid w:val="00F43E99"/>
    <w:rPr>
      <w:sz w:val="21"/>
      <w:szCs w:val="21"/>
    </w:rPr>
  </w:style>
  <w:style w:type="paragraph" w:styleId="a8">
    <w:name w:val="annotation text"/>
    <w:basedOn w:val="a"/>
    <w:link w:val="Char1"/>
    <w:rsid w:val="00F43E99"/>
    <w:pPr>
      <w:jc w:val="left"/>
    </w:pPr>
  </w:style>
  <w:style w:type="character" w:customStyle="1" w:styleId="Char1">
    <w:name w:val="批注文字 Char"/>
    <w:basedOn w:val="a1"/>
    <w:link w:val="a8"/>
    <w:rsid w:val="00F43E9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F43E99"/>
    <w:rPr>
      <w:b/>
      <w:bCs/>
    </w:rPr>
  </w:style>
  <w:style w:type="character" w:customStyle="1" w:styleId="Char2">
    <w:name w:val="批注主题 Char"/>
    <w:basedOn w:val="Char1"/>
    <w:link w:val="a9"/>
    <w:rsid w:val="00F43E9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F43E99"/>
    <w:rPr>
      <w:sz w:val="18"/>
      <w:szCs w:val="18"/>
    </w:rPr>
  </w:style>
  <w:style w:type="character" w:customStyle="1" w:styleId="Char3">
    <w:name w:val="批注框文本 Char"/>
    <w:basedOn w:val="a1"/>
    <w:link w:val="aa"/>
    <w:rsid w:val="00F43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4BD6C-8E09-4066-9018-078C3165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曹旭东</cp:lastModifiedBy>
  <cp:revision>100</cp:revision>
  <dcterms:created xsi:type="dcterms:W3CDTF">2023-11-27T06:11:00Z</dcterms:created>
  <dcterms:modified xsi:type="dcterms:W3CDTF">2024-10-31T06:49:00Z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F83C8A734DFD4A8FBDF263E848998402_13</vt:lpwstr>
  </property>
</Properties>
</file>