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color w:val="000000"/>
          <w:sz w:val="28"/>
        </w:rPr>
      </w:pPr>
      <w:r>
        <w:rPr>
          <w:rFonts w:ascii="仿宋" w:hAnsi="仿宋" w:eastAsia="仿宋" w:cs="仿宋"/>
          <w:color w:val="000000"/>
          <w:sz w:val="28"/>
        </w:rPr>
        <w:t>证券代码：688187                         证券简称：时代电气</w:t>
      </w:r>
    </w:p>
    <w:p>
      <w:pPr>
        <w:spacing w:line="360" w:lineRule="auto"/>
        <w:jc w:val="center"/>
        <w:rPr>
          <w:rFonts w:ascii="华文中宋" w:hAnsi="华文中宋" w:eastAsia="华文中宋" w:cs="华文中宋"/>
          <w:b/>
          <w:color w:val="000000"/>
          <w:sz w:val="32"/>
        </w:rPr>
      </w:pPr>
      <w:r>
        <w:rPr>
          <w:rFonts w:ascii="华文中宋" w:hAnsi="华文中宋" w:eastAsia="华文中宋" w:cs="华文中宋"/>
          <w:b/>
          <w:color w:val="000000"/>
          <w:sz w:val="32"/>
        </w:rPr>
        <w:t>株洲中车时代电气股份有限公司投资者关系活动记录表</w:t>
      </w:r>
    </w:p>
    <w:p>
      <w:pPr>
        <w:spacing w:line="560" w:lineRule="auto"/>
        <w:rPr>
          <w:rFonts w:ascii="仿宋" w:hAnsi="仿宋" w:eastAsia="仿宋" w:cs="仿宋"/>
          <w:color w:val="000000"/>
          <w:sz w:val="28"/>
        </w:rPr>
      </w:pPr>
      <w:r>
        <w:rPr>
          <w:rFonts w:ascii="仿宋" w:hAnsi="仿宋" w:eastAsia="仿宋" w:cs="仿宋"/>
          <w:color w:val="000000"/>
          <w:sz w:val="28"/>
        </w:rPr>
        <w:t xml:space="preserve">                                              编号：202</w:t>
      </w:r>
      <w:r>
        <w:rPr>
          <w:rFonts w:hint="eastAsia" w:ascii="仿宋" w:hAnsi="仿宋" w:eastAsia="仿宋" w:cs="仿宋"/>
          <w:color w:val="000000"/>
          <w:sz w:val="28"/>
        </w:rPr>
        <w:t>4</w:t>
      </w:r>
      <w:r>
        <w:rPr>
          <w:rFonts w:ascii="仿宋" w:hAnsi="仿宋" w:eastAsia="仿宋" w:cs="仿宋"/>
          <w:color w:val="000000"/>
          <w:sz w:val="28"/>
        </w:rPr>
        <w:t>00</w:t>
      </w:r>
      <w:r>
        <w:rPr>
          <w:rFonts w:hint="eastAsia" w:ascii="仿宋" w:hAnsi="仿宋" w:eastAsia="仿宋" w:cs="仿宋"/>
          <w:color w:val="000000"/>
          <w:sz w:val="28"/>
        </w:rPr>
        <w:t>5</w:t>
      </w:r>
    </w:p>
    <w:tbl>
      <w:tblPr>
        <w:tblStyle w:val="10"/>
        <w:tblW w:w="0" w:type="auto"/>
        <w:tblInd w:w="98" w:type="dxa"/>
        <w:tblLayout w:type="autofit"/>
        <w:tblCellMar>
          <w:top w:w="0" w:type="dxa"/>
          <w:left w:w="10" w:type="dxa"/>
          <w:bottom w:w="0" w:type="dxa"/>
          <w:right w:w="10" w:type="dxa"/>
        </w:tblCellMar>
      </w:tblPr>
      <w:tblGrid>
        <w:gridCol w:w="3468"/>
        <w:gridCol w:w="4956"/>
      </w:tblGrid>
      <w:tr>
        <w:trPr>
          <w:trHeight w:val="1" w:hRule="atLeast"/>
        </w:trPr>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rPr>
                <w:rFonts w:ascii="仿宋" w:hAnsi="仿宋" w:eastAsia="仿宋" w:cs="仿宋"/>
                <w:color w:val="000000"/>
                <w:sz w:val="24"/>
              </w:rPr>
            </w:pPr>
            <w:r>
              <w:rPr>
                <w:rFonts w:ascii="仿宋" w:hAnsi="仿宋" w:eastAsia="仿宋" w:cs="仿宋"/>
                <w:color w:val="000000"/>
                <w:sz w:val="24"/>
              </w:rPr>
              <w:t>投资者关系活动类别</w:t>
            </w:r>
          </w:p>
          <w:p>
            <w:pPr>
              <w:spacing w:line="560" w:lineRule="auto"/>
            </w:pP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rPr>
                <w:rFonts w:ascii="仿宋" w:hAnsi="仿宋" w:eastAsia="仿宋" w:cs="仿宋"/>
                <w:color w:val="000000"/>
                <w:sz w:val="24"/>
              </w:rPr>
            </w:pPr>
            <w:r>
              <w:rPr>
                <w:rFonts w:ascii="仿宋" w:hAnsi="仿宋" w:eastAsia="仿宋" w:cs="仿宋"/>
                <w:color w:val="000000"/>
                <w:sz w:val="24"/>
              </w:rPr>
              <w:t xml:space="preserve">□特定对象调研        </w:t>
            </w:r>
            <w:r>
              <w:rPr>
                <w:rFonts w:ascii="仿宋" w:hAnsi="仿宋" w:eastAsia="仿宋" w:cs="仿宋"/>
                <w:color w:val="000000"/>
                <w:sz w:val="24"/>
              </w:rPr>
              <w:sym w:font="Wingdings 2" w:char="0052"/>
            </w:r>
            <w:r>
              <w:rPr>
                <w:rFonts w:ascii="仿宋" w:hAnsi="仿宋" w:eastAsia="仿宋" w:cs="仿宋"/>
                <w:color w:val="000000"/>
                <w:sz w:val="24"/>
              </w:rPr>
              <w:t>分析师会议</w:t>
            </w:r>
          </w:p>
          <w:p>
            <w:pPr>
              <w:spacing w:line="560" w:lineRule="auto"/>
              <w:rPr>
                <w:rFonts w:ascii="仿宋" w:hAnsi="仿宋" w:eastAsia="仿宋" w:cs="仿宋"/>
                <w:color w:val="000000"/>
                <w:sz w:val="24"/>
              </w:rPr>
            </w:pPr>
            <w:r>
              <w:rPr>
                <w:rFonts w:ascii="仿宋" w:hAnsi="仿宋" w:eastAsia="仿宋" w:cs="仿宋"/>
                <w:color w:val="000000"/>
                <w:sz w:val="24"/>
              </w:rPr>
              <w:t>□媒体采访            □业绩说明会</w:t>
            </w:r>
          </w:p>
          <w:p>
            <w:pPr>
              <w:spacing w:line="560" w:lineRule="auto"/>
              <w:rPr>
                <w:rFonts w:ascii="仿宋" w:hAnsi="仿宋" w:eastAsia="仿宋" w:cs="仿宋"/>
                <w:color w:val="000000"/>
                <w:sz w:val="24"/>
              </w:rPr>
            </w:pPr>
            <w:r>
              <w:rPr>
                <w:rFonts w:ascii="仿宋" w:hAnsi="仿宋" w:eastAsia="仿宋" w:cs="仿宋"/>
                <w:color w:val="000000"/>
                <w:sz w:val="24"/>
              </w:rPr>
              <w:t xml:space="preserve">□新闻发布会          </w:t>
            </w:r>
            <w:r>
              <w:rPr>
                <w:rFonts w:ascii="仿宋" w:hAnsi="仿宋" w:eastAsia="仿宋" w:cs="仿宋"/>
                <w:color w:val="000000"/>
                <w:sz w:val="24"/>
              </w:rPr>
              <w:sym w:font="Wingdings 2" w:char="00A3"/>
            </w:r>
            <w:r>
              <w:rPr>
                <w:rFonts w:ascii="仿宋" w:hAnsi="仿宋" w:eastAsia="仿宋" w:cs="仿宋"/>
                <w:color w:val="000000"/>
                <w:sz w:val="24"/>
              </w:rPr>
              <w:t>路演活动</w:t>
            </w:r>
          </w:p>
          <w:p>
            <w:pPr>
              <w:tabs>
                <w:tab w:val="left" w:pos="3045"/>
                <w:tab w:val="center" w:pos="3199"/>
              </w:tabs>
              <w:spacing w:line="560" w:lineRule="auto"/>
              <w:rPr>
                <w:rFonts w:ascii="仿宋" w:hAnsi="仿宋" w:eastAsia="仿宋" w:cs="仿宋"/>
                <w:color w:val="000000"/>
                <w:sz w:val="24"/>
              </w:rPr>
            </w:pPr>
            <w:r>
              <w:rPr>
                <w:rFonts w:ascii="仿宋" w:hAnsi="仿宋" w:eastAsia="仿宋" w:cs="仿宋"/>
                <w:color w:val="000000"/>
                <w:sz w:val="24"/>
              </w:rPr>
              <w:t>□现场参观</w:t>
            </w:r>
            <w:r>
              <w:rPr>
                <w:rFonts w:ascii="仿宋" w:hAnsi="仿宋" w:eastAsia="仿宋" w:cs="仿宋"/>
                <w:color w:val="000000"/>
                <w:sz w:val="24"/>
              </w:rPr>
              <w:tab/>
            </w:r>
          </w:p>
          <w:p>
            <w:pPr>
              <w:tabs>
                <w:tab w:val="center" w:pos="3199"/>
              </w:tabs>
              <w:spacing w:line="560" w:lineRule="auto"/>
            </w:pPr>
            <w:r>
              <w:rPr>
                <w:rFonts w:ascii="仿宋" w:hAnsi="仿宋" w:eastAsia="仿宋" w:cs="仿宋"/>
                <w:color w:val="000000"/>
                <w:sz w:val="24"/>
              </w:rPr>
              <w:t xml:space="preserve">□其他 </w:t>
            </w:r>
            <w:r>
              <w:rPr>
                <w:rFonts w:ascii="仿宋" w:hAnsi="仿宋" w:eastAsia="仿宋" w:cs="仿宋"/>
                <w:color w:val="000000"/>
                <w:sz w:val="24"/>
                <w:u w:val="single"/>
              </w:rPr>
              <w:t>（请文字说明其他活动内容）</w:t>
            </w:r>
          </w:p>
        </w:tc>
      </w:tr>
      <w:tr>
        <w:tblPrEx>
          <w:tblCellMar>
            <w:top w:w="0" w:type="dxa"/>
            <w:left w:w="10" w:type="dxa"/>
            <w:bottom w:w="0" w:type="dxa"/>
            <w:right w:w="10" w:type="dxa"/>
          </w:tblCellMar>
        </w:tblPrEx>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pPr>
            <w:r>
              <w:rPr>
                <w:rFonts w:ascii="仿宋" w:hAnsi="仿宋" w:eastAsia="仿宋" w:cs="仿宋"/>
                <w:color w:val="000000"/>
                <w:sz w:val="24"/>
              </w:rPr>
              <w:t>参与单位名称及人员姓名</w:t>
            </w: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rPr>
                <w:rFonts w:ascii="仿宋" w:hAnsi="仿宋" w:eastAsia="仿宋" w:cs="仿宋"/>
                <w:color w:val="000000"/>
                <w:sz w:val="24"/>
              </w:rPr>
            </w:pPr>
            <w:r>
              <w:rPr>
                <w:rFonts w:hint="eastAsia" w:ascii="仿宋" w:hAnsi="仿宋" w:eastAsia="仿宋" w:cs="仿宋"/>
                <w:color w:val="000000"/>
                <w:sz w:val="24"/>
              </w:rPr>
              <w:t>中泰证券、长江证券、光大证券、中信证券、国信证券、民生证券、兴业证券、中金公司、招商证券、华泰证券、中信建投、第一上海证券、财通证券、高盛证券、华夏基金、中欧基金、博时基金、工银瑞信基金、西部利得基金、中银基金、华安基金、广发基金、海富通基金、新华基金、鹏华基金、太平基金、民生加银基金、南方基金、富安达基金、嘉实基金、招商基金、泰康基金、惠理基金、中信保诚基金</w:t>
            </w:r>
            <w:r>
              <w:rPr>
                <w:rFonts w:ascii="仿宋" w:hAnsi="仿宋" w:eastAsia="仿宋" w:cs="仿宋"/>
                <w:color w:val="000000"/>
                <w:sz w:val="24"/>
              </w:rPr>
              <w:t>等</w:t>
            </w:r>
            <w:r>
              <w:rPr>
                <w:rFonts w:hint="eastAsia" w:ascii="仿宋" w:hAnsi="仿宋" w:eastAsia="仿宋" w:cs="仿宋"/>
                <w:color w:val="000000"/>
                <w:sz w:val="24"/>
              </w:rPr>
              <w:t>160多名投资者。</w:t>
            </w:r>
          </w:p>
        </w:tc>
      </w:tr>
      <w:tr>
        <w:tblPrEx>
          <w:tblCellMar>
            <w:top w:w="0" w:type="dxa"/>
            <w:left w:w="10" w:type="dxa"/>
            <w:bottom w:w="0" w:type="dxa"/>
            <w:right w:w="10" w:type="dxa"/>
          </w:tblCellMar>
        </w:tblPrEx>
        <w:trPr>
          <w:trHeight w:val="1" w:hRule="atLeast"/>
        </w:trPr>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pPr>
            <w:r>
              <w:rPr>
                <w:rFonts w:ascii="仿宋" w:hAnsi="仿宋" w:eastAsia="仿宋" w:cs="仿宋"/>
                <w:color w:val="000000"/>
                <w:sz w:val="24"/>
              </w:rPr>
              <w:t>时间</w:t>
            </w: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pPr>
            <w:r>
              <w:rPr>
                <w:rFonts w:ascii="仿宋" w:hAnsi="仿宋" w:eastAsia="仿宋" w:cs="仿宋"/>
                <w:color w:val="000000"/>
                <w:sz w:val="24"/>
              </w:rPr>
              <w:t>202</w:t>
            </w:r>
            <w:r>
              <w:rPr>
                <w:rFonts w:hint="eastAsia" w:ascii="仿宋" w:hAnsi="仿宋" w:eastAsia="仿宋" w:cs="仿宋"/>
                <w:color w:val="000000"/>
                <w:sz w:val="24"/>
              </w:rPr>
              <w:t>4</w:t>
            </w:r>
            <w:r>
              <w:rPr>
                <w:rFonts w:ascii="仿宋" w:hAnsi="仿宋" w:eastAsia="仿宋" w:cs="仿宋"/>
                <w:color w:val="000000"/>
                <w:sz w:val="24"/>
              </w:rPr>
              <w:t>年</w:t>
            </w:r>
            <w:r>
              <w:rPr>
                <w:rFonts w:hint="eastAsia" w:ascii="仿宋" w:hAnsi="仿宋" w:eastAsia="仿宋" w:cs="仿宋"/>
                <w:color w:val="000000"/>
                <w:sz w:val="24"/>
              </w:rPr>
              <w:t>10</w:t>
            </w:r>
            <w:r>
              <w:rPr>
                <w:rFonts w:ascii="仿宋" w:hAnsi="仿宋" w:eastAsia="仿宋" w:cs="仿宋"/>
                <w:color w:val="000000"/>
                <w:sz w:val="24"/>
              </w:rPr>
              <w:t>月</w:t>
            </w:r>
            <w:r>
              <w:rPr>
                <w:rFonts w:hint="eastAsia" w:ascii="仿宋" w:hAnsi="仿宋" w:eastAsia="仿宋" w:cs="仿宋"/>
                <w:color w:val="000000"/>
                <w:sz w:val="24"/>
              </w:rPr>
              <w:t>30</w:t>
            </w:r>
            <w:r>
              <w:rPr>
                <w:rFonts w:ascii="仿宋" w:hAnsi="仿宋" w:eastAsia="仿宋" w:cs="仿宋"/>
                <w:color w:val="000000"/>
                <w:sz w:val="24"/>
              </w:rPr>
              <w:t>日</w:t>
            </w:r>
            <w:r>
              <w:rPr>
                <w:rFonts w:hint="eastAsia" w:ascii="仿宋" w:hAnsi="仿宋" w:eastAsia="仿宋" w:cs="仿宋"/>
                <w:color w:val="000000"/>
                <w:sz w:val="24"/>
              </w:rPr>
              <w:t>17:00</w:t>
            </w:r>
            <w:r>
              <w:rPr>
                <w:rFonts w:ascii="仿宋" w:hAnsi="仿宋" w:eastAsia="仿宋" w:cs="仿宋"/>
                <w:color w:val="000000"/>
                <w:sz w:val="24"/>
              </w:rPr>
              <w:t>-</w:t>
            </w:r>
            <w:r>
              <w:rPr>
                <w:rFonts w:hint="eastAsia" w:ascii="仿宋" w:hAnsi="仿宋" w:eastAsia="仿宋" w:cs="仿宋"/>
                <w:color w:val="000000"/>
                <w:sz w:val="24"/>
              </w:rPr>
              <w:t>18</w:t>
            </w:r>
            <w:r>
              <w:rPr>
                <w:rFonts w:ascii="仿宋" w:hAnsi="仿宋" w:eastAsia="仿宋" w:cs="仿宋"/>
                <w:color w:val="000000"/>
                <w:sz w:val="24"/>
              </w:rPr>
              <w:t>:</w:t>
            </w:r>
            <w:r>
              <w:rPr>
                <w:rFonts w:hint="eastAsia" w:ascii="仿宋" w:hAnsi="仿宋" w:eastAsia="仿宋" w:cs="仿宋"/>
                <w:color w:val="000000"/>
                <w:sz w:val="24"/>
              </w:rPr>
              <w:t>0</w:t>
            </w:r>
            <w:r>
              <w:rPr>
                <w:rFonts w:ascii="仿宋" w:hAnsi="仿宋" w:eastAsia="仿宋" w:cs="仿宋"/>
                <w:color w:val="000000"/>
                <w:sz w:val="24"/>
              </w:rPr>
              <w:t>0</w:t>
            </w:r>
          </w:p>
        </w:tc>
      </w:tr>
      <w:tr>
        <w:tblPrEx>
          <w:tblCellMar>
            <w:top w:w="0" w:type="dxa"/>
            <w:left w:w="10" w:type="dxa"/>
            <w:bottom w:w="0" w:type="dxa"/>
            <w:right w:w="10" w:type="dxa"/>
          </w:tblCellMar>
        </w:tblPrEx>
        <w:trPr>
          <w:trHeight w:val="1" w:hRule="atLeast"/>
        </w:trPr>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pPr>
            <w:r>
              <w:rPr>
                <w:rFonts w:ascii="仿宋" w:hAnsi="仿宋" w:eastAsia="仿宋" w:cs="仿宋"/>
                <w:color w:val="000000"/>
                <w:sz w:val="24"/>
              </w:rPr>
              <w:t>地点</w:t>
            </w: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rPr>
                <w:rFonts w:eastAsia="仿宋"/>
              </w:rPr>
            </w:pPr>
            <w:r>
              <w:rPr>
                <w:rFonts w:hint="eastAsia" w:ascii="仿宋" w:hAnsi="仿宋" w:eastAsia="仿宋" w:cs="仿宋"/>
                <w:color w:val="000000"/>
                <w:sz w:val="24"/>
              </w:rPr>
              <w:t>电话会议</w:t>
            </w:r>
          </w:p>
        </w:tc>
      </w:tr>
      <w:tr>
        <w:tblPrEx>
          <w:tblCellMar>
            <w:top w:w="0" w:type="dxa"/>
            <w:left w:w="10" w:type="dxa"/>
            <w:bottom w:w="0" w:type="dxa"/>
            <w:right w:w="10" w:type="dxa"/>
          </w:tblCellMar>
        </w:tblPrEx>
        <w:trPr>
          <w:trHeight w:val="1" w:hRule="atLeast"/>
        </w:trPr>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pPr>
            <w:r>
              <w:rPr>
                <w:rFonts w:ascii="仿宋" w:hAnsi="仿宋" w:eastAsia="仿宋" w:cs="仿宋"/>
                <w:color w:val="000000"/>
                <w:sz w:val="24"/>
              </w:rPr>
              <w:t>上市公司接待人员姓名</w:t>
            </w: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
              <w:rPr>
                <w:rFonts w:hint="eastAsia" w:ascii="仿宋" w:hAnsi="仿宋" w:eastAsia="仿宋" w:cs="仿宋"/>
                <w:color w:val="000000"/>
                <w:sz w:val="24"/>
              </w:rPr>
              <w:t>执行董事兼总经理徐绍龙先生，</w:t>
            </w:r>
            <w:r>
              <w:rPr>
                <w:rFonts w:ascii="仿宋" w:hAnsi="仿宋" w:eastAsia="仿宋" w:cs="仿宋"/>
                <w:color w:val="000000"/>
                <w:sz w:val="24"/>
              </w:rPr>
              <w:t>副总经理兼财务总监</w:t>
            </w:r>
            <w:r>
              <w:rPr>
                <w:rFonts w:hint="eastAsia" w:ascii="仿宋" w:hAnsi="仿宋" w:eastAsia="仿宋" w:cs="仿宋"/>
                <w:color w:val="000000"/>
                <w:sz w:val="24"/>
              </w:rPr>
              <w:t>孙珊女士，董事会秘书</w:t>
            </w:r>
            <w:r>
              <w:rPr>
                <w:rFonts w:ascii="仿宋" w:hAnsi="仿宋" w:eastAsia="仿宋" w:cs="仿宋"/>
                <w:color w:val="000000"/>
                <w:sz w:val="24"/>
              </w:rPr>
              <w:t>龙芙蓉女士。</w:t>
            </w:r>
          </w:p>
        </w:tc>
      </w:tr>
      <w:tr>
        <w:tblPrEx>
          <w:tblCellMar>
            <w:top w:w="0" w:type="dxa"/>
            <w:left w:w="10" w:type="dxa"/>
            <w:bottom w:w="0" w:type="dxa"/>
            <w:right w:w="10" w:type="dxa"/>
          </w:tblCellMar>
        </w:tblPrEx>
        <w:trPr>
          <w:trHeight w:val="1" w:hRule="atLeast"/>
        </w:trPr>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560" w:lineRule="auto"/>
              <w:rPr>
                <w:rFonts w:ascii="仿宋" w:hAnsi="仿宋" w:eastAsia="仿宋" w:cs="仿宋"/>
                <w:color w:val="000000"/>
                <w:sz w:val="24"/>
              </w:rPr>
            </w:pPr>
            <w:r>
              <w:rPr>
                <w:rFonts w:ascii="仿宋" w:hAnsi="仿宋" w:eastAsia="仿宋" w:cs="仿宋"/>
                <w:color w:val="000000"/>
                <w:sz w:val="24"/>
              </w:rPr>
              <w:t>投资者关系活动主要内容介绍</w:t>
            </w:r>
          </w:p>
          <w:p>
            <w:pPr>
              <w:spacing w:line="560" w:lineRule="auto"/>
            </w:pP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rPr>
                <w:rFonts w:ascii="仿宋" w:hAnsi="仿宋" w:eastAsia="仿宋" w:cs="仿宋"/>
                <w:color w:val="000000"/>
                <w:sz w:val="24"/>
                <w:szCs w:val="24"/>
              </w:rPr>
            </w:pPr>
            <w:r>
              <w:rPr>
                <w:rFonts w:hint="eastAsia" w:ascii="仿宋" w:hAnsi="仿宋" w:eastAsia="仿宋" w:cs="仿宋"/>
                <w:color w:val="000000"/>
                <w:sz w:val="24"/>
                <w:szCs w:val="24"/>
              </w:rPr>
              <w:t>问答环节主要内容</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问题1：公司毛利率是否稳定，特别是半导体业务盈利情况如何。整体盈利能力是否稳定</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回答：整个公司来看的话，2024年前三季度综合毛利率29.57%，较上年同期的28.43%有所增长。一方面整个轨道交通装备业务的收入较上年同期实现了22.16%的增长，同时轨道交通业务收入占总收入比重有所提升，收入结构的变化带来总体毛利率的提升。</w:t>
            </w:r>
          </w:p>
          <w:p>
            <w:pPr>
              <w:rPr>
                <w:rFonts w:ascii="仿宋" w:hAnsi="仿宋" w:eastAsia="仿宋" w:cs="仿宋"/>
                <w:color w:val="000000"/>
                <w:sz w:val="24"/>
                <w:szCs w:val="24"/>
              </w:rPr>
            </w:pPr>
            <w:r>
              <w:rPr>
                <w:rFonts w:hint="eastAsia" w:ascii="仿宋" w:hAnsi="仿宋" w:eastAsia="仿宋" w:cs="仿宋"/>
                <w:color w:val="000000"/>
                <w:sz w:val="24"/>
                <w:szCs w:val="24"/>
              </w:rPr>
              <w:t>公司功率半导体业务在2024年前三季度也实现了收入27.12亿元，较上年同期的21.38亿元，增长了26.84%。从收入增速和规模</w:t>
            </w:r>
            <w:r>
              <w:rPr>
                <w:rFonts w:hint="eastAsia" w:ascii="仿宋" w:hAnsi="仿宋" w:eastAsia="仿宋" w:cs="仿宋"/>
                <w:color w:val="000000"/>
                <w:sz w:val="24"/>
                <w:szCs w:val="24"/>
                <w:lang w:val="en-US" w:eastAsia="zh-CN"/>
              </w:rPr>
              <w:t>角度来看</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均</w:t>
            </w:r>
            <w:r>
              <w:rPr>
                <w:rFonts w:hint="eastAsia" w:ascii="仿宋" w:hAnsi="仿宋" w:eastAsia="仿宋" w:cs="仿宋"/>
                <w:color w:val="000000"/>
                <w:sz w:val="24"/>
                <w:szCs w:val="24"/>
              </w:rPr>
              <w:t>超过了公司整体收入</w:t>
            </w:r>
            <w:r>
              <w:rPr>
                <w:rFonts w:hint="eastAsia" w:ascii="仿宋" w:hAnsi="仿宋" w:eastAsia="仿宋" w:cs="仿宋"/>
                <w:color w:val="000000"/>
                <w:sz w:val="24"/>
                <w:szCs w:val="24"/>
                <w:lang w:eastAsia="zh-CN"/>
              </w:rPr>
              <w:t>的</w:t>
            </w:r>
            <w:r>
              <w:rPr>
                <w:rFonts w:hint="eastAsia" w:ascii="仿宋" w:hAnsi="仿宋" w:eastAsia="仿宋" w:cs="仿宋"/>
                <w:color w:val="000000"/>
                <w:sz w:val="24"/>
                <w:szCs w:val="24"/>
                <w:lang w:val="en-US" w:eastAsia="zh-CN"/>
              </w:rPr>
              <w:t>增长速度</w:t>
            </w:r>
            <w:r>
              <w:rPr>
                <w:rFonts w:hint="eastAsia" w:ascii="仿宋" w:hAnsi="仿宋" w:eastAsia="仿宋" w:cs="仿宋"/>
                <w:color w:val="000000"/>
                <w:sz w:val="24"/>
                <w:szCs w:val="24"/>
              </w:rPr>
              <w:t>，功率半导体的产能也在逐步的提升，</w:t>
            </w:r>
            <w:r>
              <w:rPr>
                <w:rFonts w:hint="eastAsia" w:ascii="仿宋" w:hAnsi="仿宋" w:eastAsia="仿宋" w:cs="仿宋"/>
                <w:color w:val="000000"/>
                <w:sz w:val="24"/>
                <w:szCs w:val="24"/>
                <w:lang w:val="en-US" w:eastAsia="zh-CN"/>
              </w:rPr>
              <w:t>预计其</w:t>
            </w:r>
            <w:r>
              <w:rPr>
                <w:rFonts w:hint="eastAsia" w:ascii="仿宋" w:hAnsi="仿宋" w:eastAsia="仿宋" w:cs="仿宋"/>
                <w:color w:val="000000"/>
                <w:sz w:val="24"/>
                <w:szCs w:val="24"/>
              </w:rPr>
              <w:t>规模效益</w:t>
            </w:r>
            <w:r>
              <w:rPr>
                <w:rFonts w:hint="eastAsia" w:ascii="仿宋" w:hAnsi="仿宋" w:eastAsia="仿宋" w:cs="仿宋"/>
                <w:color w:val="000000"/>
                <w:sz w:val="24"/>
                <w:szCs w:val="24"/>
                <w:lang w:val="en-US" w:eastAsia="zh-CN"/>
              </w:rPr>
              <w:t>将在未来</w:t>
            </w:r>
            <w:r>
              <w:rPr>
                <w:rFonts w:hint="eastAsia" w:ascii="仿宋" w:hAnsi="仿宋" w:eastAsia="仿宋" w:cs="仿宋"/>
                <w:color w:val="000000"/>
                <w:sz w:val="24"/>
                <w:szCs w:val="24"/>
              </w:rPr>
              <w:t>逐步显现，总体的经营效率稳中有升，整体来看，半导体业务的盈利能力保持稳定</w:t>
            </w:r>
            <w:r>
              <w:rPr>
                <w:rFonts w:ascii="仿宋" w:hAnsi="仿宋" w:eastAsia="仿宋" w:cs="仿宋"/>
                <w:color w:val="000000"/>
                <w:sz w:val="24"/>
                <w:szCs w:val="24"/>
              </w:rPr>
              <w:t>。</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问题2：半导体前三季度及第三季度业绩情况？</w:t>
            </w:r>
          </w:p>
          <w:p>
            <w:pPr>
              <w:rPr>
                <w:rFonts w:ascii="仿宋" w:hAnsi="仿宋" w:eastAsia="仿宋" w:cs="仿宋"/>
                <w:color w:val="000000"/>
                <w:sz w:val="24"/>
                <w:szCs w:val="24"/>
              </w:rPr>
            </w:pPr>
            <w:r>
              <w:rPr>
                <w:rFonts w:hint="eastAsia" w:ascii="仿宋" w:hAnsi="仿宋" w:eastAsia="仿宋" w:cs="仿宋"/>
                <w:color w:val="000000"/>
                <w:sz w:val="24"/>
                <w:szCs w:val="24"/>
              </w:rPr>
              <w:t>回答：我们在半年度的时候披露过半导体的收入利润情况，三季度保持着和二季度差不多的增速。全年预计在收入增长的情况下，净利润预计也会保持稳定的增长趋势。宜兴产线在第四季度处于产能提升的过程中，预计对整体半导体全年利润趋势的影响应该在可控范围内</w:t>
            </w:r>
            <w:r>
              <w:rPr>
                <w:rFonts w:ascii="仿宋" w:hAnsi="仿宋" w:eastAsia="仿宋" w:cs="仿宋"/>
                <w:color w:val="000000"/>
                <w:sz w:val="24"/>
                <w:szCs w:val="24"/>
              </w:rPr>
              <w:t>。</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问题3：宜兴产能爬坡对盈利的影响如何？公司采取了哪些措施来管控盈利能力的稳定性？</w:t>
            </w:r>
          </w:p>
          <w:p>
            <w:pPr>
              <w:rPr>
                <w:rFonts w:ascii="仿宋" w:hAnsi="仿宋" w:eastAsia="仿宋" w:cs="仿宋"/>
                <w:color w:val="000000"/>
                <w:sz w:val="24"/>
                <w:szCs w:val="24"/>
              </w:rPr>
            </w:pPr>
            <w:r>
              <w:rPr>
                <w:rFonts w:hint="eastAsia" w:ascii="仿宋" w:hAnsi="仿宋" w:eastAsia="仿宋" w:cs="仿宋"/>
                <w:color w:val="000000"/>
                <w:sz w:val="24"/>
                <w:szCs w:val="24"/>
              </w:rPr>
              <w:t>回答：宜兴产线的建设和产能进度符合预期，项目部分产线正在进行工艺设备调试，已进入试生产阶段。公司在9月底完成了25亿左右的资产转固，在第四季度还有零星的资产转固，其他资产转固在2025年上半年完成。预计宜兴产线在第四季度会产生5000万元左右的折旧。公司将通过产能爬坡和提高产线合格率来管控成本，以维持盈利能力的稳定</w:t>
            </w:r>
            <w:r>
              <w:rPr>
                <w:rFonts w:ascii="仿宋" w:hAnsi="仿宋" w:eastAsia="仿宋" w:cs="仿宋"/>
                <w:color w:val="000000"/>
                <w:sz w:val="24"/>
                <w:szCs w:val="24"/>
              </w:rPr>
              <w:t>。</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问题4：宜兴项目的当前产能和未来规划如何</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回答：受全球“双碳”战略驱动，当前全球新能源汽车行业快速发展，中车时代半导体公司根据行业发展趋势，在行业上下游资源集中区域开展产业布局，获取产能发展优势。</w:t>
            </w:r>
            <w:r>
              <w:rPr>
                <w:rFonts w:hint="eastAsia" w:ascii="仿宋" w:hAnsi="仿宋" w:eastAsia="仿宋" w:cs="仿宋"/>
                <w:sz w:val="24"/>
                <w:szCs w:val="24"/>
              </w:rPr>
              <w:t>三期宜兴建设项目于</w:t>
            </w:r>
            <w:r>
              <w:rPr>
                <w:rFonts w:ascii="仿宋" w:hAnsi="仿宋" w:eastAsia="仿宋" w:cs="仿宋"/>
                <w:sz w:val="24"/>
                <w:szCs w:val="24"/>
              </w:rPr>
              <w:t>2022年11月获得中车集团项目批复，投资金额约59亿元，将新增年产36万片8英寸IGBT晶圆生产能力。项目于2023年3月获国家发改委窗口指导批复，5月完成桩基开工，12月主体厂房完成封顶，实现了当年备案，当年封顶的“中车速度”。2024年4月设备开始搬入，6月完成工程批次下线，10月17日宜兴工厂正式投入运行</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宜兴工厂主要面向新能源汽车领域，预计2025年达产。中车时代半导体在新能源汽车市场地位稳固，中汽协2024年7月18日发布的数据显示，2024年1-6月，中国新能源汽车产销量分别完成492.9万辆和494.4万辆，同比分别增长30.1%和32%；根据NE时代2024年上半年统计数据，公司在中国新能源车市场功率模块装机量超过82万套，市占率13.4%，仅次于比亚迪半导体，位列中国市场第2,公司累计服务20家车企共60多个车型，此外中车半导体还是国内首家批量出口海外新能源汽车市场的供应商。目前宜兴产线建设处于稳步推进状态中，随着宜兴产线逐步达到预计可使用状态，公司也将基于企业会计准则进行资产转固并开展折旧。收入逐步增长的同时，转固也会逐步展开。</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问题5：公司在光伏逆变器领域是否受到行业需求波动的影响？今年装机量是多少</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回答：根据国际能源网和光伏头条的统计，2024年上半年，公司在国内光伏逆变器的招标中中标量8.35GW，仅次于特变电工、华为和阳光，位列第四；产品涵盖了传统的集中式逆变器和不同等级的组串式逆变器。截至前三季度，公司逆变器总中标量为10.6GW，出货量为6.2GW。整个风光储氢收入约为13亿元，相较上年同期略有下滑，主要是EPC收入减少；装备类收入仍在持续增长。整体盈利情况相对稳定，各类产品的毛利也处于稳定状态</w:t>
            </w:r>
            <w:r>
              <w:rPr>
                <w:rFonts w:ascii="仿宋" w:hAnsi="仿宋" w:eastAsia="仿宋" w:cs="仿宋"/>
                <w:color w:val="000000"/>
                <w:sz w:val="24"/>
                <w:szCs w:val="24"/>
              </w:rPr>
              <w:t>。</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问题6：公司在SiC产线和三期株洲项目的进展如何？</w:t>
            </w:r>
          </w:p>
          <w:p>
            <w:pPr>
              <w:rPr>
                <w:rFonts w:ascii="仿宋" w:hAnsi="仿宋" w:eastAsia="仿宋" w:cs="仿宋"/>
                <w:color w:val="000000"/>
                <w:sz w:val="24"/>
                <w:szCs w:val="24"/>
              </w:rPr>
            </w:pPr>
            <w:r>
              <w:rPr>
                <w:rFonts w:hint="eastAsia" w:ascii="仿宋" w:hAnsi="仿宋" w:eastAsia="仿宋" w:cs="仿宋"/>
                <w:color w:val="000000"/>
                <w:sz w:val="24"/>
                <w:szCs w:val="24"/>
              </w:rPr>
              <w:t>回答：半导体公司2011年组建了SiC技术开发团队，推进SiC技术研究，2017年公司投资3.2亿元完成国内首条4英寸SiC芯片中试线建设，2021年公司投资4.6亿元启动SiC芯片生产线提质扩能建设项目，将4英寸中试线改造成6英寸量产线，产能提升为2.5万片/年，同时将SiC平面栅MOSFET芯片量产能力提升为沟槽栅MOSFET芯片研发制造能力，可满足高端新能源汽车、轨道交通、新能源发电等领域SiC模块需求。目前6英寸SiC已具备年产2.5万片能力，产线处于高效运转状态</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三期株洲项目，总投资约53亿元，项目新购土地约266亩，新建生产厂房、动力厂房、生产调度楼、库房等建筑面积共8万多平方米。项目主体工程建设将在今年年内动工，预计2025年底实现产线拉通，可实现工艺及量产能力升级，同时兼具前沿技术研发能力，希望该项目的实施能支撑公司半导体产业快速发展。</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问题7：关于老旧内燃机车的更新替换政策及其对公司的影响如何？</w:t>
            </w:r>
          </w:p>
          <w:p>
            <w:pPr>
              <w:rPr>
                <w:rFonts w:ascii="仿宋" w:hAnsi="仿宋" w:eastAsia="仿宋" w:cs="仿宋"/>
                <w:color w:val="000000"/>
                <w:sz w:val="24"/>
                <w:szCs w:val="24"/>
              </w:rPr>
            </w:pPr>
            <w:r>
              <w:rPr>
                <w:rFonts w:hint="eastAsia" w:ascii="仿宋" w:hAnsi="仿宋" w:eastAsia="仿宋" w:cs="仿宋"/>
                <w:color w:val="000000"/>
                <w:sz w:val="24"/>
                <w:szCs w:val="24"/>
              </w:rPr>
              <w:t>回答：2024年1月11日，《中共中央国务院关于全面推进美丽中国建设的意见》发布，其中明确提出到2027年，老旧内燃机车基本淘汰。</w:t>
            </w:r>
          </w:p>
          <w:p>
            <w:pPr>
              <w:rPr>
                <w:rFonts w:ascii="仿宋" w:hAnsi="仿宋" w:eastAsia="仿宋" w:cs="仿宋"/>
                <w:color w:val="000000"/>
                <w:sz w:val="24"/>
                <w:szCs w:val="24"/>
              </w:rPr>
            </w:pPr>
            <w:r>
              <w:rPr>
                <w:rFonts w:hint="eastAsia" w:ascii="仿宋" w:hAnsi="仿宋" w:eastAsia="仿宋" w:cs="仿宋"/>
                <w:color w:val="000000"/>
                <w:sz w:val="24"/>
                <w:szCs w:val="24"/>
              </w:rPr>
              <w:t>2024年2月5日，国家铁路局、国家发展改革委、生态环境部、交通运输部和国铁集团联合印发《推动铁路行业低碳发展实施方案》，方案明确提出到2030年，铁路电力机车占比力争达到 70%以上。</w:t>
            </w:r>
          </w:p>
          <w:p>
            <w:pPr>
              <w:rPr>
                <w:rFonts w:ascii="仿宋" w:hAnsi="仿宋" w:eastAsia="仿宋" w:cs="仿宋"/>
                <w:color w:val="000000"/>
                <w:sz w:val="24"/>
                <w:szCs w:val="24"/>
              </w:rPr>
            </w:pPr>
            <w:r>
              <w:rPr>
                <w:rFonts w:hint="eastAsia" w:ascii="仿宋" w:hAnsi="仿宋" w:eastAsia="仿宋" w:cs="仿宋"/>
                <w:color w:val="000000"/>
                <w:sz w:val="24"/>
                <w:szCs w:val="24"/>
              </w:rPr>
              <w:t>2024年9月26日，国家铁路局发布《老旧型铁路内燃机车淘汰更新监督管理办法》，明确老旧型铁路内燃机车的报废运用年限为30年，到2027年年底，重点区域老旧型铁路内燃机车要全部退出铁路运输市场，至2035年年底，全国其他地区70%及以上的老旧型铁路内燃机车，也要退出铁路运输市场。同时提出要积极推动铁路机车绿色低碳转型更新，以技术创新支撑铁路机车更新提质。2024年6月28日，中车集团面向全球首次发布系列化新能源机车7台，有助于加速中小功率平台的装车推广，目前新能源机车平台拥有1000kw、1500kw和2000kw3种功率等级，动力源涵盖了动力电池、氢燃料电池、内燃发动机+动力电池3种动力源，公司在已发布的样车中牵引网络系统装车6款，动力电池装车4款。</w:t>
            </w:r>
          </w:p>
          <w:p>
            <w:pPr>
              <w:rPr>
                <w:rFonts w:ascii="仿宋" w:hAnsi="仿宋" w:eastAsia="仿宋" w:cs="仿宋"/>
                <w:color w:val="000000"/>
                <w:sz w:val="24"/>
                <w:szCs w:val="24"/>
              </w:rPr>
            </w:pPr>
            <w:r>
              <w:rPr>
                <w:rFonts w:hint="eastAsia" w:ascii="仿宋" w:hAnsi="仿宋" w:eastAsia="仿宋" w:cs="仿宋"/>
                <w:color w:val="000000"/>
                <w:sz w:val="24"/>
                <w:szCs w:val="24"/>
              </w:rPr>
              <w:t>随着老旧内燃机车淘汰政策的逐步落地，以及新能源机车替代老旧内燃机车的可能性日渐增长，公司已经做好了准备，将积极为机车绿色低碳转型贡献力量</w:t>
            </w:r>
            <w:r>
              <w:rPr>
                <w:rFonts w:ascii="仿宋" w:hAnsi="仿宋" w:eastAsia="仿宋" w:cs="仿宋"/>
                <w:color w:val="000000"/>
                <w:sz w:val="24"/>
                <w:szCs w:val="24"/>
              </w:rPr>
              <w:t>。</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问题8：电驱业务在2024年前三季度的表现如何</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回答：2024年前三季度，公司电驱系统交付超过44万套，相比去年同期34万套增长29.41%，其中3季度交付超过20万套,相比去年同期13.1万套增长52.67%。公司成为了中国新能源乘用车电驱系统和IGBT模块重要供应商，已经在产业链中占据了重要地位。今年新增客户3家，客户拓展到15家，配套车型30个。公司已经与合众、一汽、长安等10余家客户实现多个项目定点和批量交付，累计产量超过100万套。公司电驱业务相比去年同期已经大幅减亏，随着规模效应的逐步体现，盈利能力有望进一步提升。</w:t>
            </w:r>
          </w:p>
          <w:p>
            <w:pPr>
              <w:rPr>
                <w:rFonts w:ascii="仿宋" w:hAnsi="仿宋" w:eastAsia="仿宋" w:cs="仿宋"/>
                <w:color w:val="000000"/>
                <w:sz w:val="24"/>
                <w:szCs w:val="24"/>
              </w:rPr>
            </w:pPr>
            <w:r>
              <w:rPr>
                <w:rFonts w:hint="eastAsia" w:ascii="仿宋" w:hAnsi="仿宋" w:eastAsia="仿宋" w:cs="仿宋"/>
                <w:color w:val="000000"/>
                <w:sz w:val="24"/>
                <w:szCs w:val="24"/>
              </w:rPr>
              <w:t>2023年以来，中国新能源乘用车市场竞争日趋激烈，行业加速进入洗牌淘汰阶段，但也应该看到近几年新能源车市场规模不断扩大，渗透率逐年提升，市场空间巨大。公司将强化自身独立第三方核心配件供应商的市场定位，平等对待每个客户，根据整车厂的要求提供差异化定制产品，直面市场竞争，以科技赋能产品，力争成为全球新能源车市场的重要成员。</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问题9：公司铁路装备产业前三季度的经营情况如何？四季度的业务展望是什么</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回答：前三季度公司</w:t>
            </w:r>
            <w:r>
              <w:rPr>
                <w:rFonts w:hint="eastAsia" w:ascii="仿宋" w:hAnsi="仿宋" w:eastAsia="仿宋" w:cs="仿宋"/>
                <w:color w:val="000000"/>
                <w:sz w:val="24"/>
                <w:szCs w:val="24"/>
                <w:lang w:val="en-US" w:eastAsia="zh-CN"/>
              </w:rPr>
              <w:t>轨道交通装备业务</w:t>
            </w:r>
            <w:r>
              <w:rPr>
                <w:rFonts w:hint="eastAsia" w:ascii="仿宋" w:hAnsi="仿宋" w:eastAsia="仿宋" w:cs="仿宋"/>
                <w:color w:val="000000"/>
                <w:sz w:val="24"/>
                <w:szCs w:val="24"/>
              </w:rPr>
              <w:t>收入达到94.34亿元，同比增长</w:t>
            </w:r>
            <w:r>
              <w:rPr>
                <w:rFonts w:hint="eastAsia" w:ascii="仿宋" w:hAnsi="仿宋" w:eastAsia="仿宋" w:cs="仿宋"/>
                <w:color w:val="000000"/>
                <w:sz w:val="24"/>
                <w:szCs w:val="24"/>
                <w:lang w:val="en-US" w:eastAsia="zh-CN"/>
              </w:rPr>
              <w:t>约</w:t>
            </w:r>
            <w:r>
              <w:rPr>
                <w:rFonts w:hint="eastAsia" w:ascii="仿宋" w:hAnsi="仿宋" w:eastAsia="仿宋" w:cs="仿宋"/>
                <w:color w:val="000000"/>
                <w:sz w:val="24"/>
                <w:szCs w:val="24"/>
              </w:rPr>
              <w:t>22%。</w:t>
            </w:r>
            <w:r>
              <w:rPr>
                <w:rFonts w:hint="eastAsia" w:ascii="仿宋" w:hAnsi="仿宋" w:eastAsia="仿宋" w:cs="仿宋"/>
                <w:color w:val="000000"/>
                <w:sz w:val="24"/>
                <w:szCs w:val="24"/>
                <w:lang w:val="en-US" w:eastAsia="zh-CN"/>
              </w:rPr>
              <w:t>通信</w:t>
            </w:r>
            <w:r>
              <w:rPr>
                <w:rFonts w:hint="eastAsia" w:ascii="仿宋" w:hAnsi="仿宋" w:eastAsia="仿宋" w:cs="仿宋"/>
                <w:color w:val="000000"/>
                <w:sz w:val="24"/>
                <w:szCs w:val="24"/>
              </w:rPr>
              <w:t>信号系统收入为6.62亿元，同比增长</w:t>
            </w:r>
            <w:r>
              <w:rPr>
                <w:rFonts w:hint="eastAsia" w:ascii="仿宋" w:hAnsi="仿宋" w:eastAsia="仿宋" w:cs="仿宋"/>
                <w:color w:val="000000"/>
                <w:sz w:val="24"/>
                <w:szCs w:val="24"/>
                <w:lang w:val="en-US" w:eastAsia="zh-CN"/>
              </w:rPr>
              <w:t>约</w:t>
            </w:r>
            <w:r>
              <w:rPr>
                <w:rFonts w:hint="eastAsia" w:ascii="仿宋" w:hAnsi="仿宋" w:eastAsia="仿宋" w:cs="仿宋"/>
                <w:color w:val="000000"/>
                <w:sz w:val="24"/>
                <w:szCs w:val="24"/>
              </w:rPr>
              <w:t>73%。</w:t>
            </w:r>
            <w:r>
              <w:rPr>
                <w:rFonts w:hint="eastAsia" w:ascii="仿宋" w:hAnsi="仿宋" w:eastAsia="仿宋" w:cs="仿宋"/>
                <w:color w:val="000000"/>
                <w:sz w:val="24"/>
                <w:szCs w:val="24"/>
                <w:lang w:val="en-US" w:eastAsia="zh-CN"/>
              </w:rPr>
              <w:t>轨道交通</w:t>
            </w:r>
            <w:r>
              <w:rPr>
                <w:rFonts w:hint="eastAsia" w:ascii="仿宋" w:hAnsi="仿宋" w:eastAsia="仿宋" w:cs="仿宋"/>
                <w:color w:val="000000"/>
                <w:sz w:val="24"/>
                <w:szCs w:val="24"/>
              </w:rPr>
              <w:t>电气装备收入为76.3</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亿元，同比增长</w:t>
            </w:r>
            <w:r>
              <w:rPr>
                <w:rFonts w:hint="eastAsia" w:ascii="仿宋" w:hAnsi="仿宋" w:eastAsia="仿宋" w:cs="仿宋"/>
                <w:color w:val="000000"/>
                <w:sz w:val="24"/>
                <w:szCs w:val="24"/>
                <w:lang w:val="en-US" w:eastAsia="zh-CN"/>
              </w:rPr>
              <w:t>约</w:t>
            </w:r>
            <w:r>
              <w:rPr>
                <w:rFonts w:hint="eastAsia" w:ascii="仿宋" w:hAnsi="仿宋" w:eastAsia="仿宋" w:cs="仿宋"/>
                <w:color w:val="000000"/>
                <w:sz w:val="24"/>
                <w:szCs w:val="24"/>
              </w:rPr>
              <w:t>22%。轨道工程机械收入为7.92亿元，同比下降</w:t>
            </w:r>
            <w:r>
              <w:rPr>
                <w:rFonts w:hint="eastAsia" w:ascii="仿宋" w:hAnsi="仿宋" w:eastAsia="仿宋" w:cs="仿宋"/>
                <w:color w:val="000000"/>
                <w:sz w:val="24"/>
                <w:szCs w:val="24"/>
                <w:lang w:val="en-US" w:eastAsia="zh-CN"/>
              </w:rPr>
              <w:t>约</w:t>
            </w:r>
            <w:r>
              <w:rPr>
                <w:rFonts w:hint="eastAsia" w:ascii="仿宋" w:hAnsi="仿宋" w:eastAsia="仿宋" w:cs="仿宋"/>
                <w:color w:val="000000"/>
                <w:sz w:val="24"/>
                <w:szCs w:val="24"/>
              </w:rPr>
              <w:t>10%。</w:t>
            </w:r>
          </w:p>
          <w:p>
            <w:pPr>
              <w:rPr>
                <w:rFonts w:ascii="仿宋" w:hAnsi="仿宋" w:eastAsia="仿宋" w:cs="仿宋"/>
                <w:color w:val="000000"/>
                <w:sz w:val="24"/>
                <w:szCs w:val="24"/>
              </w:rPr>
            </w:pPr>
            <w:r>
              <w:rPr>
                <w:rFonts w:hint="eastAsia" w:ascii="仿宋" w:hAnsi="仿宋" w:eastAsia="仿宋" w:cs="仿宋"/>
                <w:color w:val="000000"/>
                <w:sz w:val="24"/>
                <w:szCs w:val="24"/>
              </w:rPr>
              <w:t>国铁集团前三季度招标了165组350动车组，相比去年同期增长约60%，公司中标79组，市场占有率为47.88%，2023年招标103组公司中标50组。机车招标350台，公司中标200台，市占率57.14%（去年同期49.7%），机车招标量有所下滑。</w:t>
            </w:r>
          </w:p>
          <w:p>
            <w:pPr>
              <w:rPr>
                <w:rFonts w:ascii="仿宋" w:hAnsi="仿宋" w:eastAsia="仿宋" w:cs="仿宋"/>
                <w:color w:val="000000"/>
                <w:sz w:val="24"/>
                <w:szCs w:val="24"/>
              </w:rPr>
            </w:pPr>
            <w:r>
              <w:rPr>
                <w:rFonts w:hint="eastAsia" w:ascii="仿宋" w:hAnsi="仿宋" w:eastAsia="仿宋" w:cs="仿宋"/>
                <w:color w:val="000000"/>
                <w:sz w:val="24"/>
                <w:szCs w:val="24"/>
              </w:rPr>
              <w:t>2024年10月14日国铁集团发布的数据显示，2024年1-9月国家铁路旅客发送量达31.68亿人次，同比增长12.9%，货运发送量29.27亿吨，同比增长1.0%。铁路客货运量的持续增长，对装备的需求有拉动作用。按照过往情况国铁集团在春节前增加运力以应对客流激增，今年第四季度可能会有动车招标，此外根据项目进展情况，一些城际动车组比如珠三角城际动车组年内也有招标可能。</w:t>
            </w:r>
          </w:p>
          <w:p>
            <w:pPr>
              <w:rPr>
                <w:rFonts w:ascii="仿宋" w:hAnsi="仿宋" w:eastAsia="仿宋" w:cs="仿宋"/>
                <w:color w:val="000000"/>
                <w:sz w:val="24"/>
                <w:szCs w:val="24"/>
              </w:rPr>
            </w:pPr>
            <w:r>
              <w:rPr>
                <w:rFonts w:hint="eastAsia" w:ascii="仿宋" w:hAnsi="仿宋" w:eastAsia="仿宋" w:cs="仿宋"/>
                <w:color w:val="000000"/>
                <w:sz w:val="24"/>
                <w:szCs w:val="24"/>
              </w:rPr>
              <w:t>2024年前三季度公司城轨业务市场拓展顺利，牵引系统国内市场占有率行业第一持续领跑，信号系统中标无锡地铁4号线二期、无锡地铁S2号线项目。同时，首次作为供电系统集成方中标重庆4个项目，订单金额超过4亿元。</w:t>
            </w:r>
          </w:p>
          <w:p>
            <w:pPr>
              <w:rPr>
                <w:rFonts w:ascii="仿宋" w:hAnsi="仿宋" w:eastAsia="仿宋" w:cs="仿宋"/>
                <w:color w:val="000000"/>
                <w:sz w:val="24"/>
                <w:szCs w:val="24"/>
              </w:rPr>
            </w:pPr>
            <w:r>
              <w:rPr>
                <w:rFonts w:hint="eastAsia" w:ascii="仿宋" w:hAnsi="仿宋" w:eastAsia="仿宋" w:cs="仿宋"/>
                <w:color w:val="000000"/>
                <w:sz w:val="24"/>
                <w:szCs w:val="24"/>
              </w:rPr>
              <w:t>2024年6月中国城市轨道交通协会发布融合城轨发展指南与既有线改造指南，可持续发展成为行业焦点，检修维保业务市场发展迅速。根据目前城轨市场项目进展情况分析，2024年4季度或有超20个城市轨道交通机电项目启动招标。另外在后期的维护以及信号线路的改造等方面，今年公司完成了对长沙地铁二号线的信号系统的改造，这也是行业内首次用CBTC完成对CBTC的改造升级，在行业内也是有比较大的影响力的</w:t>
            </w:r>
            <w:r>
              <w:rPr>
                <w:rFonts w:ascii="仿宋" w:hAnsi="仿宋" w:eastAsia="仿宋" w:cs="仿宋"/>
                <w:color w:val="000000"/>
                <w:sz w:val="24"/>
                <w:szCs w:val="24"/>
              </w:rPr>
              <w:t>。</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问题10：公司在SiC芯片方面的最新进展如何？8寸SiC有无开始预研</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回答：公司在SiC领域全力推进器件研发和应用，在汽车主驱领域正在推广SiC项目超30个，已在部分车企主驱项目小批量上车应用测试。基于6英寸SiC芯片线，目前SiC产品在轨道交通、光伏等领域已实现批量应用，在地铁批量装车运行，新能源发电混碳模块出货超40万只，在充电桩、OBC、电池检测等领域进入头部客户并实现批量供应。公司依托6英寸线快速完成第2至第4代技术开发，快速缩短国际先进水平差距，同时具备小批量交付能力，也将依托新型功率器件高端产品制造技术，加速突破全球SiC市场，不断发展新质生产力，从国内头部走向国际头部，争创世界一流。</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问题11：应收账款和合同负债增长的原因？未来订单结算节奏和回款压力如何？信用减值方面的预期是什么</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回答：公司应收账款</w:t>
            </w:r>
            <w:r>
              <w:rPr>
                <w:rFonts w:hint="eastAsia" w:ascii="仿宋" w:hAnsi="仿宋" w:eastAsia="仿宋" w:cs="仿宋"/>
                <w:color w:val="000000"/>
                <w:sz w:val="24"/>
                <w:szCs w:val="24"/>
                <w:lang w:val="en-US" w:eastAsia="zh-CN"/>
              </w:rPr>
              <w:t>原值</w:t>
            </w:r>
            <w:r>
              <w:rPr>
                <w:rFonts w:hint="eastAsia" w:ascii="仿宋" w:hAnsi="仿宋" w:eastAsia="仿宋" w:cs="仿宋"/>
                <w:color w:val="000000"/>
                <w:sz w:val="24"/>
                <w:szCs w:val="24"/>
              </w:rPr>
              <w:t>截至2024年三季度末为151.80亿元，较年初的101.59亿元增长49%，主要是营业收入增长所致。基于公司历史回款情况分析，公司部分大客户回款将集中在第四季度。公司也将持续开展回款清收工作，确保应收账款规模保持在稳定水平，并将两金管理作为提升盈利能力的重要举措</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随着四季度回款量的提升，公司预计信用减值损失也会保持稳定水平，总体的风险可控，预计不会对公司财务状况产生重大不利影响。</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问题12：研发费用持续上涨的原因是什么？未来研发费用的预期如何</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回答：公司2024年前三季度研发投入15.89亿元，较上年同期13.23亿元增长20.09%。公司始终秉持科研为先，深化技术研究。该项增长主要由于研发人工成本和科研物料投入增长，公司加大研发人才引进及培养力度，进一步完善技术人才激励机制。在增补研发人员的同时，结合人才市场情况匹配具备竞争力的薪酬体系，助力公司持续保持轨道交通产业的技术研发能力领先水平，并提升新兴装备产业的关键领域技术水平。公司2024年新进研发方向大学生约500人，进一步夯实公司研发力量，健全人才阶梯结构。</w:t>
            </w:r>
          </w:p>
          <w:p>
            <w:pPr>
              <w:rPr>
                <w:rFonts w:ascii="仿宋" w:hAnsi="仿宋" w:eastAsia="仿宋" w:cs="仿宋"/>
                <w:color w:val="000000"/>
                <w:sz w:val="24"/>
                <w:szCs w:val="24"/>
              </w:rPr>
            </w:pPr>
            <w:r>
              <w:rPr>
                <w:rFonts w:hint="eastAsia" w:ascii="仿宋" w:hAnsi="仿宋" w:eastAsia="仿宋" w:cs="仿宋"/>
                <w:color w:val="000000"/>
                <w:sz w:val="24"/>
                <w:szCs w:val="24"/>
              </w:rPr>
              <w:t>公司作为技术研发型企业，将在多方面持续加大研发投入力度，促进研发成果转化和变现。未来公司将保持高强度的研发投入，预计研发投入占收入比也将维持在9%-10%左右的水平</w:t>
            </w:r>
            <w:r>
              <w:rPr>
                <w:rFonts w:ascii="仿宋" w:hAnsi="仿宋" w:eastAsia="仿宋" w:cs="仿宋"/>
                <w:color w:val="000000"/>
                <w:sz w:val="24"/>
                <w:szCs w:val="24"/>
              </w:rPr>
              <w:t>。</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问题13：海工装备前三季度业务情况？有无其余新兴装备产业信息分享</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回答：海工装备业务2024年前三季度收入6.19亿元，相比去年同期5.52亿元增长12.08%。2024年前三季度，随着海洋能源、海上风电的进一步发展以及海洋通信领域的需求持续增长，全球海工装备市场持续复苏，公司海工装备板块新签订单大幅增长，挖沟敷缆和ROV产品市占率保持领先。</w:t>
            </w:r>
          </w:p>
          <w:p>
            <w:pPr>
              <w:rPr>
                <w:rFonts w:ascii="仿宋" w:hAnsi="仿宋" w:eastAsia="仿宋" w:cs="仿宋"/>
                <w:color w:val="000000"/>
                <w:sz w:val="24"/>
                <w:szCs w:val="24"/>
              </w:rPr>
            </w:pPr>
            <w:r>
              <w:rPr>
                <w:rFonts w:hint="eastAsia" w:ascii="仿宋" w:hAnsi="仿宋" w:eastAsia="仿宋" w:cs="仿宋"/>
                <w:color w:val="000000"/>
                <w:sz w:val="24"/>
                <w:szCs w:val="24"/>
              </w:rPr>
              <w:t>在储能领域，公司持续加强与国内排名第一的株洲所储能集成业务协同，充分发挥公司拥有自主IGBT的保供优势和国产化能力，及在电网侧高压技术的深厚积淀，在高压PCS上打造差异化技术优势，同时利用好中车新能源在央企发电集团所建立的合作优势反向加快与系统集成商的全面合作的市场拓展步伐，全力开拓PCS市场，力争达成行业前三目标。</w:t>
            </w:r>
          </w:p>
          <w:p>
            <w:pPr>
              <w:rPr>
                <w:rFonts w:ascii="仿宋" w:hAnsi="仿宋" w:eastAsia="仿宋" w:cs="仿宋"/>
                <w:color w:val="000000"/>
                <w:sz w:val="24"/>
                <w:szCs w:val="24"/>
              </w:rPr>
            </w:pPr>
            <w:r>
              <w:rPr>
                <w:rFonts w:hint="eastAsia" w:ascii="仿宋" w:hAnsi="仿宋" w:eastAsia="仿宋" w:cs="仿宋"/>
                <w:color w:val="000000"/>
                <w:sz w:val="24"/>
                <w:szCs w:val="24"/>
              </w:rPr>
              <w:t>在IGBT制氢电源上，公司在三峡、中石化等合作方建立的业绩优势和影响力奠定了行业领先的地位。公司提供的大功率IGBT制氢电源助力国家能源集团宁东可再生氢碳减排示范区一期项目永利制氢厂成功产出绿氢，实现项目一次性投料开车成功。作为全国首套千方级五对一电解水制氢示范项目，该项目也是国内首个全部采用IGBT制氢电源并运营投产的制氢站项目，对全行业具有重大意义。项目共计有21套1000标方制氢电源，全面采用IGBT技术路线。</w:t>
            </w:r>
          </w:p>
          <w:p>
            <w:pPr>
              <w:rPr>
                <w:rFonts w:ascii="仿宋" w:hAnsi="仿宋" w:eastAsia="仿宋" w:cs="仿宋"/>
                <w:color w:val="000000"/>
                <w:sz w:val="24"/>
                <w:szCs w:val="24"/>
              </w:rPr>
            </w:pPr>
            <w:r>
              <w:rPr>
                <w:rFonts w:hint="eastAsia" w:ascii="仿宋" w:hAnsi="仿宋" w:eastAsia="仿宋" w:cs="仿宋"/>
                <w:color w:val="000000"/>
                <w:sz w:val="24"/>
                <w:szCs w:val="24"/>
              </w:rPr>
              <w:t>2024年10月，公司自主研发的“天工”矿卡无人驾驶技术成果在北京顺利通过科技成果鉴定，经以两位院士为首的专家评委组评审确认，被鉴定为“国际领先”水平，为“天工”无人驾驶系统的推广应用奠定重要基础。神延项目“天工”系统包含31台无人驾驶矿卡与50台辅助协同作业车辆，项目成果包括基于CBTC的多重安全防护、复杂环境的精准感知与辨识、富水地质重载工况横纵向协同控制、动态时变地图更新与分层路径规划等多个创新点，攻克了露天煤矿作业安全风险大、环境复杂、矿卡惯性大、区域变化频繁等难题，完成了国内露天煤矿大吨位矿卡数量最大的煤岩混编作业集群的工业考核，已投入进常态化无人生产运输</w:t>
            </w:r>
            <w:r>
              <w:rPr>
                <w:rFonts w:ascii="仿宋" w:hAnsi="仿宋" w:eastAsia="仿宋" w:cs="仿宋"/>
                <w:color w:val="000000"/>
                <w:sz w:val="24"/>
                <w:szCs w:val="24"/>
              </w:rPr>
              <w:t>。</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问题14：公司毛利率与去年相比有较大变动的原因是什么</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回答：公司于2024年执行财政部发布的《企业会计准则应用指南汇编2024》中“关于保证类质保费用的列报”规定，将计提的保证类质保费用计入主营业务成本，不再计入“销售费用”。公司采用追溯调整法对可比期间的财务报表数据进行相应调整，故公司2024年起将三包费用计入营业成本，同时也调整了上年同期营业成本和销售费用</w:t>
            </w:r>
            <w:r>
              <w:rPr>
                <w:rFonts w:ascii="仿宋" w:hAnsi="仿宋" w:eastAsia="仿宋" w:cs="仿宋"/>
                <w:color w:val="000000"/>
                <w:sz w:val="24"/>
                <w:szCs w:val="24"/>
              </w:rPr>
              <w:t>。</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问题15：公司在半导体、电驱和逆变器领域的竞争情况</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回答：公司在半导体领域具有介入早、投入多和应用场景多的优势。公司在高端领域的巨额投入逐步产生成果，使在激烈竞争中处于有利地位。国外工厂的存在，在某些领域国际竞争中也会有一些优势。</w:t>
            </w:r>
          </w:p>
          <w:p>
            <w:pPr>
              <w:rPr>
                <w:rFonts w:ascii="仿宋" w:hAnsi="仿宋" w:eastAsia="仿宋" w:cs="仿宋"/>
                <w:color w:val="000000"/>
                <w:sz w:val="24"/>
                <w:szCs w:val="24"/>
              </w:rPr>
            </w:pPr>
            <w:r>
              <w:rPr>
                <w:rFonts w:hint="eastAsia" w:ascii="仿宋" w:hAnsi="仿宋" w:eastAsia="仿宋" w:cs="仿宋"/>
                <w:color w:val="000000"/>
                <w:sz w:val="24"/>
                <w:szCs w:val="24"/>
              </w:rPr>
              <w:t>逆变器领域，公司作为市场上少数具有央国企背景的供应者，拥有天然优势，并在核心器件保障上具备竞争力。</w:t>
            </w:r>
          </w:p>
          <w:p>
            <w:pPr>
              <w:rPr>
                <w:rFonts w:ascii="仿宋" w:hAnsi="仿宋" w:eastAsia="仿宋" w:cs="仿宋"/>
                <w:color w:val="000000"/>
                <w:sz w:val="24"/>
                <w:szCs w:val="24"/>
              </w:rPr>
            </w:pPr>
            <w:r>
              <w:rPr>
                <w:rFonts w:hint="eastAsia" w:ascii="仿宋" w:hAnsi="仿宋" w:eastAsia="仿宋" w:cs="仿宋"/>
                <w:color w:val="000000"/>
                <w:sz w:val="24"/>
                <w:szCs w:val="24"/>
              </w:rPr>
              <w:t>经过公司多年</w:t>
            </w:r>
            <w:r>
              <w:rPr>
                <w:rFonts w:hint="eastAsia" w:ascii="仿宋" w:hAnsi="仿宋" w:eastAsia="仿宋" w:cs="仿宋"/>
                <w:color w:val="000000"/>
                <w:sz w:val="24"/>
                <w:szCs w:val="24"/>
                <w:lang w:eastAsia="zh-CN"/>
              </w:rPr>
              <w:t>的</w:t>
            </w:r>
            <w:r>
              <w:rPr>
                <w:rFonts w:hint="eastAsia" w:ascii="仿宋" w:hAnsi="仿宋" w:eastAsia="仿宋" w:cs="仿宋"/>
                <w:color w:val="000000"/>
                <w:sz w:val="24"/>
                <w:szCs w:val="24"/>
                <w:lang w:val="en-US" w:eastAsia="zh-CN"/>
              </w:rPr>
              <w:t>不懈</w:t>
            </w:r>
            <w:r>
              <w:rPr>
                <w:rFonts w:hint="eastAsia" w:ascii="仿宋" w:hAnsi="仿宋" w:eastAsia="仿宋" w:cs="仿宋"/>
                <w:color w:val="000000"/>
                <w:sz w:val="24"/>
                <w:szCs w:val="24"/>
              </w:rPr>
              <w:t>努力</w:t>
            </w:r>
            <w:r>
              <w:rPr>
                <w:rFonts w:hint="eastAsia" w:ascii="仿宋" w:hAnsi="仿宋" w:eastAsia="仿宋" w:cs="仿宋"/>
                <w:color w:val="000000"/>
                <w:sz w:val="24"/>
                <w:szCs w:val="24"/>
                <w:lang w:val="en-US" w:eastAsia="zh-CN"/>
              </w:rPr>
              <w:t>和</w:t>
            </w:r>
            <w:r>
              <w:rPr>
                <w:rFonts w:hint="eastAsia" w:ascii="仿宋" w:hAnsi="仿宋" w:eastAsia="仿宋" w:cs="仿宋"/>
                <w:color w:val="000000"/>
                <w:sz w:val="24"/>
                <w:szCs w:val="24"/>
              </w:rPr>
              <w:t>整个市场的逐步完善，新能源汽车电驱业务</w:t>
            </w:r>
            <w:r>
              <w:rPr>
                <w:rFonts w:hint="eastAsia" w:ascii="仿宋" w:hAnsi="仿宋" w:eastAsia="仿宋" w:cs="仿宋"/>
                <w:color w:val="000000"/>
                <w:sz w:val="24"/>
                <w:szCs w:val="24"/>
                <w:lang w:val="en-US" w:eastAsia="zh-CN"/>
              </w:rPr>
              <w:t>已经非常接近实现良性运转的阶段</w:t>
            </w:r>
            <w:r>
              <w:rPr>
                <w:rFonts w:ascii="仿宋" w:hAnsi="仿宋" w:eastAsia="仿宋" w:cs="仿宋"/>
                <w:color w:val="000000"/>
                <w:sz w:val="24"/>
                <w:szCs w:val="24"/>
              </w:rPr>
              <w:t>。</w:t>
            </w:r>
          </w:p>
          <w:p>
            <w:pPr>
              <w:rPr>
                <w:rFonts w:ascii="仿宋" w:hAnsi="仿宋" w:eastAsia="仿宋" w:cs="仿宋"/>
                <w:color w:val="000000"/>
                <w:sz w:val="24"/>
                <w:szCs w:val="24"/>
              </w:rPr>
            </w:pPr>
          </w:p>
          <w:p>
            <w:pPr>
              <w:rPr>
                <w:rFonts w:ascii="仿宋" w:hAnsi="仿宋" w:eastAsia="仿宋" w:cs="仿宋"/>
                <w:color w:val="000000"/>
                <w:sz w:val="24"/>
                <w:szCs w:val="24"/>
              </w:rPr>
            </w:pPr>
            <w:r>
              <w:rPr>
                <w:rFonts w:hint="eastAsia" w:ascii="仿宋" w:hAnsi="仿宋" w:eastAsia="仿宋" w:cs="仿宋"/>
                <w:color w:val="000000"/>
                <w:sz w:val="24"/>
                <w:szCs w:val="24"/>
              </w:rPr>
              <w:t>问题16：公司与合资公司青蓝、智新的合作进展如何</w:t>
            </w:r>
            <w:r>
              <w:rPr>
                <w:rFonts w:ascii="仿宋" w:hAnsi="仿宋" w:eastAsia="仿宋" w:cs="仿宋"/>
                <w:color w:val="000000"/>
                <w:sz w:val="24"/>
                <w:szCs w:val="24"/>
              </w:rPr>
              <w:t>？</w:t>
            </w:r>
          </w:p>
          <w:p>
            <w:pPr>
              <w:rPr>
                <w:rFonts w:ascii="仿宋" w:hAnsi="仿宋" w:eastAsia="仿宋" w:cs="仿宋"/>
                <w:color w:val="000000"/>
                <w:sz w:val="24"/>
                <w:szCs w:val="24"/>
              </w:rPr>
            </w:pPr>
            <w:r>
              <w:rPr>
                <w:rFonts w:hint="eastAsia" w:ascii="仿宋" w:hAnsi="仿宋" w:eastAsia="仿宋" w:cs="仿宋"/>
                <w:color w:val="000000"/>
                <w:sz w:val="24"/>
                <w:szCs w:val="24"/>
              </w:rPr>
              <w:t>回答：公司与合资方的合作处于良性状态，合作关系稳定且互利。合资公司青蓝今年预计会有产品产出。合资公司的产能逐步提升也有利于公司业务的进一步发展。</w:t>
            </w:r>
          </w:p>
          <w:p/>
        </w:tc>
      </w:tr>
      <w:tr>
        <w:tblPrEx>
          <w:tblCellMar>
            <w:top w:w="0" w:type="dxa"/>
            <w:left w:w="10" w:type="dxa"/>
            <w:bottom w:w="0" w:type="dxa"/>
            <w:right w:w="10" w:type="dxa"/>
          </w:tblCellMar>
        </w:tblPrEx>
        <w:trPr>
          <w:trHeight w:val="1" w:hRule="atLeast"/>
        </w:trPr>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560" w:lineRule="auto"/>
            </w:pPr>
            <w:r>
              <w:rPr>
                <w:rFonts w:ascii="仿宋" w:hAnsi="仿宋" w:eastAsia="仿宋" w:cs="仿宋"/>
                <w:color w:val="000000"/>
                <w:sz w:val="24"/>
              </w:rPr>
              <w:t>附件清单（如有）</w:t>
            </w: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35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560" w:lineRule="auto"/>
            </w:pPr>
            <w:r>
              <w:rPr>
                <w:rFonts w:ascii="仿宋" w:hAnsi="仿宋" w:eastAsia="仿宋" w:cs="仿宋"/>
                <w:color w:val="000000"/>
                <w:sz w:val="24"/>
              </w:rPr>
              <w:t>日期</w:t>
            </w:r>
          </w:p>
        </w:tc>
        <w:tc>
          <w:tcPr>
            <w:tcW w:w="50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spacing w:line="560" w:lineRule="auto"/>
              <w:rPr>
                <w:rFonts w:ascii="宋体" w:hAnsi="宋体" w:eastAsia="宋体" w:cs="宋体"/>
                <w:sz w:val="22"/>
              </w:rPr>
            </w:pPr>
            <w:r>
              <w:rPr>
                <w:rFonts w:hint="eastAsia" w:ascii="仿宋" w:hAnsi="仿宋" w:eastAsia="仿宋" w:cs="仿宋"/>
                <w:sz w:val="24"/>
                <w:szCs w:val="24"/>
              </w:rPr>
              <w:t>2024年10</w:t>
            </w:r>
            <w:bookmarkStart w:id="0" w:name="_GoBack"/>
            <w:bookmarkEnd w:id="0"/>
            <w:r>
              <w:rPr>
                <w:rFonts w:hint="eastAsia" w:ascii="仿宋" w:hAnsi="仿宋" w:eastAsia="仿宋" w:cs="仿宋"/>
                <w:sz w:val="24"/>
                <w:szCs w:val="24"/>
              </w:rPr>
              <w:t>月31日</w:t>
            </w:r>
          </w:p>
        </w:tc>
      </w:tr>
    </w:tbl>
    <w:p>
      <w:pPr>
        <w:rPr>
          <w:rFonts w:ascii="仿宋" w:hAnsi="仿宋" w:eastAsia="仿宋" w:cs="仿宋"/>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7B0275"/>
    <w:rsid w:val="000027C4"/>
    <w:rsid w:val="00004D99"/>
    <w:rsid w:val="0003467B"/>
    <w:rsid w:val="00084E27"/>
    <w:rsid w:val="00086773"/>
    <w:rsid w:val="000E25B7"/>
    <w:rsid w:val="000E5A3F"/>
    <w:rsid w:val="00107496"/>
    <w:rsid w:val="0011146D"/>
    <w:rsid w:val="001210AD"/>
    <w:rsid w:val="00171F59"/>
    <w:rsid w:val="0018749A"/>
    <w:rsid w:val="001C2FB5"/>
    <w:rsid w:val="001E325E"/>
    <w:rsid w:val="00216D5D"/>
    <w:rsid w:val="00247A42"/>
    <w:rsid w:val="00262775"/>
    <w:rsid w:val="00332772"/>
    <w:rsid w:val="003760BB"/>
    <w:rsid w:val="00382982"/>
    <w:rsid w:val="003838D8"/>
    <w:rsid w:val="003977D3"/>
    <w:rsid w:val="00406FA4"/>
    <w:rsid w:val="00415192"/>
    <w:rsid w:val="00427572"/>
    <w:rsid w:val="00446143"/>
    <w:rsid w:val="00447BFD"/>
    <w:rsid w:val="0048525B"/>
    <w:rsid w:val="004978B6"/>
    <w:rsid w:val="004C24F9"/>
    <w:rsid w:val="004D051C"/>
    <w:rsid w:val="00511690"/>
    <w:rsid w:val="00514DA4"/>
    <w:rsid w:val="00576737"/>
    <w:rsid w:val="005E348A"/>
    <w:rsid w:val="005F43A5"/>
    <w:rsid w:val="00616485"/>
    <w:rsid w:val="00652B54"/>
    <w:rsid w:val="00661978"/>
    <w:rsid w:val="006D40CC"/>
    <w:rsid w:val="007377F8"/>
    <w:rsid w:val="00797149"/>
    <w:rsid w:val="00797C75"/>
    <w:rsid w:val="007A4F1B"/>
    <w:rsid w:val="007B0275"/>
    <w:rsid w:val="007D7521"/>
    <w:rsid w:val="008351B4"/>
    <w:rsid w:val="00874F92"/>
    <w:rsid w:val="0088039F"/>
    <w:rsid w:val="008A00ED"/>
    <w:rsid w:val="008A0D72"/>
    <w:rsid w:val="008A68AB"/>
    <w:rsid w:val="008B0013"/>
    <w:rsid w:val="00901AEC"/>
    <w:rsid w:val="00937AB6"/>
    <w:rsid w:val="0096395B"/>
    <w:rsid w:val="00996B6A"/>
    <w:rsid w:val="009C75F9"/>
    <w:rsid w:val="009E091E"/>
    <w:rsid w:val="00A461D4"/>
    <w:rsid w:val="00A5322E"/>
    <w:rsid w:val="00A80867"/>
    <w:rsid w:val="00AE3EA0"/>
    <w:rsid w:val="00AF61C5"/>
    <w:rsid w:val="00B108E2"/>
    <w:rsid w:val="00B25C0B"/>
    <w:rsid w:val="00B46C8D"/>
    <w:rsid w:val="00B64A32"/>
    <w:rsid w:val="00BA1732"/>
    <w:rsid w:val="00BA491A"/>
    <w:rsid w:val="00BB6FDE"/>
    <w:rsid w:val="00BD339D"/>
    <w:rsid w:val="00C20268"/>
    <w:rsid w:val="00C724D9"/>
    <w:rsid w:val="00CA751D"/>
    <w:rsid w:val="00CC119A"/>
    <w:rsid w:val="00CC76A2"/>
    <w:rsid w:val="00CD1308"/>
    <w:rsid w:val="00CD4021"/>
    <w:rsid w:val="00D1218B"/>
    <w:rsid w:val="00D14383"/>
    <w:rsid w:val="00D26F3C"/>
    <w:rsid w:val="00D4143E"/>
    <w:rsid w:val="00DA6494"/>
    <w:rsid w:val="00DB63CB"/>
    <w:rsid w:val="00DC0530"/>
    <w:rsid w:val="00E16070"/>
    <w:rsid w:val="00E35358"/>
    <w:rsid w:val="00F34572"/>
    <w:rsid w:val="00F35416"/>
    <w:rsid w:val="00F50EA9"/>
    <w:rsid w:val="00F830EB"/>
    <w:rsid w:val="00F9425A"/>
    <w:rsid w:val="00F9672A"/>
    <w:rsid w:val="00FC01CC"/>
    <w:rsid w:val="04130FE4"/>
    <w:rsid w:val="061B6BB8"/>
    <w:rsid w:val="077A6B8B"/>
    <w:rsid w:val="078E6F7A"/>
    <w:rsid w:val="086504A5"/>
    <w:rsid w:val="08CC750E"/>
    <w:rsid w:val="093B2D2A"/>
    <w:rsid w:val="093E76DB"/>
    <w:rsid w:val="0A625F3E"/>
    <w:rsid w:val="0BAF6996"/>
    <w:rsid w:val="0BED31D4"/>
    <w:rsid w:val="0C1912A3"/>
    <w:rsid w:val="0C1E1BD7"/>
    <w:rsid w:val="0C6206BA"/>
    <w:rsid w:val="0F3B12C8"/>
    <w:rsid w:val="107C02E7"/>
    <w:rsid w:val="11670FE5"/>
    <w:rsid w:val="11A40727"/>
    <w:rsid w:val="121427CF"/>
    <w:rsid w:val="123831CA"/>
    <w:rsid w:val="129C37EA"/>
    <w:rsid w:val="136342D4"/>
    <w:rsid w:val="13FF042A"/>
    <w:rsid w:val="140F7D22"/>
    <w:rsid w:val="173F7C7F"/>
    <w:rsid w:val="17D53463"/>
    <w:rsid w:val="181200EE"/>
    <w:rsid w:val="187F1AF1"/>
    <w:rsid w:val="19FA3CE1"/>
    <w:rsid w:val="1A151FB1"/>
    <w:rsid w:val="1A667FF8"/>
    <w:rsid w:val="1AB417B2"/>
    <w:rsid w:val="1BC43683"/>
    <w:rsid w:val="1BCB40E8"/>
    <w:rsid w:val="1D7F340D"/>
    <w:rsid w:val="1E2B4CF6"/>
    <w:rsid w:val="1EBC33B5"/>
    <w:rsid w:val="1ECF5855"/>
    <w:rsid w:val="1F2857D8"/>
    <w:rsid w:val="1F651C0F"/>
    <w:rsid w:val="1F867F88"/>
    <w:rsid w:val="2081135C"/>
    <w:rsid w:val="2125671E"/>
    <w:rsid w:val="222F44A7"/>
    <w:rsid w:val="228D7242"/>
    <w:rsid w:val="22D52233"/>
    <w:rsid w:val="22EF2A76"/>
    <w:rsid w:val="22F15ABE"/>
    <w:rsid w:val="23450E4B"/>
    <w:rsid w:val="23770F2E"/>
    <w:rsid w:val="24A77072"/>
    <w:rsid w:val="24AB1858"/>
    <w:rsid w:val="25703FAC"/>
    <w:rsid w:val="25AA00CB"/>
    <w:rsid w:val="287659AD"/>
    <w:rsid w:val="290F6636"/>
    <w:rsid w:val="29B95405"/>
    <w:rsid w:val="2A50149F"/>
    <w:rsid w:val="2AC51015"/>
    <w:rsid w:val="2BBA78BC"/>
    <w:rsid w:val="2C9A2B24"/>
    <w:rsid w:val="2D0E5335"/>
    <w:rsid w:val="2F4C069D"/>
    <w:rsid w:val="30240F03"/>
    <w:rsid w:val="309371E5"/>
    <w:rsid w:val="30D14499"/>
    <w:rsid w:val="31EE678F"/>
    <w:rsid w:val="32724D27"/>
    <w:rsid w:val="343B5CBA"/>
    <w:rsid w:val="36245793"/>
    <w:rsid w:val="36983BE2"/>
    <w:rsid w:val="36AD19E2"/>
    <w:rsid w:val="36BB11F0"/>
    <w:rsid w:val="36F67EDB"/>
    <w:rsid w:val="379076DC"/>
    <w:rsid w:val="37B45401"/>
    <w:rsid w:val="3B7923AD"/>
    <w:rsid w:val="3C81510F"/>
    <w:rsid w:val="3CEE0EBD"/>
    <w:rsid w:val="3F3015E4"/>
    <w:rsid w:val="3F3E4D80"/>
    <w:rsid w:val="40D17FF9"/>
    <w:rsid w:val="41F17CF7"/>
    <w:rsid w:val="42653A68"/>
    <w:rsid w:val="4341659C"/>
    <w:rsid w:val="43C478C1"/>
    <w:rsid w:val="442178E2"/>
    <w:rsid w:val="44542AB6"/>
    <w:rsid w:val="449066D8"/>
    <w:rsid w:val="44CA5EED"/>
    <w:rsid w:val="464D4F34"/>
    <w:rsid w:val="46DF68F0"/>
    <w:rsid w:val="478862A9"/>
    <w:rsid w:val="48EF6855"/>
    <w:rsid w:val="4A692DFC"/>
    <w:rsid w:val="4AC8612D"/>
    <w:rsid w:val="4C1C299B"/>
    <w:rsid w:val="4C3803A1"/>
    <w:rsid w:val="4C9256A9"/>
    <w:rsid w:val="4F4D2874"/>
    <w:rsid w:val="4F681E6D"/>
    <w:rsid w:val="51FA7721"/>
    <w:rsid w:val="52110625"/>
    <w:rsid w:val="553A0A18"/>
    <w:rsid w:val="560D6FAC"/>
    <w:rsid w:val="56A67220"/>
    <w:rsid w:val="56D94DE8"/>
    <w:rsid w:val="58EA7192"/>
    <w:rsid w:val="5AD00A7F"/>
    <w:rsid w:val="5BC164AA"/>
    <w:rsid w:val="5D6946C4"/>
    <w:rsid w:val="5EAA5897"/>
    <w:rsid w:val="5F06110D"/>
    <w:rsid w:val="60495478"/>
    <w:rsid w:val="60E05139"/>
    <w:rsid w:val="61A236D4"/>
    <w:rsid w:val="620174AD"/>
    <w:rsid w:val="62B15292"/>
    <w:rsid w:val="63234419"/>
    <w:rsid w:val="6600223F"/>
    <w:rsid w:val="66360F1B"/>
    <w:rsid w:val="665E3732"/>
    <w:rsid w:val="66B66CB2"/>
    <w:rsid w:val="67D80088"/>
    <w:rsid w:val="681A085D"/>
    <w:rsid w:val="6A5D66F9"/>
    <w:rsid w:val="6AA223BC"/>
    <w:rsid w:val="6BA06743"/>
    <w:rsid w:val="6BF571B5"/>
    <w:rsid w:val="6CFF4EE1"/>
    <w:rsid w:val="6D417912"/>
    <w:rsid w:val="6EDD7DF3"/>
    <w:rsid w:val="6F2C1A92"/>
    <w:rsid w:val="71901266"/>
    <w:rsid w:val="726A67B9"/>
    <w:rsid w:val="726D4D41"/>
    <w:rsid w:val="730F13B2"/>
    <w:rsid w:val="73E07940"/>
    <w:rsid w:val="742D5992"/>
    <w:rsid w:val="745A7306"/>
    <w:rsid w:val="758F4A30"/>
    <w:rsid w:val="76194155"/>
    <w:rsid w:val="761E47FA"/>
    <w:rsid w:val="77AA18EF"/>
    <w:rsid w:val="77BF1DBE"/>
    <w:rsid w:val="79D30CAA"/>
    <w:rsid w:val="7A1A39B6"/>
    <w:rsid w:val="7A2F1483"/>
    <w:rsid w:val="7A687712"/>
    <w:rsid w:val="7B0636E7"/>
    <w:rsid w:val="7B231F26"/>
    <w:rsid w:val="7C6815EE"/>
    <w:rsid w:val="7CDB54C9"/>
    <w:rsid w:val="7FFB7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
    <w:qFormat/>
    <w:uiPriority w:val="0"/>
    <w:pPr>
      <w:widowControl/>
      <w:spacing w:before="180" w:after="180"/>
      <w:jc w:val="left"/>
    </w:pPr>
    <w:rPr>
      <w:kern w:val="0"/>
      <w:sz w:val="24"/>
      <w:szCs w:val="24"/>
      <w:lang w:eastAsia="en-US"/>
    </w:rPr>
  </w:style>
  <w:style w:type="paragraph" w:customStyle="1" w:styleId="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5">
    <w:name w:val="annotation text"/>
    <w:basedOn w:val="1"/>
    <w:link w:val="20"/>
    <w:semiHidden/>
    <w:unhideWhenUsed/>
    <w:qFormat/>
    <w:uiPriority w:val="99"/>
    <w:pPr>
      <w:jc w:val="left"/>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1"/>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框文本 Char"/>
    <w:basedOn w:val="11"/>
    <w:link w:val="6"/>
    <w:semiHidden/>
    <w:qFormat/>
    <w:uiPriority w:val="99"/>
    <w:rPr>
      <w:rFonts w:asciiTheme="minorHAnsi" w:hAnsiTheme="minorHAnsi" w:eastAsiaTheme="minorEastAsia" w:cstheme="minorBidi"/>
      <w:kern w:val="2"/>
      <w:sz w:val="18"/>
      <w:szCs w:val="18"/>
    </w:rPr>
  </w:style>
  <w:style w:type="paragraph" w:customStyle="1" w:styleId="19">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文字 Char"/>
    <w:basedOn w:val="11"/>
    <w:link w:val="5"/>
    <w:semiHidden/>
    <w:qFormat/>
    <w:uiPriority w:val="99"/>
    <w:rPr>
      <w:rFonts w:asciiTheme="minorHAnsi" w:hAnsiTheme="minorHAnsi" w:eastAsiaTheme="minorEastAsia" w:cstheme="minorBidi"/>
      <w:kern w:val="2"/>
      <w:sz w:val="21"/>
      <w:szCs w:val="22"/>
    </w:rPr>
  </w:style>
  <w:style w:type="character" w:customStyle="1" w:styleId="21">
    <w:name w:val="批注主题 Char"/>
    <w:basedOn w:val="20"/>
    <w:link w:val="9"/>
    <w:semiHidden/>
    <w:qFormat/>
    <w:uiPriority w:val="99"/>
    <w:rPr>
      <w:rFonts w:asciiTheme="minorHAnsi" w:hAnsiTheme="minorHAnsi" w:eastAsiaTheme="minorEastAsia" w:cstheme="minorBidi"/>
      <w:b/>
      <w:bCs/>
      <w:kern w:val="2"/>
      <w:sz w:val="21"/>
      <w:szCs w:val="22"/>
    </w:rPr>
  </w:style>
  <w:style w:type="character" w:customStyle="1" w:styleId="22">
    <w:name w:val="正文文本 Char"/>
    <w:basedOn w:val="11"/>
    <w:link w:val="2"/>
    <w:qFormat/>
    <w:uiPriority w:val="0"/>
    <w:rPr>
      <w:rFonts w:asciiTheme="minorHAnsi" w:hAnsiTheme="minorHAnsi" w:eastAsiaTheme="minorEastAsia" w:cstheme="minorBidi"/>
      <w:sz w:val="24"/>
      <w:szCs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1003</Words>
  <Characters>5719</Characters>
  <Lines>47</Lines>
  <Paragraphs>13</Paragraphs>
  <TotalTime>7</TotalTime>
  <ScaleCrop>false</ScaleCrop>
  <LinksUpToDate>false</LinksUpToDate>
  <CharactersWithSpaces>6709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2024-10-31T08:47:00Z</dcterms:created>
  <dc:creator>20095035</dc:creator>
  <cp:lastModifiedBy>20095035</cp:lastModifiedBy>
  <cp:lastPrinted>2024-08-27T03:05:00Z</cp:lastPrinted>
  <dcterms:modified xsi:type="dcterms:W3CDTF">2024-10-31T09:27:02Z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