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1C075" w14:textId="77777777" w:rsidR="00524DDA" w:rsidRDefault="008577F6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  <w:szCs w:val="22"/>
        </w:rPr>
      </w:pPr>
      <w:r>
        <w:rPr>
          <w:rFonts w:ascii="宋体" w:hAnsi="宋体" w:hint="eastAsia"/>
          <w:bCs/>
          <w:iCs/>
          <w:color w:val="000000"/>
          <w:sz w:val="24"/>
          <w:szCs w:val="22"/>
        </w:rPr>
        <w:t xml:space="preserve">证券代码：688484                                </w:t>
      </w:r>
      <w:r>
        <w:rPr>
          <w:rFonts w:ascii="宋体" w:hAnsi="宋体"/>
          <w:bCs/>
          <w:iCs/>
          <w:color w:val="000000"/>
          <w:sz w:val="24"/>
          <w:szCs w:val="22"/>
        </w:rPr>
        <w:t xml:space="preserve">   </w:t>
      </w:r>
      <w:r>
        <w:rPr>
          <w:rFonts w:ascii="宋体" w:hAnsi="宋体" w:hint="eastAsia"/>
          <w:bCs/>
          <w:iCs/>
          <w:color w:val="000000"/>
          <w:sz w:val="24"/>
          <w:szCs w:val="22"/>
        </w:rPr>
        <w:t>证券简称：</w:t>
      </w:r>
      <w:proofErr w:type="gramStart"/>
      <w:r>
        <w:rPr>
          <w:rFonts w:ascii="宋体" w:hAnsi="宋体" w:hint="eastAsia"/>
          <w:bCs/>
          <w:iCs/>
          <w:color w:val="000000"/>
          <w:sz w:val="24"/>
          <w:szCs w:val="22"/>
        </w:rPr>
        <w:t>南芯科技</w:t>
      </w:r>
      <w:proofErr w:type="gramEnd"/>
    </w:p>
    <w:p w14:paraId="3E479E65" w14:textId="77777777" w:rsidR="00524DDA" w:rsidRDefault="00524DDA">
      <w:pPr>
        <w:spacing w:line="360" w:lineRule="auto"/>
        <w:jc w:val="center"/>
        <w:rPr>
          <w:rFonts w:ascii="宋体" w:hAnsi="宋体"/>
          <w:b/>
          <w:bCs/>
          <w:iCs/>
          <w:color w:val="FF0000"/>
          <w:sz w:val="32"/>
          <w:szCs w:val="32"/>
        </w:rPr>
      </w:pPr>
    </w:p>
    <w:p w14:paraId="62F6DBE7" w14:textId="77777777" w:rsidR="00524DDA" w:rsidRDefault="008577F6">
      <w:pPr>
        <w:spacing w:line="360" w:lineRule="auto"/>
        <w:jc w:val="center"/>
        <w:rPr>
          <w:rFonts w:ascii="宋体" w:hAnsi="宋体"/>
          <w:b/>
          <w:bCs/>
          <w:iCs/>
          <w:color w:val="FF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FF0000"/>
          <w:sz w:val="32"/>
          <w:szCs w:val="32"/>
        </w:rPr>
        <w:t>上海南芯半导体科技股份有限公司</w:t>
      </w:r>
    </w:p>
    <w:p w14:paraId="6608E3F2" w14:textId="77777777" w:rsidR="00524DDA" w:rsidRDefault="008577F6">
      <w:pPr>
        <w:spacing w:line="360" w:lineRule="auto"/>
        <w:jc w:val="center"/>
        <w:rPr>
          <w:rFonts w:ascii="宋体" w:hAnsi="宋体"/>
          <w:b/>
          <w:bCs/>
          <w:iCs/>
          <w:color w:val="FF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FF0000"/>
          <w:sz w:val="32"/>
          <w:szCs w:val="32"/>
        </w:rPr>
        <w:t>投资者关系活动记录表</w:t>
      </w:r>
    </w:p>
    <w:p w14:paraId="64891BC8" w14:textId="77777777" w:rsidR="00524DDA" w:rsidRDefault="008577F6">
      <w:pPr>
        <w:spacing w:line="400" w:lineRule="exact"/>
        <w:ind w:firstLineChars="200" w:firstLine="480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编号：2024-00</w:t>
      </w:r>
      <w:r>
        <w:rPr>
          <w:rFonts w:ascii="宋体" w:hAnsi="宋体"/>
          <w:bCs/>
          <w:iCs/>
          <w:color w:val="000000"/>
          <w:sz w:val="24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436"/>
      </w:tblGrid>
      <w:tr w:rsidR="00524DDA" w14:paraId="2C19192C" w14:textId="77777777">
        <w:trPr>
          <w:trHeight w:val="236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C624" w14:textId="77777777" w:rsidR="00524DDA" w:rsidRDefault="008577F6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7636E0E3" w14:textId="77777777" w:rsidR="00524DDA" w:rsidRDefault="00524DDA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C16C" w14:textId="77777777" w:rsidR="00524DDA" w:rsidRDefault="008577F6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特定对象调研        </w:t>
            </w: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分析师会议</w:t>
            </w:r>
          </w:p>
          <w:p w14:paraId="6B5BDB17" w14:textId="77777777" w:rsidR="00524DDA" w:rsidRDefault="008577F6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媒体采访            </w:t>
            </w: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业绩说明会</w:t>
            </w:r>
          </w:p>
          <w:p w14:paraId="0042B3D9" w14:textId="77777777" w:rsidR="00524DDA" w:rsidRDefault="008577F6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新闻发布会          </w:t>
            </w: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路演活动</w:t>
            </w:r>
          </w:p>
          <w:p w14:paraId="016317F3" w14:textId="77777777" w:rsidR="00524DDA" w:rsidRDefault="008577F6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现场参观</w:t>
            </w: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ab/>
            </w:r>
          </w:p>
          <w:p w14:paraId="0795FF3A" w14:textId="77777777" w:rsidR="00524DDA" w:rsidRDefault="008577F6">
            <w:pPr>
              <w:tabs>
                <w:tab w:val="center" w:pos="3199"/>
              </w:tabs>
              <w:spacing w:line="360" w:lineRule="auto"/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ascii="Segoe UI Emoji" w:eastAsiaTheme="minorEastAsia" w:hAnsi="Segoe UI Emoji" w:cs="Segoe UI Emoji"/>
                <w:bCs/>
                <w:iCs/>
                <w:color w:val="000000"/>
                <w:sz w:val="24"/>
              </w:rPr>
              <w:t>☑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其他 （电话会议）</w:t>
            </w:r>
          </w:p>
        </w:tc>
      </w:tr>
      <w:tr w:rsidR="00524DDA" w14:paraId="75AA8227" w14:textId="77777777">
        <w:trPr>
          <w:trHeight w:val="215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0A33" w14:textId="77777777" w:rsidR="00524DDA" w:rsidRDefault="008577F6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A98D" w14:textId="77777777" w:rsidR="00524DDA" w:rsidRDefault="008577F6">
            <w:pPr>
              <w:spacing w:line="400" w:lineRule="exact"/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朱雀基金、中原证券、中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邮创业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基金、中信证券、中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信建投证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券、中泰证券、中泰信托、中山证券、中航证券、中金公司、招商证券、长城证券、长安基金、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云富投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资、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粤佛私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募、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誉辉资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本、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甬兴证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券、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赢舟资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产、兴全基金、兴业证券、兴业基金、信达证券、新活力资本、西南证券、西部证券、太平洋证券、太平基金、永鑫方舟投资、首创证券、时代资本、盛钧私募、中天汇富基金、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泰石投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资、尚诚资产、惠通基金、旭鑫资产、汇杰资产、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创富兆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业金融、丞毅投资、云门投资、迎水投资、英谊投资、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途灵资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产、彤泰私募、天驷资产、申万宏源、睿郡资产、南土资产、雷钧资产、旌乾企业、嘉世私募、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汇正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财顾、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贵源投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资、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道翼投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资、嘉世私募、山西证券、U</w:t>
            </w:r>
            <w:r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  <w:t>BS</w:t>
            </w: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、前海再保险、平安证券、明盛资产、泓宁亨泰投资、睿澜私募、纳弗斯信息、J</w:t>
            </w:r>
            <w:r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  <w:t>P M</w:t>
            </w: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organ、摩根投信、明世伙伴基金、吕梁小金地资产、路博迈亚洲、鲁信国际金融、顺为资本、凯基证券、开源证券、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九泰基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金、瑞华投资、嘉实基金、汇丰前海证券、华鑫证券、华夏人寿、华夏基金、华西证券、华泰证券、华泰保兴基金、华杉瑞联基金、华金证券、华福证券、华创证券、华安证券、鸿运私募、红杉资本、荷荷私募、瀚川投资、海通证券、峰和私募、国信证券、国泰投信、国泰君安证券、国泰基金、国融基金、国金证券、国金证券资管、国海证券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航长投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资、正圆私募、润达私募、君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心盈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lastRenderedPageBreak/>
              <w:t>泰投资、光大证券、光大永明资产、富国基金、金牛投资、东兴基金、东海证券、东方证券、东方财富证券、顶石资产、财通证券、才华资本、博时基金、卓文博宇投资、橡果资产、神农投资、高信百诺投资、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百嘉基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金、艾希控股、Point</w:t>
            </w:r>
            <w:r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  <w:t xml:space="preserve"> 72</w:t>
            </w: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、</w:t>
            </w:r>
            <w:r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  <w:t>Pleiad Investment</w:t>
            </w: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、</w:t>
            </w:r>
            <w:r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  <w:t>IGWT Investment</w:t>
            </w: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、</w:t>
            </w:r>
            <w:r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  <w:t>Bright Valley Capital</w:t>
            </w:r>
          </w:p>
        </w:tc>
      </w:tr>
      <w:tr w:rsidR="00524DDA" w14:paraId="2333D913" w14:textId="77777777">
        <w:trPr>
          <w:trHeight w:val="548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9A44" w14:textId="77777777" w:rsidR="00524DDA" w:rsidRDefault="008577F6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lastRenderedPageBreak/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8338" w14:textId="77777777" w:rsidR="00524DDA" w:rsidRDefault="008577F6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iCs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2024年1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月3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 1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: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0-1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: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</w:tr>
      <w:tr w:rsidR="00524DDA" w14:paraId="63EEE752" w14:textId="77777777">
        <w:trPr>
          <w:trHeight w:val="574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1520" w14:textId="77777777" w:rsidR="00524DDA" w:rsidRDefault="008577F6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C8E9" w14:textId="77777777" w:rsidR="00524DDA" w:rsidRDefault="008577F6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线上会议</w:t>
            </w:r>
          </w:p>
        </w:tc>
      </w:tr>
      <w:tr w:rsidR="00524DDA" w14:paraId="74313CB9" w14:textId="77777777">
        <w:trPr>
          <w:trHeight w:val="1588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55C7" w14:textId="77777777" w:rsidR="00524DDA" w:rsidRDefault="008577F6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E2D9" w14:textId="77777777" w:rsidR="00524DDA" w:rsidRDefault="008577F6">
            <w:pPr>
              <w:pStyle w:val="TableText"/>
              <w:spacing w:line="520" w:lineRule="exact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董事长兼总经理 阮晨杰</w:t>
            </w:r>
          </w:p>
          <w:p w14:paraId="2501482F" w14:textId="77777777" w:rsidR="00524DDA" w:rsidRDefault="008577F6">
            <w:pPr>
              <w:pStyle w:val="TableText"/>
              <w:spacing w:line="520" w:lineRule="exact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财务负责人 赵熹</w:t>
            </w:r>
          </w:p>
          <w:p w14:paraId="0E559A1F" w14:textId="77777777" w:rsidR="00524DDA" w:rsidRDefault="008577F6">
            <w:pPr>
              <w:pStyle w:val="TableText"/>
              <w:spacing w:line="520" w:lineRule="exact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 xml:space="preserve">投资者关系主任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艾赛斯</w:t>
            </w:r>
            <w:proofErr w:type="gramEnd"/>
          </w:p>
        </w:tc>
      </w:tr>
      <w:tr w:rsidR="00524DDA" w14:paraId="16BEFE9C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C093" w14:textId="77777777" w:rsidR="00524DDA" w:rsidRDefault="008577F6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2676D352" w14:textId="77777777" w:rsidR="00524DDA" w:rsidRDefault="00524DDA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517A" w14:textId="77777777" w:rsidR="00524DDA" w:rsidRDefault="008577F6">
            <w:pPr>
              <w:spacing w:line="480" w:lineRule="exact"/>
              <w:rPr>
                <w:rFonts w:asciiTheme="minorEastAsia" w:eastAsiaTheme="minorEastAsia" w:hAnsiTheme="minorEastAsia" w:cstheme="minorEastAsia"/>
                <w:b/>
                <w:bCs/>
                <w:i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主要交流的问题：</w:t>
            </w:r>
          </w:p>
          <w:p w14:paraId="2A9A3CCA" w14:textId="77777777" w:rsidR="00524DDA" w:rsidRDefault="008577F6">
            <w:pPr>
              <w:spacing w:line="480" w:lineRule="exact"/>
              <w:rPr>
                <w:rFonts w:asciiTheme="minorEastAsia" w:eastAsiaTheme="minorEastAsia" w:hAnsiTheme="minorEastAsia" w:cstheme="minorEastAsia"/>
                <w:b/>
                <w:bCs/>
                <w:i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问题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一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：公司前三季度营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收构成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情况如何？哪些业务增长较快？</w:t>
            </w:r>
          </w:p>
          <w:p w14:paraId="1E05AB61" w14:textId="77777777" w:rsidR="00524DDA" w:rsidRDefault="008577F6">
            <w:pPr>
              <w:spacing w:line="480" w:lineRule="exact"/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答：今年前三季度，公司移动设备收入占比约七成，依靠端到端策略的有效执行，充电管理产品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线业务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规模稳定成长，依然在移动设备业务中占主导地位， DCDC、开关充电、无线充电芯片业务规模持续提升，BMS、Display Power产品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线实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现了关键突破，成长动能强劲，未来业务规模有望继续快速提升。公司智慧能源、通用产品、汽车电子业务收入占比约三成；其中，智慧能源业务收入较去年提升明显，公司在inbox的业务体量较去年明显攀升，公司推出的POWERQUARK®全集成方案，今年也在客户业务中加速渗透，未来随着该产品的渗透率提高，有望进一步加强公司在该领域中的竞争力；通用产品业务也是实现较快成长，主要得益于公司在通用产品中的品类不断扩充，在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泛消费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领域实现了更强劲的业务增长；汽车电子业务规模快速提升，公司将继续保持在汽车电子方面的投入，围绕车载充电、智能座舱、车身控制、ADAS等领域，不断扩充新品，持续贡献强劲增长动力。</w:t>
            </w:r>
          </w:p>
          <w:p w14:paraId="694559B0" w14:textId="77777777" w:rsidR="00524DDA" w:rsidRDefault="00524DDA">
            <w:pPr>
              <w:spacing w:line="480" w:lineRule="exact"/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</w:pPr>
          </w:p>
          <w:p w14:paraId="6C14832C" w14:textId="5D459548" w:rsidR="00524DDA" w:rsidRDefault="008577F6">
            <w:pPr>
              <w:spacing w:line="480" w:lineRule="exact"/>
              <w:rPr>
                <w:rFonts w:asciiTheme="minorEastAsia" w:eastAsiaTheme="minorEastAsia" w:hAnsiTheme="minorEastAsia" w:cstheme="minorEastAsia"/>
                <w:b/>
                <w:bCs/>
                <w:i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问题</w:t>
            </w:r>
            <w:r w:rsidR="00D46B8E"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二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：</w:t>
            </w:r>
            <w:r w:rsidR="005E42D1"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公司研发投入增加</w:t>
            </w:r>
            <w:r w:rsidR="00907A9A"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明显</w:t>
            </w:r>
            <w:r w:rsidR="005E42D1"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，主要投入在哪些领域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？</w:t>
            </w:r>
          </w:p>
          <w:p w14:paraId="2D477A78" w14:textId="1891C5B1" w:rsidR="00CB7CA7" w:rsidRDefault="008577F6" w:rsidP="00CB7CA7">
            <w:pPr>
              <w:spacing w:line="480" w:lineRule="exact"/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答：</w:t>
            </w:r>
            <w:r w:rsidR="00361618" w:rsidRPr="00361618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当前国内半导体行业</w:t>
            </w:r>
            <w:r w:rsidR="00361618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呈现出</w:t>
            </w:r>
            <w:r w:rsidR="00361618" w:rsidRPr="00361618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业务与人才向行业头部聚集的趋势，竞争可能</w:t>
            </w:r>
            <w:r w:rsidR="00361618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持续</w:t>
            </w:r>
            <w:r w:rsidR="00361618" w:rsidRPr="00361618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加剧</w:t>
            </w:r>
            <w:r w:rsidR="00E9316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。</w:t>
            </w:r>
            <w:r w:rsidR="00361618" w:rsidRPr="00361618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在这样的背景下，公司继续坚定执行发展战略，立足于产品的定义与创新，</w:t>
            </w:r>
            <w:r w:rsidR="00E9316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持续</w:t>
            </w:r>
            <w:r w:rsidR="00361618" w:rsidRPr="00361618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加大研发投入</w:t>
            </w:r>
            <w:r w:rsidR="00D35140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。</w:t>
            </w:r>
            <w:r w:rsidR="00E9316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当前</w:t>
            </w:r>
            <w:r w:rsidR="006220F1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公司</w:t>
            </w:r>
            <w:r w:rsidR="00E9316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处于经营规模不断扩大、产品布局不断丰富的发展阶段</w:t>
            </w:r>
            <w:r w:rsidR="00D35140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，</w:t>
            </w:r>
            <w:r w:rsidR="008E29E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主要在消费、汽车、工业等领域持续强化投入，</w:t>
            </w:r>
            <w:r w:rsidR="00D35140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较高的研发投入有助于公司</w:t>
            </w:r>
            <w:r w:rsidR="00916EB1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夯实</w:t>
            </w:r>
            <w:r w:rsidR="00D35140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未来长期可持续发展的根基</w:t>
            </w:r>
            <w:r w:rsidR="00CB7CA7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。</w:t>
            </w:r>
          </w:p>
          <w:p w14:paraId="422608ED" w14:textId="74D206B5" w:rsidR="00CB7CA7" w:rsidRPr="00CB7CA7" w:rsidRDefault="00CB7CA7" w:rsidP="00CB7CA7">
            <w:pPr>
              <w:spacing w:line="480" w:lineRule="exact"/>
              <w:ind w:firstLineChars="200" w:firstLine="480"/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</w:pPr>
            <w:r w:rsidRPr="00CB7CA7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在消费领域，</w:t>
            </w:r>
            <w:r w:rsidR="008E29E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公司</w:t>
            </w:r>
            <w:r w:rsidR="00CE4133" w:rsidRPr="00CB7CA7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发挥芯片集成化设计能力与系统</w:t>
            </w:r>
            <w:r w:rsidR="0059383B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级</w:t>
            </w:r>
            <w:r w:rsidR="00FD102E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解决</w:t>
            </w:r>
            <w:r w:rsidR="00CE4133" w:rsidRPr="00CB7CA7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方案能力</w:t>
            </w:r>
            <w:r w:rsidR="00CE4133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，</w:t>
            </w:r>
            <w:r w:rsidR="008E29E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继续</w:t>
            </w:r>
            <w:r w:rsidRPr="00CB7CA7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巩固在智能手机充电管理业务方面的</w:t>
            </w:r>
            <w:r w:rsidR="00D35140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竞争</w:t>
            </w:r>
            <w:r w:rsidRPr="00CB7CA7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优势，并持续</w:t>
            </w:r>
            <w:r w:rsidR="008E29E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推动</w:t>
            </w:r>
            <w:r w:rsidRPr="00CB7CA7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智能设备端到端全链路电源管理</w:t>
            </w:r>
            <w:r w:rsidR="003C54F3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芯片</w:t>
            </w:r>
            <w:r w:rsidRPr="00CB7CA7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业务的协同发展，如在</w:t>
            </w:r>
            <w:r w:rsidR="00F35624" w:rsidRPr="00CB7CA7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电源适配器</w:t>
            </w:r>
            <w:r w:rsidR="00F35624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、</w:t>
            </w:r>
            <w:r w:rsidRPr="00CB7CA7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锂电保护、屏幕显示控制等领域，</w:t>
            </w:r>
            <w:r w:rsidR="008E29E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公司不断推出新的料号，</w:t>
            </w:r>
            <w:r w:rsidR="00DD44A0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切入多个品牌客户及其中高端产品中</w:t>
            </w:r>
            <w:r w:rsidR="008E29E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，</w:t>
            </w:r>
            <w:r w:rsidR="00F35624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业务规模快速提升</w:t>
            </w:r>
            <w:r w:rsidRPr="00CB7CA7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。</w:t>
            </w:r>
          </w:p>
          <w:p w14:paraId="48313A8C" w14:textId="4B82CCB4" w:rsidR="00CB7CA7" w:rsidRPr="00CB7CA7" w:rsidRDefault="00CB7CA7" w:rsidP="00471200">
            <w:pPr>
              <w:spacing w:line="480" w:lineRule="exact"/>
              <w:ind w:firstLineChars="200" w:firstLine="480"/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</w:pPr>
            <w:r w:rsidRPr="00CB7CA7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在汽车领域，把握汽车行业智能化、电动化大趋势，</w:t>
            </w:r>
            <w:r w:rsidR="000E7EF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积极投入各新产品线</w:t>
            </w:r>
            <w:r w:rsidR="00AA4E23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，</w:t>
            </w:r>
            <w:r w:rsidR="00C23EA4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丰富产品库</w:t>
            </w:r>
            <w:r w:rsidRPr="00CB7CA7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，提升单车价值量。公司目前</w:t>
            </w:r>
            <w:r w:rsidR="007915F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重点投入车载充电、智能座舱、车身控制、A</w:t>
            </w:r>
            <w:r w:rsidR="007915F6"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  <w:t>DAS</w:t>
            </w:r>
            <w:r w:rsidR="007915F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领域，主要聚焦在</w:t>
            </w:r>
            <w:r w:rsidR="0054338C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智能电源管理、智能驱动芯片</w:t>
            </w:r>
            <w:r w:rsidR="00FA6BD4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等</w:t>
            </w:r>
            <w:r w:rsidR="00D74523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产品类别</w:t>
            </w:r>
            <w:r w:rsidRPr="00CB7CA7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。</w:t>
            </w:r>
            <w:r w:rsidR="00A43EF4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公司汽车业务成长动能强劲，未来可期。</w:t>
            </w:r>
          </w:p>
          <w:p w14:paraId="4742A980" w14:textId="1B239749" w:rsidR="00524DDA" w:rsidRPr="00CB7CA7" w:rsidRDefault="00CB7CA7" w:rsidP="009444CB">
            <w:pPr>
              <w:spacing w:line="480" w:lineRule="exact"/>
              <w:ind w:firstLineChars="200" w:firstLine="480"/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</w:pPr>
            <w:r w:rsidRPr="00CB7CA7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公司</w:t>
            </w:r>
            <w:r w:rsidR="009444CB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也在</w:t>
            </w:r>
            <w:r w:rsidR="009444CB" w:rsidRPr="00CB7CA7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工业</w:t>
            </w:r>
            <w:r w:rsidR="009444CB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及其它前沿</w:t>
            </w:r>
            <w:r w:rsidR="009444CB" w:rsidRPr="00CB7CA7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领域</w:t>
            </w:r>
            <w:r w:rsidR="009444CB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加大投入，扩充研发团队，</w:t>
            </w:r>
            <w:r w:rsidRPr="00CB7CA7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强化新品开拓，</w:t>
            </w:r>
            <w:r w:rsidR="00175B1F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包括在</w:t>
            </w:r>
            <w:r w:rsidRPr="00CB7CA7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高压工业电源、AI等领域</w:t>
            </w:r>
            <w:r w:rsidR="00175B1F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的布局</w:t>
            </w:r>
            <w:r w:rsidRPr="00CB7CA7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。</w:t>
            </w:r>
          </w:p>
          <w:p w14:paraId="5D559D75" w14:textId="77777777" w:rsidR="00524DDA" w:rsidRDefault="00524DDA">
            <w:pPr>
              <w:spacing w:line="480" w:lineRule="exact"/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</w:pPr>
          </w:p>
          <w:p w14:paraId="4EAB26E7" w14:textId="5136ADB0" w:rsidR="00DF1C21" w:rsidRDefault="008577F6" w:rsidP="00DF1C21">
            <w:pPr>
              <w:spacing w:line="480" w:lineRule="exact"/>
              <w:rPr>
                <w:rFonts w:asciiTheme="minorEastAsia" w:eastAsiaTheme="minorEastAsia" w:hAnsiTheme="minorEastAsia" w:cstheme="minorEastAsia"/>
                <w:b/>
                <w:bCs/>
                <w:i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问题</w:t>
            </w:r>
            <w:r w:rsidR="00C0623F"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三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：</w:t>
            </w:r>
            <w:r w:rsidR="00DF1C21"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公司今年的毛利率水平如何？</w:t>
            </w:r>
          </w:p>
          <w:p w14:paraId="170052CC" w14:textId="77777777" w:rsidR="00DF1C21" w:rsidRDefault="00DF1C21" w:rsidP="00DF1C21">
            <w:pPr>
              <w:spacing w:line="480" w:lineRule="exact"/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答：毛利率显示了公司的综合竞争力，代表了公司为客户创造的价值、客户对产品的接受程度、与同业的竞争水平。公司第三季度毛利率继续维持在4</w:t>
            </w:r>
            <w:r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  <w:t>0%</w:t>
            </w: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的水平，在国内同行业中位居前列。毛利率的波动受到材料成本、产品价格、下游需求等方面的影响，公司将维持创新研发能力，做好运营管理，</w:t>
            </w: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lastRenderedPageBreak/>
              <w:t>以保持长期稳健的盈利水平。</w:t>
            </w:r>
          </w:p>
          <w:p w14:paraId="4C28D92C" w14:textId="5973E87F" w:rsidR="00524DDA" w:rsidRPr="00DF1C21" w:rsidRDefault="00524DDA">
            <w:pPr>
              <w:spacing w:line="480" w:lineRule="exact"/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</w:pPr>
          </w:p>
          <w:p w14:paraId="3B31B995" w14:textId="6145C17E" w:rsidR="00524DDA" w:rsidRDefault="008577F6">
            <w:pPr>
              <w:spacing w:line="480" w:lineRule="exact"/>
              <w:rPr>
                <w:rFonts w:asciiTheme="minorEastAsia" w:eastAsiaTheme="minorEastAsia" w:hAnsiTheme="minorEastAsia" w:cstheme="minorEastAsia"/>
                <w:b/>
                <w:bCs/>
                <w:i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问题</w:t>
            </w:r>
            <w:r w:rsidR="00AF08B1"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四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：公司在</w:t>
            </w:r>
            <w:r w:rsidR="00C0623F"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发展</w:t>
            </w:r>
            <w:r w:rsidR="005D7DA3"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消费电子</w:t>
            </w:r>
            <w:r w:rsidR="00C0623F"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端到</w:t>
            </w:r>
            <w:proofErr w:type="gramStart"/>
            <w:r w:rsidR="00C0623F"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端领域</w:t>
            </w:r>
            <w:proofErr w:type="gramEnd"/>
            <w:r w:rsidR="00C0623F"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的业务进展如何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？</w:t>
            </w:r>
          </w:p>
          <w:p w14:paraId="700CE513" w14:textId="3330266E" w:rsidR="00F8130E" w:rsidRDefault="008577F6">
            <w:pPr>
              <w:spacing w:line="480" w:lineRule="exact"/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答：</w:t>
            </w:r>
            <w:r w:rsidR="00F8130E" w:rsidRPr="00F8130E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公司</w:t>
            </w:r>
            <w:r w:rsidR="00F8130E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的</w:t>
            </w:r>
            <w:r w:rsidR="00F8130E" w:rsidRPr="00F8130E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产品设计理念基于系统应用，产品布局</w:t>
            </w:r>
            <w:r w:rsidR="00F8130E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从供电端到设备端</w:t>
            </w:r>
            <w:r w:rsidR="005D7DA3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，为客户提供消费电子领域端到端完整的系统级解决方案。</w:t>
            </w:r>
          </w:p>
          <w:p w14:paraId="128CB1E5" w14:textId="36CEF908" w:rsidR="00524DDA" w:rsidRDefault="006B2A13" w:rsidP="009F3EFD">
            <w:pPr>
              <w:spacing w:line="480" w:lineRule="exact"/>
              <w:ind w:firstLineChars="200" w:firstLine="480"/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在电源</w:t>
            </w:r>
            <w:r w:rsidR="008577F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适配器</w:t>
            </w: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相关产品方面，</w:t>
            </w:r>
            <w:r w:rsidR="008577F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今年三季度继续保持高速成长，市场份额不断扩大。顺应电源适配器小型化、集成化、通用化的发展趋势，公司</w:t>
            </w:r>
            <w:r w:rsidR="009F3EFD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加大力度</w:t>
            </w:r>
            <w:r w:rsidR="008577F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 xml:space="preserve">推动 </w:t>
            </w:r>
            <w:proofErr w:type="spellStart"/>
            <w:r w:rsidR="008577F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GaN</w:t>
            </w:r>
            <w:proofErr w:type="spellEnd"/>
            <w:proofErr w:type="gramStart"/>
            <w:r w:rsidR="008577F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合封方案</w:t>
            </w:r>
            <w:proofErr w:type="gramEnd"/>
            <w:r w:rsidR="008577F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向更多客户导入，公司自</w:t>
            </w:r>
            <w:proofErr w:type="gramStart"/>
            <w:r w:rsidR="008577F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研</w:t>
            </w:r>
            <w:proofErr w:type="gramEnd"/>
            <w:r w:rsidR="008577F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的全集成反</w:t>
            </w:r>
            <w:proofErr w:type="gramStart"/>
            <w:r w:rsidR="008577F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激方案</w:t>
            </w:r>
            <w:proofErr w:type="gramEnd"/>
            <w:r w:rsidR="008577F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 xml:space="preserve"> POWERQUARK®能够为适配器进一步大幅减小体积的同时提高转换效率，</w:t>
            </w:r>
            <w:r w:rsidR="00F55EE8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为客户降低成本，</w:t>
            </w:r>
            <w:r w:rsidR="00A022DE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深受客户认可。</w:t>
            </w:r>
            <w:r w:rsidR="008577F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目前正在持续推动</w:t>
            </w:r>
            <w:r w:rsidR="00784659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切</w:t>
            </w:r>
            <w:r w:rsidR="008577F6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入至更多客户的产品中，未来有望带动公司智慧能源业务板块持续快速成长。</w:t>
            </w:r>
          </w:p>
          <w:p w14:paraId="63D80D0A" w14:textId="0B4C2BCF" w:rsidR="00524DDA" w:rsidRDefault="008577F6" w:rsidP="00C0623F">
            <w:pPr>
              <w:spacing w:line="480" w:lineRule="exact"/>
              <w:ind w:firstLineChars="200" w:firstLine="480"/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今年前三季度，公司B</w:t>
            </w:r>
            <w:r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  <w:t>MS</w:t>
            </w: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业务成长较快，现在主要以锂电保护芯片为主，已</w:t>
            </w:r>
            <w:r w:rsidR="00F80097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进入</w:t>
            </w: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多个品牌客户，后续成长潜力较大；公司后续还会出货电量计芯片产品，电量计和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锂电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保护可以很好的搭配，能够推动BMS的业务持续快速成长，提高市场竞争力。</w:t>
            </w:r>
          </w:p>
          <w:p w14:paraId="061B7996" w14:textId="37D213C8" w:rsidR="00524DDA" w:rsidRDefault="008577F6" w:rsidP="00C0623F">
            <w:pPr>
              <w:spacing w:line="480" w:lineRule="exact"/>
              <w:ind w:firstLineChars="200" w:firstLine="480"/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公司今年A</w:t>
            </w:r>
            <w:r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  <w:t>MOLED PIMC</w:t>
            </w: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业务规模提升较快，已进入更多手机品牌客户</w:t>
            </w:r>
            <w:r w:rsidR="00D6793E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的</w:t>
            </w: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中高端手机</w:t>
            </w:r>
            <w:r w:rsidR="00D6793E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中</w:t>
            </w: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，未来有望推出在智能穿戴、平板、P</w:t>
            </w:r>
            <w:r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  <w:t>C</w:t>
            </w: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等领域</w:t>
            </w:r>
            <w:r w:rsidR="00095A69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的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A</w:t>
            </w:r>
            <w:r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  <w:t xml:space="preserve">MOLED </w:t>
            </w: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P</w:t>
            </w:r>
            <w:r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  <w:t>IMC</w:t>
            </w: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产品。</w:t>
            </w:r>
          </w:p>
          <w:p w14:paraId="07E7F44A" w14:textId="0A8E890A" w:rsidR="00EF0B81" w:rsidRDefault="00EF0B81">
            <w:pPr>
              <w:spacing w:line="480" w:lineRule="exact"/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</w:pPr>
          </w:p>
          <w:p w14:paraId="186AACED" w14:textId="720C6263" w:rsidR="00251BE0" w:rsidRDefault="00251BE0" w:rsidP="00251BE0">
            <w:pPr>
              <w:spacing w:line="480" w:lineRule="exact"/>
              <w:rPr>
                <w:rFonts w:asciiTheme="minorEastAsia" w:eastAsiaTheme="minorEastAsia" w:hAnsiTheme="minorEastAsia" w:cstheme="minorEastAsia"/>
                <w:b/>
                <w:bCs/>
                <w:i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问题</w:t>
            </w:r>
            <w:r w:rsidR="00AF08B1"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五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：</w:t>
            </w:r>
            <w:r w:rsidR="009647A9"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公司如何看待</w:t>
            </w:r>
            <w:r w:rsidR="00F7648C"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汽车</w:t>
            </w:r>
            <w:r w:rsidR="009647A9"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的</w:t>
            </w:r>
            <w:r w:rsidR="00F7648C"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智能座舱</w:t>
            </w:r>
            <w:r w:rsidR="009647A9"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发展潜力？</w:t>
            </w:r>
            <w:r w:rsidR="00761A73"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在智能座舱的电源管理方面，公司有哪些产品布局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？</w:t>
            </w:r>
          </w:p>
          <w:p w14:paraId="6A543AD0" w14:textId="32FDDE18" w:rsidR="00EE2CA0" w:rsidRDefault="00251BE0" w:rsidP="002D6F89">
            <w:pPr>
              <w:spacing w:line="480" w:lineRule="exact"/>
              <w:ind w:firstLineChars="200" w:firstLine="480"/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答：</w:t>
            </w:r>
            <w:r w:rsidR="009647A9" w:rsidRPr="009647A9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智能座舱几乎已经成为智能汽车的标配，功能也在不断</w:t>
            </w:r>
            <w:r w:rsidR="009647A9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推成出新</w:t>
            </w:r>
            <w:r w:rsidR="009647A9" w:rsidRPr="009647A9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。比如大屏幕显示现在几乎成为刚需，多屏液晶显示带来新的信息娱乐感受；语音控制、手势、面部识别也将会被引入系统；疲劳监测、注意力检测、危险行为监测</w:t>
            </w:r>
            <w:r w:rsidR="009647A9" w:rsidRPr="009647A9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lastRenderedPageBreak/>
              <w:t>的驾驶员监控系统 (DMS)，以及平视显示系统 (HUD) 增加着智能座舱的科技含量。</w:t>
            </w:r>
            <w:r w:rsidR="00EE2CA0" w:rsidRPr="00EE2CA0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以电源管理系统为例，</w:t>
            </w:r>
            <w:r w:rsidR="00EE2CA0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智能</w:t>
            </w:r>
            <w:r w:rsidR="00EE2CA0" w:rsidRPr="00EE2CA0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座舱功能增加势必对电源系统提出更高要求，要求每一个电源器件都能达到更高的效率标准。其次，在设备的集成化</w:t>
            </w:r>
            <w:r w:rsidR="00E4621C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趋势</w:t>
            </w:r>
            <w:r w:rsidR="00EE2CA0" w:rsidRPr="00EE2CA0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之下，系统面临的电磁干扰</w:t>
            </w:r>
            <w:r w:rsidR="005D3FC4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（E</w:t>
            </w:r>
            <w:r w:rsidR="005D3FC4"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  <w:t>MI</w:t>
            </w:r>
            <w:r w:rsidR="005D3FC4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）</w:t>
            </w:r>
            <w:r w:rsidR="00EE2CA0" w:rsidRPr="00EE2CA0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问题也日益突出。</w:t>
            </w:r>
          </w:p>
          <w:p w14:paraId="556ED83E" w14:textId="2D1858BD" w:rsidR="00251BE0" w:rsidRDefault="00F7648C" w:rsidP="002D6F89">
            <w:pPr>
              <w:spacing w:line="480" w:lineRule="exact"/>
              <w:ind w:firstLineChars="200" w:firstLine="480"/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公司</w:t>
            </w:r>
            <w:r w:rsidRPr="00F7648C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已面向智能座舱应用打造了涵盖降压转换器、升降压转换器、高边</w:t>
            </w: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开关</w:t>
            </w:r>
            <w:r w:rsidRPr="00F7648C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驱动、USB 充电芯片、天线 LDO、电源管理芯片</w:t>
            </w:r>
            <w:r w:rsidR="00182CAF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等</w:t>
            </w:r>
            <w:r w:rsidRPr="00F7648C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在内的一揽子产品，可以为客户提供安全高效的一站</w:t>
            </w:r>
            <w:proofErr w:type="gramStart"/>
            <w:r w:rsidRPr="00F7648C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式解决</w:t>
            </w:r>
            <w:proofErr w:type="gramEnd"/>
            <w:r w:rsidRPr="00F7648C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方案</w:t>
            </w:r>
            <w:r w:rsidR="005D3FC4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，</w:t>
            </w:r>
            <w:r w:rsidR="00793994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通过</w:t>
            </w:r>
            <w:r w:rsidR="00793994" w:rsidRPr="00793994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轻载降频技术</w:t>
            </w:r>
            <w:r w:rsidR="00793994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提高转换效率，通过</w:t>
            </w:r>
            <w:proofErr w:type="gramStart"/>
            <w:r w:rsidR="00793994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集成展频技</w:t>
            </w:r>
            <w:proofErr w:type="gramEnd"/>
            <w:r w:rsidR="00793994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术、对称式输入输出引脚和封装等方法降低E</w:t>
            </w:r>
            <w:r w:rsidR="00793994"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  <w:t>MI</w:t>
            </w:r>
            <w:r w:rsidR="00793994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，</w:t>
            </w:r>
            <w:r w:rsidR="005D3FC4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满足客户</w:t>
            </w:r>
            <w:r w:rsidR="00793994"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在智能座舱开发中的高转换效率与强抗电磁干扰述求。</w:t>
            </w:r>
          </w:p>
          <w:p w14:paraId="1BB85CA9" w14:textId="77777777" w:rsidR="00F7648C" w:rsidRPr="00F7648C" w:rsidRDefault="00F7648C">
            <w:pPr>
              <w:spacing w:line="480" w:lineRule="exact"/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</w:pPr>
          </w:p>
          <w:p w14:paraId="68937B65" w14:textId="6046DE90" w:rsidR="00EF0B81" w:rsidRDefault="00EF0B81" w:rsidP="00EF0B81">
            <w:pPr>
              <w:spacing w:line="480" w:lineRule="exact"/>
              <w:rPr>
                <w:rFonts w:asciiTheme="minorEastAsia" w:eastAsiaTheme="minorEastAsia" w:hAnsiTheme="minorEastAsia" w:cstheme="minorEastAsia"/>
                <w:b/>
                <w:bCs/>
                <w:i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问题</w:t>
            </w:r>
            <w:r w:rsidR="00AF08B1"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六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：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晶圆厂的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价格变动是否对</w:t>
            </w:r>
            <w:r w:rsidR="00BD27E8"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公司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的成本造成影响？</w:t>
            </w:r>
          </w:p>
          <w:p w14:paraId="7CF1BA96" w14:textId="4FD2DE1A" w:rsidR="00EF0B81" w:rsidRDefault="00EF0B81" w:rsidP="00EF0B81">
            <w:pPr>
              <w:spacing w:line="480" w:lineRule="exact"/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答：目前，公司的晶圆采购价格保持稳定，也会持续推动独有工艺在更多产品类别中的应用，真正做强公司的虚拟IDM模式。</w:t>
            </w:r>
          </w:p>
          <w:p w14:paraId="679F6954" w14:textId="77777777" w:rsidR="00EF0B81" w:rsidRDefault="00EF0B81" w:rsidP="00EF0B81">
            <w:pPr>
              <w:spacing w:line="480" w:lineRule="exact"/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</w:pPr>
          </w:p>
          <w:p w14:paraId="2FE9F5AF" w14:textId="1EBACA9C" w:rsidR="00EF0B81" w:rsidRDefault="00EF0B81" w:rsidP="00EF0B81">
            <w:pPr>
              <w:spacing w:line="480" w:lineRule="exact"/>
              <w:rPr>
                <w:rFonts w:asciiTheme="minorEastAsia" w:eastAsiaTheme="minorEastAsia" w:hAnsiTheme="minorEastAsia" w:cstheme="minorEastAsia"/>
                <w:b/>
                <w:bCs/>
                <w:i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问题</w:t>
            </w:r>
            <w:r w:rsidR="00AF08B1"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七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iCs/>
                <w:color w:val="000000" w:themeColor="text1"/>
                <w:sz w:val="24"/>
              </w:rPr>
              <w:t>：请问公司在半导体行业并购整合方面有什么看法？行业的竞争是不是会越来越激烈？公司如何看待半导体行业的发展趋势？</w:t>
            </w:r>
          </w:p>
          <w:p w14:paraId="3D83104B" w14:textId="77777777" w:rsidR="00EF0B81" w:rsidRDefault="00EF0B81" w:rsidP="00EF0B81">
            <w:pPr>
              <w:spacing w:line="480" w:lineRule="exact"/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答：国内半导体企业数量众多，行业的整合和集中趋势会越发明显，国内模拟芯片的公司中，头部的厂商都在扩大自己的版图，开拓的业务领域甚至意向客户群体都会开始有交叉、重叠，竞争确实也会越来越激烈。</w:t>
            </w:r>
          </w:p>
          <w:p w14:paraId="6814DF4A" w14:textId="77777777" w:rsidR="00EF0B81" w:rsidRDefault="00EF0B81" w:rsidP="00EF0B81">
            <w:pPr>
              <w:spacing w:line="480" w:lineRule="exact"/>
              <w:ind w:firstLineChars="200" w:firstLine="480"/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面对行业竞争，公司秉承平台化、多元化发展路径，公司的定位是不做大众货架，要以产品独特性、高性价比、高产品品质、为客户提供整体方案为核心，就如同当前超市行业中最有竞争力的业态“大型会员制超市”；</w:t>
            </w:r>
          </w:p>
          <w:p w14:paraId="03C7161E" w14:textId="77777777" w:rsidR="00EF0B81" w:rsidRDefault="00EF0B81" w:rsidP="00EF0B81">
            <w:pPr>
              <w:spacing w:line="480" w:lineRule="exact"/>
              <w:ind w:firstLineChars="200" w:firstLine="480"/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lastRenderedPageBreak/>
              <w:t>此外，公司定位于“虚拟IDM”的发展策略，保持一定成本优势的同时，持续提升工艺能力与话语权，在制造端也要体现差异化的竞争力；</w:t>
            </w:r>
          </w:p>
          <w:p w14:paraId="07A83686" w14:textId="77777777" w:rsidR="00EF0B81" w:rsidRDefault="00EF0B81" w:rsidP="00EF0B81">
            <w:pPr>
              <w:spacing w:line="480" w:lineRule="exact"/>
              <w:ind w:firstLineChars="200" w:firstLine="480"/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 xml:space="preserve">管理模式也要继续推进体系化、制度化、国际化、更高运营效率的建设，一个可靠的经营体系支持起来的一整套方案服务体系，才能有机会走出国门、赢得海外客户的认可。 </w:t>
            </w:r>
            <w:r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  <w:t xml:space="preserve"> </w:t>
            </w:r>
          </w:p>
          <w:p w14:paraId="6CA20308" w14:textId="4EC75348" w:rsidR="00EF0B81" w:rsidRPr="00EF0B81" w:rsidRDefault="00EF0B81" w:rsidP="00EF0B81">
            <w:pPr>
              <w:spacing w:line="480" w:lineRule="exact"/>
              <w:ind w:firstLineChars="200" w:firstLine="480"/>
              <w:rPr>
                <w:rFonts w:asciiTheme="minorEastAsia" w:eastAsiaTheme="minorEastAsia" w:hAnsiTheme="minorEastAsia" w:cstheme="minorEastAsia"/>
                <w:bCs/>
                <w:i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 w:themeColor="text1"/>
                <w:sz w:val="24"/>
              </w:rPr>
              <w:t>在并购方面，无论是要扩展业务领域，还是寻找到了优秀的团队，这都是企业并购的契机。公司会持续保持对行业的关注，方向上希望能在产业互补方面寻找一些机会，随着业务规模的成长，公司也同步在社会上招揽人才，以进一步强化公司业务能力，支持公司新产品的开发与业务拓展。</w:t>
            </w:r>
          </w:p>
        </w:tc>
      </w:tr>
      <w:tr w:rsidR="00524DDA" w14:paraId="7FC4A262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F4F3" w14:textId="77777777" w:rsidR="00524DDA" w:rsidRDefault="008577F6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lastRenderedPageBreak/>
              <w:t>附件清单</w:t>
            </w:r>
          </w:p>
          <w:p w14:paraId="063E53FE" w14:textId="77777777" w:rsidR="00524DDA" w:rsidRDefault="008577F6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B2C0" w14:textId="77777777" w:rsidR="00524DDA" w:rsidRDefault="008577F6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524DDA" w14:paraId="39CC8AE4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B323" w14:textId="77777777" w:rsidR="00524DDA" w:rsidRDefault="008577F6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8458" w14:textId="77777777" w:rsidR="00524DDA" w:rsidRDefault="008577F6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2024.</w:t>
            </w:r>
            <w:r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bCs/>
                <w:iCs/>
                <w:color w:val="000000"/>
                <w:sz w:val="24"/>
              </w:rPr>
              <w:t>.</w:t>
            </w:r>
            <w:r>
              <w:rPr>
                <w:rFonts w:asciiTheme="minorEastAsia" w:eastAsiaTheme="minorEastAsia" w:hAnsiTheme="minorEastAsia" w:cstheme="minorEastAsia"/>
                <w:bCs/>
                <w:iCs/>
                <w:color w:val="000000"/>
                <w:sz w:val="24"/>
              </w:rPr>
              <w:t>31</w:t>
            </w:r>
          </w:p>
        </w:tc>
      </w:tr>
    </w:tbl>
    <w:p w14:paraId="0BDFA1E2" w14:textId="77777777" w:rsidR="00524DDA" w:rsidRDefault="00524DDA"/>
    <w:sectPr w:rsidR="00524DDA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B3313" w14:textId="77777777" w:rsidR="00EB113E" w:rsidRDefault="00EB113E" w:rsidP="003C54F3">
      <w:r>
        <w:separator/>
      </w:r>
    </w:p>
  </w:endnote>
  <w:endnote w:type="continuationSeparator" w:id="0">
    <w:p w14:paraId="5E166E9F" w14:textId="77777777" w:rsidR="00EB113E" w:rsidRDefault="00EB113E" w:rsidP="003C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3A0D4" w14:textId="77777777" w:rsidR="00EB113E" w:rsidRDefault="00EB113E" w:rsidP="003C54F3">
      <w:r>
        <w:separator/>
      </w:r>
    </w:p>
  </w:footnote>
  <w:footnote w:type="continuationSeparator" w:id="0">
    <w:p w14:paraId="39EE0EBC" w14:textId="77777777" w:rsidR="00EB113E" w:rsidRDefault="00EB113E" w:rsidP="003C5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I3Y2IxNzY4NTgxMmNkODc5ZmM5MzJjYWQwYjYwYmQifQ=="/>
  </w:docVars>
  <w:rsids>
    <w:rsidRoot w:val="00DB361F"/>
    <w:rsid w:val="0000207D"/>
    <w:rsid w:val="00003F99"/>
    <w:rsid w:val="00005787"/>
    <w:rsid w:val="00005DB8"/>
    <w:rsid w:val="00026A62"/>
    <w:rsid w:val="00032A5D"/>
    <w:rsid w:val="000419E7"/>
    <w:rsid w:val="00050098"/>
    <w:rsid w:val="00054C15"/>
    <w:rsid w:val="00055B51"/>
    <w:rsid w:val="0006601A"/>
    <w:rsid w:val="000807FF"/>
    <w:rsid w:val="00082FEC"/>
    <w:rsid w:val="000833F1"/>
    <w:rsid w:val="000866C5"/>
    <w:rsid w:val="000934CF"/>
    <w:rsid w:val="00093BD5"/>
    <w:rsid w:val="000942B7"/>
    <w:rsid w:val="00095A69"/>
    <w:rsid w:val="000A344F"/>
    <w:rsid w:val="000A5F1C"/>
    <w:rsid w:val="000B409F"/>
    <w:rsid w:val="000E5184"/>
    <w:rsid w:val="000E548C"/>
    <w:rsid w:val="000E7EF6"/>
    <w:rsid w:val="000F61D5"/>
    <w:rsid w:val="000F6D23"/>
    <w:rsid w:val="00105B2C"/>
    <w:rsid w:val="00106A7F"/>
    <w:rsid w:val="001130D9"/>
    <w:rsid w:val="001207F7"/>
    <w:rsid w:val="00120DD5"/>
    <w:rsid w:val="001417C0"/>
    <w:rsid w:val="00162497"/>
    <w:rsid w:val="00171322"/>
    <w:rsid w:val="001716D1"/>
    <w:rsid w:val="00173F35"/>
    <w:rsid w:val="00175B1F"/>
    <w:rsid w:val="00181B65"/>
    <w:rsid w:val="00182CAF"/>
    <w:rsid w:val="001A2E1E"/>
    <w:rsid w:val="001A31FD"/>
    <w:rsid w:val="001A58C8"/>
    <w:rsid w:val="001C37D2"/>
    <w:rsid w:val="001D3494"/>
    <w:rsid w:val="002001FC"/>
    <w:rsid w:val="00232CE1"/>
    <w:rsid w:val="00251BE0"/>
    <w:rsid w:val="002523B2"/>
    <w:rsid w:val="00253401"/>
    <w:rsid w:val="002614B2"/>
    <w:rsid w:val="0026626D"/>
    <w:rsid w:val="00274AEA"/>
    <w:rsid w:val="00293E36"/>
    <w:rsid w:val="00295CED"/>
    <w:rsid w:val="002A2C74"/>
    <w:rsid w:val="002B1024"/>
    <w:rsid w:val="002C0BE7"/>
    <w:rsid w:val="002D6F89"/>
    <w:rsid w:val="002D7C22"/>
    <w:rsid w:val="002E5FF4"/>
    <w:rsid w:val="002E7334"/>
    <w:rsid w:val="002F3005"/>
    <w:rsid w:val="002F732A"/>
    <w:rsid w:val="003035EA"/>
    <w:rsid w:val="00303862"/>
    <w:rsid w:val="00311550"/>
    <w:rsid w:val="00342594"/>
    <w:rsid w:val="003526F4"/>
    <w:rsid w:val="003609BA"/>
    <w:rsid w:val="00361618"/>
    <w:rsid w:val="00365E74"/>
    <w:rsid w:val="003C16E0"/>
    <w:rsid w:val="003C54F3"/>
    <w:rsid w:val="003C6B6E"/>
    <w:rsid w:val="003D5008"/>
    <w:rsid w:val="003E4CFB"/>
    <w:rsid w:val="003E70FC"/>
    <w:rsid w:val="003F22CB"/>
    <w:rsid w:val="00411762"/>
    <w:rsid w:val="00420A05"/>
    <w:rsid w:val="004212F8"/>
    <w:rsid w:val="00421EE6"/>
    <w:rsid w:val="0042481B"/>
    <w:rsid w:val="00431577"/>
    <w:rsid w:val="004333C0"/>
    <w:rsid w:val="0043582B"/>
    <w:rsid w:val="004425F0"/>
    <w:rsid w:val="00443176"/>
    <w:rsid w:val="00454193"/>
    <w:rsid w:val="00471200"/>
    <w:rsid w:val="00475245"/>
    <w:rsid w:val="00476C44"/>
    <w:rsid w:val="0048147C"/>
    <w:rsid w:val="00483415"/>
    <w:rsid w:val="004A256D"/>
    <w:rsid w:val="004A7E95"/>
    <w:rsid w:val="004B22B6"/>
    <w:rsid w:val="004B6EA4"/>
    <w:rsid w:val="004C4BC5"/>
    <w:rsid w:val="004C64D5"/>
    <w:rsid w:val="004D230A"/>
    <w:rsid w:val="004D618C"/>
    <w:rsid w:val="004D6884"/>
    <w:rsid w:val="004D6A66"/>
    <w:rsid w:val="004E7268"/>
    <w:rsid w:val="004F0A89"/>
    <w:rsid w:val="004F27C6"/>
    <w:rsid w:val="004F490D"/>
    <w:rsid w:val="004F6A8C"/>
    <w:rsid w:val="00506E21"/>
    <w:rsid w:val="00524DDA"/>
    <w:rsid w:val="0054281D"/>
    <w:rsid w:val="0054338C"/>
    <w:rsid w:val="00544C01"/>
    <w:rsid w:val="00563858"/>
    <w:rsid w:val="005774B7"/>
    <w:rsid w:val="005928C9"/>
    <w:rsid w:val="0059383B"/>
    <w:rsid w:val="005A1116"/>
    <w:rsid w:val="005A475C"/>
    <w:rsid w:val="005A58C7"/>
    <w:rsid w:val="005C7B6C"/>
    <w:rsid w:val="005D164B"/>
    <w:rsid w:val="005D3FC4"/>
    <w:rsid w:val="005D5E64"/>
    <w:rsid w:val="005D7DA3"/>
    <w:rsid w:val="005E42D1"/>
    <w:rsid w:val="005F45A0"/>
    <w:rsid w:val="00601539"/>
    <w:rsid w:val="006118B8"/>
    <w:rsid w:val="00616EB3"/>
    <w:rsid w:val="00617C4D"/>
    <w:rsid w:val="006220F1"/>
    <w:rsid w:val="00626330"/>
    <w:rsid w:val="00630DC4"/>
    <w:rsid w:val="00647B49"/>
    <w:rsid w:val="006504B7"/>
    <w:rsid w:val="006508FF"/>
    <w:rsid w:val="00652AE8"/>
    <w:rsid w:val="006903D5"/>
    <w:rsid w:val="006A7188"/>
    <w:rsid w:val="006A78DE"/>
    <w:rsid w:val="006B2A13"/>
    <w:rsid w:val="006B50D7"/>
    <w:rsid w:val="006D1A0A"/>
    <w:rsid w:val="006D3D4C"/>
    <w:rsid w:val="006D5F46"/>
    <w:rsid w:val="0074273E"/>
    <w:rsid w:val="00744027"/>
    <w:rsid w:val="007462A5"/>
    <w:rsid w:val="00752966"/>
    <w:rsid w:val="00761A73"/>
    <w:rsid w:val="00765A52"/>
    <w:rsid w:val="00775DC6"/>
    <w:rsid w:val="00782733"/>
    <w:rsid w:val="00784659"/>
    <w:rsid w:val="007915F6"/>
    <w:rsid w:val="00793994"/>
    <w:rsid w:val="00795135"/>
    <w:rsid w:val="0079785A"/>
    <w:rsid w:val="007B4C98"/>
    <w:rsid w:val="00800F32"/>
    <w:rsid w:val="00805365"/>
    <w:rsid w:val="0082594F"/>
    <w:rsid w:val="00841FA1"/>
    <w:rsid w:val="008577F6"/>
    <w:rsid w:val="008949FE"/>
    <w:rsid w:val="008A37DE"/>
    <w:rsid w:val="008A7F36"/>
    <w:rsid w:val="008B0754"/>
    <w:rsid w:val="008B2B95"/>
    <w:rsid w:val="008B5BCB"/>
    <w:rsid w:val="008C6A40"/>
    <w:rsid w:val="008D48A2"/>
    <w:rsid w:val="008E1595"/>
    <w:rsid w:val="008E29E6"/>
    <w:rsid w:val="008F1DC0"/>
    <w:rsid w:val="008F58C2"/>
    <w:rsid w:val="00907A9A"/>
    <w:rsid w:val="00915602"/>
    <w:rsid w:val="00915BB7"/>
    <w:rsid w:val="00916EB1"/>
    <w:rsid w:val="009242DC"/>
    <w:rsid w:val="00931DC8"/>
    <w:rsid w:val="00935350"/>
    <w:rsid w:val="009366FA"/>
    <w:rsid w:val="009422D6"/>
    <w:rsid w:val="009444CB"/>
    <w:rsid w:val="00945625"/>
    <w:rsid w:val="0094770D"/>
    <w:rsid w:val="009552F0"/>
    <w:rsid w:val="009647A9"/>
    <w:rsid w:val="009664CE"/>
    <w:rsid w:val="009735CB"/>
    <w:rsid w:val="00982251"/>
    <w:rsid w:val="00990069"/>
    <w:rsid w:val="00993CDF"/>
    <w:rsid w:val="009950F4"/>
    <w:rsid w:val="009967E3"/>
    <w:rsid w:val="009A490D"/>
    <w:rsid w:val="009B0B11"/>
    <w:rsid w:val="009B5410"/>
    <w:rsid w:val="009E743C"/>
    <w:rsid w:val="009F0FB3"/>
    <w:rsid w:val="009F3EFD"/>
    <w:rsid w:val="00A022DE"/>
    <w:rsid w:val="00A22CF2"/>
    <w:rsid w:val="00A40106"/>
    <w:rsid w:val="00A43EF4"/>
    <w:rsid w:val="00A57651"/>
    <w:rsid w:val="00A6539A"/>
    <w:rsid w:val="00A80CD4"/>
    <w:rsid w:val="00A84CDE"/>
    <w:rsid w:val="00A93FFB"/>
    <w:rsid w:val="00AA4AE1"/>
    <w:rsid w:val="00AA4B17"/>
    <w:rsid w:val="00AA4E23"/>
    <w:rsid w:val="00AB5EB6"/>
    <w:rsid w:val="00AB614A"/>
    <w:rsid w:val="00AB688D"/>
    <w:rsid w:val="00AC4021"/>
    <w:rsid w:val="00AC6DF3"/>
    <w:rsid w:val="00AC7C57"/>
    <w:rsid w:val="00AE1BD9"/>
    <w:rsid w:val="00AE4ED3"/>
    <w:rsid w:val="00AF08B1"/>
    <w:rsid w:val="00AF0FBF"/>
    <w:rsid w:val="00B06767"/>
    <w:rsid w:val="00B075FD"/>
    <w:rsid w:val="00B10690"/>
    <w:rsid w:val="00B26A5B"/>
    <w:rsid w:val="00B63D0B"/>
    <w:rsid w:val="00B86853"/>
    <w:rsid w:val="00B87C49"/>
    <w:rsid w:val="00B9490D"/>
    <w:rsid w:val="00B9496C"/>
    <w:rsid w:val="00BB2FC3"/>
    <w:rsid w:val="00BD27E8"/>
    <w:rsid w:val="00BD546F"/>
    <w:rsid w:val="00BF5A38"/>
    <w:rsid w:val="00C0549C"/>
    <w:rsid w:val="00C0623F"/>
    <w:rsid w:val="00C213AF"/>
    <w:rsid w:val="00C23EA4"/>
    <w:rsid w:val="00C3677C"/>
    <w:rsid w:val="00C602C5"/>
    <w:rsid w:val="00C710BF"/>
    <w:rsid w:val="00C76774"/>
    <w:rsid w:val="00C90BA4"/>
    <w:rsid w:val="00C963D2"/>
    <w:rsid w:val="00CA4FF1"/>
    <w:rsid w:val="00CA7104"/>
    <w:rsid w:val="00CB47FB"/>
    <w:rsid w:val="00CB7CA7"/>
    <w:rsid w:val="00CD2A33"/>
    <w:rsid w:val="00CD32CA"/>
    <w:rsid w:val="00CD4283"/>
    <w:rsid w:val="00CE14F6"/>
    <w:rsid w:val="00CE4133"/>
    <w:rsid w:val="00CF1F10"/>
    <w:rsid w:val="00D039FA"/>
    <w:rsid w:val="00D043DF"/>
    <w:rsid w:val="00D1206F"/>
    <w:rsid w:val="00D20F5E"/>
    <w:rsid w:val="00D221D4"/>
    <w:rsid w:val="00D35140"/>
    <w:rsid w:val="00D46B8E"/>
    <w:rsid w:val="00D6793E"/>
    <w:rsid w:val="00D71A6B"/>
    <w:rsid w:val="00D74523"/>
    <w:rsid w:val="00D75134"/>
    <w:rsid w:val="00D82D04"/>
    <w:rsid w:val="00D93CF4"/>
    <w:rsid w:val="00DA041C"/>
    <w:rsid w:val="00DA1507"/>
    <w:rsid w:val="00DA4F8C"/>
    <w:rsid w:val="00DA571E"/>
    <w:rsid w:val="00DA5B99"/>
    <w:rsid w:val="00DB361F"/>
    <w:rsid w:val="00DB57E1"/>
    <w:rsid w:val="00DB67E6"/>
    <w:rsid w:val="00DD44A0"/>
    <w:rsid w:val="00DD6112"/>
    <w:rsid w:val="00DF1C21"/>
    <w:rsid w:val="00DF7197"/>
    <w:rsid w:val="00E027A6"/>
    <w:rsid w:val="00E12AFD"/>
    <w:rsid w:val="00E1377C"/>
    <w:rsid w:val="00E15C98"/>
    <w:rsid w:val="00E339FA"/>
    <w:rsid w:val="00E44854"/>
    <w:rsid w:val="00E4621C"/>
    <w:rsid w:val="00E52443"/>
    <w:rsid w:val="00E62738"/>
    <w:rsid w:val="00E63813"/>
    <w:rsid w:val="00E733DE"/>
    <w:rsid w:val="00E93166"/>
    <w:rsid w:val="00EB0D2E"/>
    <w:rsid w:val="00EB113E"/>
    <w:rsid w:val="00EB1962"/>
    <w:rsid w:val="00EC0581"/>
    <w:rsid w:val="00ED430E"/>
    <w:rsid w:val="00EE1E13"/>
    <w:rsid w:val="00EE2CA0"/>
    <w:rsid w:val="00EF0B81"/>
    <w:rsid w:val="00EF1278"/>
    <w:rsid w:val="00EF6B08"/>
    <w:rsid w:val="00F004EE"/>
    <w:rsid w:val="00F0055B"/>
    <w:rsid w:val="00F052AC"/>
    <w:rsid w:val="00F22364"/>
    <w:rsid w:val="00F2298D"/>
    <w:rsid w:val="00F35624"/>
    <w:rsid w:val="00F44967"/>
    <w:rsid w:val="00F44971"/>
    <w:rsid w:val="00F46F9B"/>
    <w:rsid w:val="00F514E1"/>
    <w:rsid w:val="00F55EE8"/>
    <w:rsid w:val="00F655DD"/>
    <w:rsid w:val="00F67385"/>
    <w:rsid w:val="00F67B17"/>
    <w:rsid w:val="00F70539"/>
    <w:rsid w:val="00F73414"/>
    <w:rsid w:val="00F7648C"/>
    <w:rsid w:val="00F80097"/>
    <w:rsid w:val="00F8130E"/>
    <w:rsid w:val="00F84267"/>
    <w:rsid w:val="00F93077"/>
    <w:rsid w:val="00FA6BD4"/>
    <w:rsid w:val="00FB0C94"/>
    <w:rsid w:val="00FB672F"/>
    <w:rsid w:val="00FD102E"/>
    <w:rsid w:val="00FE0936"/>
    <w:rsid w:val="00FE1B43"/>
    <w:rsid w:val="00FE3ADE"/>
    <w:rsid w:val="00FF2359"/>
    <w:rsid w:val="00FF740D"/>
    <w:rsid w:val="030148E2"/>
    <w:rsid w:val="07372051"/>
    <w:rsid w:val="0BFA7178"/>
    <w:rsid w:val="0C013541"/>
    <w:rsid w:val="1A397B11"/>
    <w:rsid w:val="1AEB2ADF"/>
    <w:rsid w:val="1B845309"/>
    <w:rsid w:val="1C9A4EF8"/>
    <w:rsid w:val="1EE16FC1"/>
    <w:rsid w:val="2C9C632F"/>
    <w:rsid w:val="2CF1033B"/>
    <w:rsid w:val="2DE71976"/>
    <w:rsid w:val="32CD2A10"/>
    <w:rsid w:val="36E83F1F"/>
    <w:rsid w:val="37F00807"/>
    <w:rsid w:val="3B992858"/>
    <w:rsid w:val="3E0076DA"/>
    <w:rsid w:val="407A652F"/>
    <w:rsid w:val="41214F7E"/>
    <w:rsid w:val="437B5CA9"/>
    <w:rsid w:val="47975C19"/>
    <w:rsid w:val="4D7D0EEE"/>
    <w:rsid w:val="52E67B90"/>
    <w:rsid w:val="591946E0"/>
    <w:rsid w:val="5AD3266C"/>
    <w:rsid w:val="5F7A755A"/>
    <w:rsid w:val="65B732B6"/>
    <w:rsid w:val="67900A37"/>
    <w:rsid w:val="6B311141"/>
    <w:rsid w:val="6D4B2536"/>
    <w:rsid w:val="6EE23920"/>
    <w:rsid w:val="721B697B"/>
    <w:rsid w:val="73B34AD5"/>
    <w:rsid w:val="74F811F5"/>
    <w:rsid w:val="75B3511C"/>
    <w:rsid w:val="77866F8C"/>
    <w:rsid w:val="7B9C6183"/>
    <w:rsid w:val="7CD51896"/>
    <w:rsid w:val="7FB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8D22AF"/>
  <w15:docId w15:val="{017224F1-897E-4B7B-98FF-A5639CF6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TableText">
    <w:name w:val="Table Text"/>
    <w:basedOn w:val="a"/>
    <w:autoRedefine/>
    <w:semiHidden/>
    <w:qFormat/>
    <w:rPr>
      <w:rFonts w:ascii="宋体" w:hAnsi="宋体" w:cs="宋体"/>
      <w:sz w:val="24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8B3F4-2DE0-4019-97E4-402E5CE2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6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Saisi Ai</cp:lastModifiedBy>
  <cp:revision>236</cp:revision>
  <dcterms:created xsi:type="dcterms:W3CDTF">2020-04-26T08:00:00Z</dcterms:created>
  <dcterms:modified xsi:type="dcterms:W3CDTF">2024-10-31T10:28:00Z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AB9840B96CF64832B610B2479A0E5ADB_13</vt:lpwstr>
  </property>
</Properties>
</file>