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2B179">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投资者关系活动记录表</w:t>
      </w:r>
    </w:p>
    <w:p w14:paraId="07EDA65C">
      <w:pPr>
        <w:widowControl/>
        <w:jc w:val="center"/>
        <w:rPr>
          <w:rFonts w:ascii="宋体" w:hAnsi="宋体" w:eastAsia="宋体" w:cs="宋体"/>
          <w:b/>
          <w:bCs/>
          <w:color w:val="000000"/>
          <w:kern w:val="0"/>
          <w:sz w:val="28"/>
          <w:szCs w:val="28"/>
        </w:rPr>
      </w:pPr>
      <w:r>
        <w:rPr>
          <w:rFonts w:hint="eastAsia" w:ascii="Times New Roman" w:hAnsi="Times New Roman" w:eastAsia="宋体" w:cs="Times New Roman"/>
          <w:b/>
          <w:bCs/>
          <w:color w:val="000000"/>
          <w:kern w:val="0"/>
          <w:sz w:val="28"/>
          <w:szCs w:val="28"/>
        </w:rPr>
        <w:t>2</w:t>
      </w:r>
      <w:r>
        <w:rPr>
          <w:rFonts w:ascii="Times New Roman" w:hAnsi="Times New Roman" w:eastAsia="宋体" w:cs="Times New Roman"/>
          <w:b/>
          <w:bCs/>
          <w:color w:val="000000"/>
          <w:kern w:val="0"/>
          <w:sz w:val="28"/>
          <w:szCs w:val="28"/>
        </w:rPr>
        <w:t>02</w:t>
      </w:r>
      <w:r>
        <w:rPr>
          <w:rFonts w:hint="eastAsia" w:ascii="Times New Roman" w:hAnsi="Times New Roman" w:eastAsia="宋体" w:cs="Times New Roman"/>
          <w:b/>
          <w:bCs/>
          <w:color w:val="000000"/>
          <w:kern w:val="0"/>
          <w:sz w:val="28"/>
          <w:szCs w:val="28"/>
          <w:lang w:val="en-US" w:eastAsia="zh-CN"/>
        </w:rPr>
        <w:t>4</w:t>
      </w:r>
      <w:r>
        <w:rPr>
          <w:rFonts w:hint="eastAsia" w:ascii="宋体" w:hAnsi="宋体" w:eastAsia="宋体" w:cs="宋体"/>
          <w:b/>
          <w:bCs/>
          <w:color w:val="000000"/>
          <w:kern w:val="0"/>
          <w:sz w:val="28"/>
          <w:szCs w:val="28"/>
        </w:rPr>
        <w:t>年</w:t>
      </w:r>
      <w:r>
        <w:rPr>
          <w:rFonts w:hint="eastAsia" w:ascii="Times New Roman" w:hAnsi="Times New Roman" w:eastAsia="宋体" w:cs="Times New Roman"/>
          <w:b/>
          <w:bCs/>
          <w:color w:val="000000"/>
          <w:kern w:val="0"/>
          <w:sz w:val="28"/>
          <w:szCs w:val="28"/>
          <w:lang w:val="en-US" w:eastAsia="zh-CN"/>
        </w:rPr>
        <w:t>10</w:t>
      </w:r>
      <w:r>
        <w:rPr>
          <w:rFonts w:hint="eastAsia" w:ascii="宋体" w:hAnsi="宋体" w:eastAsia="宋体" w:cs="宋体"/>
          <w:b/>
          <w:bCs/>
          <w:color w:val="000000"/>
          <w:kern w:val="0"/>
          <w:sz w:val="28"/>
          <w:szCs w:val="28"/>
        </w:rPr>
        <w:t>月</w:t>
      </w:r>
    </w:p>
    <w:p w14:paraId="04EE1B8F">
      <w:pPr>
        <w:widowControl/>
        <w:jc w:val="left"/>
        <w:rPr>
          <w:rFonts w:ascii="宋体" w:hAnsi="宋体" w:eastAsia="宋体" w:cs="宋体"/>
          <w:kern w:val="0"/>
          <w:sz w:val="22"/>
        </w:rPr>
      </w:pPr>
      <w:r>
        <w:rPr>
          <w:rFonts w:hint="eastAsia" w:ascii="宋体" w:hAnsi="宋体" w:eastAsia="宋体" w:cs="宋体"/>
          <w:color w:val="000000"/>
          <w:kern w:val="0"/>
          <w:sz w:val="22"/>
        </w:rPr>
        <w:t xml:space="preserve">股票名称：智洋创新 </w:t>
      </w:r>
      <w:r>
        <w:rPr>
          <w:rFonts w:ascii="宋体" w:hAnsi="宋体" w:eastAsia="宋体" w:cs="宋体"/>
          <w:color w:val="000000"/>
          <w:kern w:val="0"/>
          <w:sz w:val="22"/>
        </w:rPr>
        <w:t xml:space="preserve">                                    </w:t>
      </w:r>
      <w:r>
        <w:rPr>
          <w:rFonts w:hint="eastAsia" w:ascii="宋体" w:hAnsi="宋体" w:eastAsia="宋体" w:cs="宋体"/>
          <w:color w:val="000000"/>
          <w:kern w:val="0"/>
          <w:sz w:val="22"/>
        </w:rPr>
        <w:t>股票代码：</w:t>
      </w:r>
      <w:r>
        <w:rPr>
          <w:rFonts w:ascii="Times New Roman" w:hAnsi="Times New Roman" w:eastAsia="宋体" w:cs="Times New Roman"/>
          <w:color w:val="000000"/>
          <w:kern w:val="0"/>
          <w:sz w:val="22"/>
        </w:rPr>
        <w:t xml:space="preserve">688191                   </w:t>
      </w:r>
    </w:p>
    <w:tbl>
      <w:tblPr>
        <w:tblStyle w:val="9"/>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6"/>
        <w:gridCol w:w="5800"/>
      </w:tblGrid>
      <w:tr w14:paraId="04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2756" w:type="dxa"/>
            <w:vAlign w:val="center"/>
          </w:tcPr>
          <w:p w14:paraId="73A52ABC">
            <w:pPr>
              <w:widowControl/>
              <w:jc w:val="center"/>
              <w:rPr>
                <w:rFonts w:ascii="宋体" w:hAnsi="宋体" w:eastAsia="宋体" w:cs="宋体"/>
                <w:b/>
                <w:bCs/>
                <w:color w:val="000000"/>
                <w:kern w:val="0"/>
                <w:sz w:val="22"/>
              </w:rPr>
            </w:pPr>
            <w:r>
              <w:rPr>
                <w:rFonts w:hint="eastAsia" w:ascii="宋体" w:hAnsi="宋体" w:eastAsia="宋体" w:cs="宋体"/>
                <w:color w:val="000000"/>
                <w:kern w:val="0"/>
                <w:sz w:val="22"/>
              </w:rPr>
              <w:t>投资者关系活动类别</w:t>
            </w:r>
          </w:p>
        </w:tc>
        <w:tc>
          <w:tcPr>
            <w:tcW w:w="5800" w:type="dxa"/>
            <w:vAlign w:val="center"/>
          </w:tcPr>
          <w:p w14:paraId="18BC7F43">
            <w:pPr>
              <w:widowControl/>
              <w:spacing w:line="480" w:lineRule="auto"/>
              <w:jc w:val="both"/>
              <w:rPr>
                <w:rFonts w:ascii="宋体" w:hAnsi="宋体" w:eastAsia="宋体" w:cs="宋体"/>
                <w:kern w:val="0"/>
                <w:sz w:val="21"/>
                <w:szCs w:val="21"/>
              </w:rPr>
            </w:pP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特定对象调研</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分析师会议</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媒体采访</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业绩说明会</w:t>
            </w:r>
          </w:p>
          <w:p w14:paraId="48B750C4">
            <w:pPr>
              <w:widowControl/>
              <w:spacing w:line="480" w:lineRule="auto"/>
              <w:jc w:val="both"/>
              <w:rPr>
                <w:rFonts w:hint="eastAsia" w:ascii="宋体" w:hAnsi="宋体" w:eastAsia="宋体" w:cs="宋体"/>
                <w:kern w:val="0"/>
                <w:sz w:val="22"/>
                <w:lang w:eastAsia="zh-CN"/>
              </w:rPr>
            </w:pP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新闻发布会</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路演活动</w:t>
            </w:r>
            <w:r>
              <w:rPr>
                <w:rFonts w:hint="eastAsia" w:ascii="宋体" w:hAnsi="宋体" w:eastAsia="宋体" w:cs="宋体"/>
                <w:kern w:val="0"/>
                <w:sz w:val="21"/>
                <w:szCs w:val="21"/>
              </w:rPr>
              <w:sym w:font="Wingdings 2" w:char="0052"/>
            </w:r>
            <w:r>
              <w:rPr>
                <w:rFonts w:hint="eastAsia" w:ascii="宋体" w:hAnsi="宋体" w:eastAsia="宋体" w:cs="宋体"/>
                <w:kern w:val="0"/>
                <w:sz w:val="21"/>
                <w:szCs w:val="21"/>
              </w:rPr>
              <w:t>现场参观</w:t>
            </w:r>
            <w:r>
              <w:rPr>
                <w:rFonts w:hint="eastAsia" w:ascii="宋体" w:hAnsi="宋体" w:eastAsia="宋体" w:cs="宋体"/>
                <w:kern w:val="0"/>
                <w:sz w:val="21"/>
                <w:szCs w:val="21"/>
              </w:rPr>
              <w:sym w:font="Wingdings 2" w:char="00A3"/>
            </w:r>
            <w:r>
              <w:rPr>
                <w:rFonts w:hint="eastAsia" w:ascii="宋体" w:hAnsi="宋体" w:eastAsia="宋体" w:cs="宋体"/>
                <w:kern w:val="0"/>
                <w:sz w:val="21"/>
                <w:szCs w:val="21"/>
              </w:rPr>
              <w:t>其他</w:t>
            </w:r>
          </w:p>
        </w:tc>
      </w:tr>
      <w:tr w14:paraId="2792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756" w:type="dxa"/>
            <w:vAlign w:val="center"/>
          </w:tcPr>
          <w:p w14:paraId="0F26B180">
            <w:pPr>
              <w:widowControl/>
              <w:jc w:val="center"/>
              <w:rPr>
                <w:rFonts w:ascii="宋体" w:hAnsi="宋体" w:eastAsia="宋体" w:cs="宋体"/>
                <w:b/>
                <w:bCs/>
                <w:kern w:val="0"/>
                <w:sz w:val="22"/>
              </w:rPr>
            </w:pPr>
            <w:r>
              <w:rPr>
                <w:rFonts w:hint="eastAsia" w:ascii="宋体" w:hAnsi="宋体" w:eastAsia="宋体" w:cs="宋体"/>
                <w:kern w:val="0"/>
                <w:sz w:val="22"/>
              </w:rPr>
              <w:t>参与单位名称及人员姓名</w:t>
            </w:r>
          </w:p>
        </w:tc>
        <w:tc>
          <w:tcPr>
            <w:tcW w:w="5800" w:type="dxa"/>
            <w:vAlign w:val="center"/>
          </w:tcPr>
          <w:p w14:paraId="21C4C5E3">
            <w:pPr>
              <w:pStyle w:val="3"/>
              <w:numPr>
                <w:ilvl w:val="0"/>
                <w:numId w:val="1"/>
              </w:numPr>
              <w:ind w:left="0" w:leftChars="0" w:firstLine="0" w:firstLineChars="0"/>
              <w:rPr>
                <w:rFonts w:hint="eastAsia"/>
                <w:lang w:val="en-US" w:eastAsia="zh-CN"/>
              </w:rPr>
            </w:pPr>
            <w:r>
              <w:rPr>
                <w:rFonts w:hint="eastAsia"/>
                <w:lang w:val="en-US" w:eastAsia="zh-CN"/>
              </w:rPr>
              <w:t>西部证券：庄自超</w:t>
            </w:r>
          </w:p>
          <w:p w14:paraId="55D85012">
            <w:pPr>
              <w:pStyle w:val="3"/>
              <w:numPr>
                <w:ilvl w:val="0"/>
                <w:numId w:val="1"/>
              </w:numPr>
              <w:ind w:left="0" w:leftChars="0" w:firstLine="0" w:firstLineChars="0"/>
              <w:rPr>
                <w:rFonts w:hint="default"/>
                <w:lang w:val="en-US" w:eastAsia="zh-CN"/>
              </w:rPr>
            </w:pPr>
            <w:r>
              <w:rPr>
                <w:rFonts w:hint="eastAsia"/>
                <w:lang w:val="en-US" w:eastAsia="zh-CN"/>
              </w:rPr>
              <w:t>工银瑞信：张剑峰</w:t>
            </w:r>
          </w:p>
        </w:tc>
      </w:tr>
      <w:tr w14:paraId="3084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57955DE9">
            <w:pPr>
              <w:widowControl/>
              <w:jc w:val="center"/>
              <w:rPr>
                <w:rFonts w:ascii="宋体" w:hAnsi="宋体" w:eastAsia="宋体" w:cs="宋体"/>
                <w:kern w:val="0"/>
                <w:sz w:val="22"/>
              </w:rPr>
            </w:pPr>
            <w:r>
              <w:rPr>
                <w:rFonts w:hint="eastAsia" w:ascii="宋体" w:hAnsi="宋体" w:eastAsia="宋体" w:cs="宋体"/>
                <w:kern w:val="0"/>
                <w:sz w:val="22"/>
              </w:rPr>
              <w:t>时间</w:t>
            </w:r>
          </w:p>
        </w:tc>
        <w:tc>
          <w:tcPr>
            <w:tcW w:w="5800" w:type="dxa"/>
            <w:vAlign w:val="center"/>
          </w:tcPr>
          <w:p w14:paraId="4AA573FE">
            <w:pPr>
              <w:pStyle w:val="3"/>
              <w:ind w:firstLine="0" w:firstLineChars="0"/>
              <w:rPr>
                <w:rFonts w:hint="eastAsia"/>
                <w:lang w:val="en-US" w:eastAsia="zh-CN"/>
              </w:rPr>
            </w:pPr>
            <w:r>
              <w:rPr>
                <w:rFonts w:hint="eastAsia"/>
                <w:lang w:val="en-US" w:eastAsia="zh-CN"/>
              </w:rPr>
              <w:t>2024年10月29日10：30</w:t>
            </w:r>
          </w:p>
          <w:p w14:paraId="2916CF0C">
            <w:pPr>
              <w:pStyle w:val="3"/>
              <w:ind w:firstLine="0" w:firstLineChars="0"/>
              <w:rPr>
                <w:rFonts w:hint="default"/>
                <w:lang w:val="en-US" w:eastAsia="zh-CN"/>
              </w:rPr>
            </w:pPr>
            <w:r>
              <w:rPr>
                <w:rFonts w:hint="eastAsia"/>
                <w:lang w:val="en-US" w:eastAsia="zh-CN"/>
              </w:rPr>
              <w:t>2024年10月31日13：30</w:t>
            </w:r>
          </w:p>
        </w:tc>
      </w:tr>
      <w:tr w14:paraId="5177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6F52D738">
            <w:pPr>
              <w:widowControl/>
              <w:jc w:val="center"/>
              <w:rPr>
                <w:rFonts w:ascii="宋体" w:hAnsi="宋体" w:eastAsia="宋体" w:cs="宋体"/>
                <w:b/>
                <w:bCs/>
                <w:kern w:val="0"/>
                <w:sz w:val="22"/>
              </w:rPr>
            </w:pPr>
            <w:r>
              <w:rPr>
                <w:rFonts w:hint="eastAsia" w:ascii="宋体" w:hAnsi="宋体" w:eastAsia="宋体" w:cs="宋体"/>
                <w:kern w:val="0"/>
                <w:sz w:val="22"/>
              </w:rPr>
              <w:t>地点</w:t>
            </w:r>
          </w:p>
        </w:tc>
        <w:tc>
          <w:tcPr>
            <w:tcW w:w="5800" w:type="dxa"/>
            <w:vAlign w:val="center"/>
          </w:tcPr>
          <w:p w14:paraId="7C1F215F">
            <w:pPr>
              <w:widowControl/>
              <w:jc w:val="both"/>
              <w:rPr>
                <w:rFonts w:hint="default" w:ascii="宋体" w:hAnsi="宋体" w:eastAsia="宋体" w:cs="宋体"/>
                <w:kern w:val="0"/>
                <w:sz w:val="22"/>
                <w:lang w:val="en-US" w:eastAsia="zh-CN"/>
              </w:rPr>
            </w:pPr>
            <w:r>
              <w:rPr>
                <w:rFonts w:hint="eastAsia" w:ascii="宋体" w:hAnsi="宋体" w:eastAsia="宋体" w:cs="宋体"/>
                <w:color w:val="000000"/>
                <w:kern w:val="0"/>
                <w:szCs w:val="21"/>
                <w:lang w:val="en-US" w:eastAsia="zh-CN"/>
              </w:rPr>
              <w:t>智洋创新4楼会议室</w:t>
            </w:r>
          </w:p>
        </w:tc>
      </w:tr>
      <w:tr w14:paraId="4FA0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756" w:type="dxa"/>
            <w:vAlign w:val="center"/>
          </w:tcPr>
          <w:p w14:paraId="0CA51761">
            <w:pPr>
              <w:widowControl/>
              <w:jc w:val="center"/>
              <w:rPr>
                <w:rFonts w:ascii="宋体" w:hAnsi="宋体" w:eastAsia="宋体" w:cs="宋体"/>
                <w:kern w:val="0"/>
                <w:sz w:val="22"/>
              </w:rPr>
            </w:pPr>
            <w:r>
              <w:rPr>
                <w:rFonts w:hint="eastAsia" w:ascii="宋体" w:hAnsi="宋体" w:eastAsia="宋体" w:cs="宋体"/>
                <w:kern w:val="0"/>
                <w:sz w:val="22"/>
              </w:rPr>
              <w:t>公司接待人员姓名</w:t>
            </w:r>
          </w:p>
        </w:tc>
        <w:tc>
          <w:tcPr>
            <w:tcW w:w="5800" w:type="dxa"/>
            <w:vAlign w:val="center"/>
          </w:tcPr>
          <w:p w14:paraId="6F379D2A">
            <w:pPr>
              <w:widowControl/>
              <w:ind w:firstLineChars="0"/>
              <w:rPr>
                <w:rFonts w:hint="eastAsia"/>
                <w:lang w:val="en-US" w:eastAsia="zh-CN"/>
              </w:rPr>
            </w:pPr>
            <w:r>
              <w:rPr>
                <w:rFonts w:hint="eastAsia"/>
                <w:lang w:val="en-US" w:eastAsia="zh-CN"/>
              </w:rPr>
              <w:t>董事会秘书：刘俊鹏</w:t>
            </w:r>
          </w:p>
          <w:p w14:paraId="2709FD30">
            <w:pPr>
              <w:widowControl/>
              <w:ind w:firstLineChars="0"/>
              <w:rPr>
                <w:rFonts w:hint="default"/>
                <w:lang w:val="en-US" w:eastAsia="zh-CN"/>
              </w:rPr>
            </w:pPr>
            <w:r>
              <w:rPr>
                <w:rFonts w:hint="eastAsia"/>
                <w:lang w:val="en-US" w:eastAsia="zh-CN"/>
              </w:rPr>
              <w:t>证券事务代表：韩美月</w:t>
            </w:r>
          </w:p>
        </w:tc>
      </w:tr>
      <w:tr w14:paraId="3456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9" w:hRule="atLeast"/>
        </w:trPr>
        <w:tc>
          <w:tcPr>
            <w:tcW w:w="2756" w:type="dxa"/>
            <w:vAlign w:val="center"/>
          </w:tcPr>
          <w:p w14:paraId="3E4E87D0">
            <w:pPr>
              <w:widowControl/>
              <w:jc w:val="center"/>
              <w:rPr>
                <w:rFonts w:ascii="宋体" w:hAnsi="宋体" w:eastAsia="宋体" w:cs="宋体"/>
                <w:b/>
                <w:bCs/>
                <w:kern w:val="0"/>
                <w:sz w:val="22"/>
              </w:rPr>
            </w:pPr>
            <w:r>
              <w:rPr>
                <w:rFonts w:hint="eastAsia" w:ascii="宋体" w:hAnsi="宋体" w:eastAsia="宋体" w:cs="宋体"/>
                <w:kern w:val="0"/>
                <w:sz w:val="22"/>
              </w:rPr>
              <w:t>投资者关系活动主要内容介绍</w:t>
            </w:r>
          </w:p>
        </w:tc>
        <w:tc>
          <w:tcPr>
            <w:tcW w:w="5800" w:type="dxa"/>
            <w:vAlign w:val="top"/>
          </w:tcPr>
          <w:p w14:paraId="3D30BD58">
            <w:pPr>
              <w:pStyle w:val="3"/>
              <w:numPr>
                <w:ilvl w:val="0"/>
                <w:numId w:val="2"/>
              </w:numPr>
              <w:ind w:firstLine="422" w:firstLineChars="200"/>
              <w:rPr>
                <w:rFonts w:hint="eastAsia"/>
                <w:b/>
                <w:bCs/>
                <w:lang w:val="en-US" w:eastAsia="zh-CN"/>
              </w:rPr>
            </w:pPr>
            <w:r>
              <w:rPr>
                <w:rFonts w:hint="eastAsia"/>
                <w:b/>
                <w:bCs/>
                <w:szCs w:val="21"/>
                <w:lang w:val="en-US" w:eastAsia="zh-CN"/>
              </w:rPr>
              <w:t>2024年第三季度主要财务数据情况</w:t>
            </w:r>
            <w:r>
              <w:rPr>
                <w:rFonts w:hint="eastAsia"/>
                <w:b/>
                <w:bCs/>
                <w:lang w:val="en-US" w:eastAsia="zh-CN"/>
              </w:rPr>
              <w:t>？</w:t>
            </w:r>
          </w:p>
          <w:p w14:paraId="5F679748">
            <w:pPr>
              <w:pStyle w:val="3"/>
              <w:numPr>
                <w:ilvl w:val="-1"/>
                <w:numId w:val="0"/>
              </w:numPr>
              <w:ind w:firstLine="420" w:firstLineChars="200"/>
              <w:rPr>
                <w:rFonts w:hint="eastAsia"/>
                <w:sz w:val="21"/>
                <w:szCs w:val="21"/>
              </w:rPr>
            </w:pPr>
            <w:r>
              <w:rPr>
                <w:rFonts w:hint="eastAsia"/>
                <w:sz w:val="21"/>
                <w:szCs w:val="21"/>
              </w:rPr>
              <w:t>公司第三季度实现营业收入24,183.86万元，同比增长29.69%。1-9月实现营业收入67,598.90万元,同比增长20.08%。其中，电力业务实现主营业务收入61,204.61万元，同比增长14.06%；水利业务实现主营业务收入2,016.46万元，同比增长32.20%；轨道交通业务实现主营业务收入4,184.27万元，同比增长283.73%。</w:t>
            </w:r>
          </w:p>
          <w:p w14:paraId="398FB6B4">
            <w:pPr>
              <w:pStyle w:val="3"/>
              <w:numPr>
                <w:ilvl w:val="-1"/>
                <w:numId w:val="0"/>
              </w:numPr>
              <w:ind w:firstLine="420" w:firstLineChars="200"/>
              <w:rPr>
                <w:rFonts w:hint="eastAsia"/>
                <w:sz w:val="21"/>
                <w:szCs w:val="21"/>
              </w:rPr>
            </w:pPr>
            <w:r>
              <w:rPr>
                <w:rFonts w:hint="eastAsia"/>
                <w:sz w:val="21"/>
                <w:szCs w:val="21"/>
              </w:rPr>
              <w:t>公司第三季度归属于上市公司股东的净利润为1,142.24万元，较去年同期增长19.80%。1-9月归属于上市公司股东的净利润为3,676.32万元，较去年同期增长10.92%。</w:t>
            </w:r>
          </w:p>
          <w:p w14:paraId="2703F6FE">
            <w:pPr>
              <w:pStyle w:val="3"/>
              <w:numPr>
                <w:ilvl w:val="-1"/>
                <w:numId w:val="0"/>
              </w:numPr>
              <w:ind w:firstLine="420" w:firstLineChars="200"/>
              <w:rPr>
                <w:rFonts w:hint="eastAsia"/>
                <w:sz w:val="21"/>
                <w:szCs w:val="21"/>
              </w:rPr>
            </w:pPr>
            <w:r>
              <w:rPr>
                <w:rFonts w:hint="eastAsia"/>
                <w:sz w:val="21"/>
                <w:szCs w:val="21"/>
              </w:rPr>
              <w:t>1-9月，公司因股权激励计提股份支付共计1,584.89万元，较去年同期1,181.27万元增加403.62万元。</w:t>
            </w:r>
          </w:p>
          <w:p w14:paraId="040E88C8">
            <w:pPr>
              <w:pStyle w:val="3"/>
              <w:keepNext w:val="0"/>
              <w:keepLines w:val="0"/>
              <w:pageBreakBefore w:val="0"/>
              <w:widowControl w:val="0"/>
              <w:numPr>
                <w:ilvl w:val="0"/>
                <w:numId w:val="0"/>
              </w:numPr>
              <w:kinsoku/>
              <w:wordWrap/>
              <w:overflowPunct/>
              <w:topLinePunct w:val="0"/>
              <w:autoSpaceDN/>
              <w:bidi w:val="0"/>
              <w:ind w:leftChars="0" w:firstLine="422" w:firstLineChars="200"/>
              <w:jc w:val="left"/>
              <w:textAlignment w:val="auto"/>
              <w:rPr>
                <w:rFonts w:hint="eastAsia"/>
                <w:szCs w:val="21"/>
              </w:rPr>
            </w:pPr>
            <w:r>
              <w:rPr>
                <w:rFonts w:hint="eastAsia"/>
                <w:b/>
                <w:bCs/>
                <w:szCs w:val="21"/>
                <w:lang w:val="en-US" w:eastAsia="zh-CN"/>
              </w:rPr>
              <w:t>2、</w:t>
            </w:r>
            <w:r>
              <w:rPr>
                <w:rFonts w:hint="eastAsia"/>
                <w:b/>
                <w:bCs/>
                <w:szCs w:val="21"/>
              </w:rPr>
              <w:t>公司</w:t>
            </w:r>
            <w:r>
              <w:rPr>
                <w:rFonts w:hint="eastAsia"/>
                <w:b/>
                <w:bCs/>
                <w:szCs w:val="21"/>
                <w:lang w:val="en-US" w:eastAsia="zh-CN"/>
              </w:rPr>
              <w:t>与鸿蒙合作的进展情况</w:t>
            </w:r>
            <w:r>
              <w:rPr>
                <w:rFonts w:hint="eastAsia"/>
                <w:b/>
                <w:bCs/>
                <w:szCs w:val="21"/>
              </w:rPr>
              <w:t>？</w:t>
            </w:r>
          </w:p>
          <w:p w14:paraId="5BBE2CA2">
            <w:pPr>
              <w:pStyle w:val="3"/>
              <w:keepNext w:val="0"/>
              <w:keepLines w:val="0"/>
              <w:widowControl w:val="0"/>
              <w:suppressLineNumbers w:val="0"/>
              <w:autoSpaceDE w:val="0"/>
              <w:autoSpaceDN/>
              <w:ind w:left="0" w:firstLine="420" w:firstLineChars="200"/>
              <w:jc w:val="left"/>
              <w:rPr>
                <w:rFonts w:hint="default" w:ascii="Calibri" w:hAnsi="Calibri" w:eastAsia="宋体" w:cs="Times New Roman"/>
                <w:kern w:val="2"/>
                <w:sz w:val="21"/>
                <w:szCs w:val="21"/>
              </w:rPr>
            </w:pPr>
            <w:r>
              <w:t>2024年4月，智洋创新与鸿蒙生态服务（深圳）有限公司达成战略合作，成为鸿蒙生态服务公司电力智能运维领域的首家合作伙伴。目前，公司自主研发的“图像视频监测装置(AI球机)设备”及“图像视频监测装置(枪机)设备”，已通过开放原子基金会OpenHarmony兼容性工作组的XTS测试认证，成功实现鸿蒙操作系统在智能可视化巡检终端上的移植与应用。2024年6月，公司在2024年华为开发者大会上荣获鸿蒙生态先锋伙伴奖。</w:t>
            </w:r>
            <w:r>
              <w:rPr>
                <w:rFonts w:hint="default" w:ascii="Calibri" w:hAnsi="Calibri" w:eastAsia="宋体" w:cs="Calibri"/>
                <w:kern w:val="2"/>
                <w:sz w:val="21"/>
                <w:szCs w:val="21"/>
              </w:rPr>
              <w:t>2024</w:t>
            </w:r>
            <w:r>
              <w:rPr>
                <w:rFonts w:hint="eastAsia" w:ascii="宋体" w:hAnsi="宋体" w:eastAsia="宋体" w:cs="宋体"/>
                <w:kern w:val="2"/>
                <w:sz w:val="21"/>
                <w:szCs w:val="21"/>
              </w:rPr>
              <w:t>年</w:t>
            </w:r>
            <w:r>
              <w:rPr>
                <w:rFonts w:hint="default" w:ascii="Calibri" w:hAnsi="Calibri" w:eastAsia="宋体" w:cs="Calibri"/>
                <w:kern w:val="2"/>
                <w:sz w:val="21"/>
                <w:szCs w:val="21"/>
              </w:rPr>
              <w:t>8</w:t>
            </w:r>
            <w:r>
              <w:rPr>
                <w:rFonts w:hint="eastAsia" w:ascii="宋体" w:hAnsi="宋体" w:eastAsia="宋体" w:cs="宋体"/>
                <w:kern w:val="2"/>
                <w:sz w:val="21"/>
                <w:szCs w:val="21"/>
              </w:rPr>
              <w:t>月，公司受邀出席</w:t>
            </w:r>
            <w:r>
              <w:rPr>
                <w:rFonts w:hint="default" w:ascii="Calibri" w:hAnsi="Calibri" w:eastAsia="宋体" w:cs="Calibri"/>
                <w:kern w:val="2"/>
                <w:sz w:val="21"/>
                <w:szCs w:val="21"/>
              </w:rPr>
              <w:t>2024</w:t>
            </w:r>
            <w:r>
              <w:rPr>
                <w:rFonts w:hint="eastAsia" w:ascii="宋体" w:hAnsi="宋体" w:eastAsia="宋体" w:cs="宋体"/>
                <w:kern w:val="2"/>
                <w:sz w:val="21"/>
                <w:szCs w:val="21"/>
              </w:rPr>
              <w:t>中国国际大数据产业博览会，全方位的呈现了电鸿物联操作系统在输电领域的创新应用成果，并发表《鸿蒙技术在输电智能运维领域的应用》的演讲。</w:t>
            </w:r>
          </w:p>
          <w:p w14:paraId="53C40DA3">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rPr>
            </w:pPr>
            <w:r>
              <w:rPr>
                <w:rFonts w:hint="eastAsia"/>
              </w:rPr>
              <w:t>未来，公司</w:t>
            </w:r>
            <w:r>
              <w:rPr>
                <w:rFonts w:hint="eastAsia"/>
                <w:lang w:val="en-US" w:eastAsia="zh-CN"/>
              </w:rPr>
              <w:t>将</w:t>
            </w:r>
            <w:r>
              <w:rPr>
                <w:rFonts w:hint="eastAsia"/>
              </w:rPr>
              <w:t>积极推</w:t>
            </w:r>
            <w:r>
              <w:rPr>
                <w:rFonts w:hint="eastAsia"/>
                <w:lang w:val="en-US" w:eastAsia="zh-CN"/>
              </w:rPr>
              <w:t>动</w:t>
            </w:r>
            <w:r>
              <w:rPr>
                <w:rFonts w:hint="eastAsia"/>
              </w:rPr>
              <w:t>同鸿蒙生态服务公司的战略合作，以及在电力智能运维领域的应用和推进。</w:t>
            </w:r>
          </w:p>
          <w:p w14:paraId="2FB18880">
            <w:pPr>
              <w:pStyle w:val="3"/>
              <w:numPr>
                <w:ilvl w:val="-1"/>
                <w:numId w:val="0"/>
              </w:numPr>
              <w:ind w:firstLine="422" w:firstLineChars="200"/>
              <w:rPr>
                <w:rFonts w:hint="eastAsia"/>
                <w:b/>
                <w:bCs/>
                <w:szCs w:val="21"/>
              </w:rPr>
            </w:pPr>
            <w:r>
              <w:rPr>
                <w:rFonts w:hint="eastAsia"/>
                <w:b/>
                <w:bCs/>
                <w:szCs w:val="21"/>
              </w:rPr>
              <w:t>3、公司轨道方面的业务开展情况？</w:t>
            </w:r>
          </w:p>
          <w:p w14:paraId="1E47EFC9">
            <w:pPr>
              <w:pStyle w:val="3"/>
              <w:numPr>
                <w:ilvl w:val="-1"/>
                <w:numId w:val="0"/>
              </w:numPr>
              <w:ind w:firstLine="420" w:firstLineChars="200"/>
              <w:rPr>
                <w:rFonts w:hint="eastAsia"/>
                <w:szCs w:val="21"/>
              </w:rPr>
            </w:pPr>
            <w:r>
              <w:rPr>
                <w:rFonts w:hint="eastAsia"/>
                <w:szCs w:val="21"/>
              </w:rPr>
              <w:t>公司研发的轨道交通智能运维解决方案可应用于铁路线路安全环境管控、配电所智能运维、货运列车装载状态监控等场景，通过对上述场景的多维数据采集和AI智能分析，为客户提供智能化的运维解决方案，保障了铁路系统安全运行并提高了运维效率。</w:t>
            </w:r>
          </w:p>
          <w:p w14:paraId="51ADDAF1">
            <w:pPr>
              <w:pStyle w:val="3"/>
              <w:numPr>
                <w:ilvl w:val="-1"/>
                <w:numId w:val="0"/>
              </w:numPr>
              <w:ind w:firstLine="420" w:firstLineChars="200"/>
              <w:rPr>
                <w:rFonts w:hint="eastAsia"/>
                <w:szCs w:val="21"/>
                <w:lang w:eastAsia="zh-CN"/>
              </w:rPr>
            </w:pPr>
            <w:r>
              <w:rPr>
                <w:rFonts w:hint="eastAsia"/>
                <w:szCs w:val="21"/>
              </w:rPr>
              <w:t>2022年公司产品成功上线国铁商城，并完成沈阳局、上海局线上项目签订工作。2022年2月，中国中铁电气化局集团有限公司公布2022年度物资合格供应商名录，公司成功入围</w:t>
            </w:r>
            <w:r>
              <w:rPr>
                <w:rFonts w:hint="eastAsia"/>
                <w:szCs w:val="21"/>
                <w:lang w:eastAsia="zh-CN"/>
              </w:rPr>
              <w:t>。</w:t>
            </w:r>
            <w:r>
              <w:rPr>
                <w:rFonts w:hint="eastAsia"/>
                <w:szCs w:val="21"/>
              </w:rPr>
              <w:t>2022年公司参与贵南高铁“基于多维度和AI可视化的智能安防系统”课题，整体通过课题评审，占据市场先发优势。2023年公司参与国铁集团“线路安全环境管控平台”课题，在多次评比测试中处于领先水平，人工智能技术在铁路行业的落地应用得到逐步推进。在人工智能技术应用方面，公司具有较为深厚的技术底座，以及产品工程化的能力。在线路巡防领域公司将依托深厚的技术基础、有效的数据资源、AI产品开发能力，深挖客户需求，持续不断的为客户提供优质的产品和解决方案。公司与国铁集团保持密切沟通，积极推进工务段巡防领域的业务布局</w:t>
            </w:r>
            <w:r>
              <w:rPr>
                <w:rFonts w:hint="eastAsia"/>
                <w:szCs w:val="21"/>
                <w:lang w:eastAsia="zh-CN"/>
              </w:rPr>
              <w:t>，</w:t>
            </w:r>
            <w:r>
              <w:rPr>
                <w:rFonts w:hint="eastAsia"/>
                <w:szCs w:val="21"/>
                <w:lang w:val="en-US" w:eastAsia="zh-CN"/>
              </w:rPr>
              <w:t>目前</w:t>
            </w:r>
            <w:r>
              <w:rPr>
                <w:rFonts w:hint="eastAsia"/>
                <w:szCs w:val="21"/>
              </w:rPr>
              <w:t>公司产品已经在全国18个铁路局进行试点应用，并已中标南宁、乌鲁木齐、济南、呼和浩特、西安、广州等多个路局的项目</w:t>
            </w:r>
            <w:r>
              <w:rPr>
                <w:rFonts w:hint="eastAsia"/>
                <w:szCs w:val="21"/>
                <w:lang w:eastAsia="zh-CN"/>
              </w:rPr>
              <w:t>。</w:t>
            </w:r>
          </w:p>
          <w:p w14:paraId="4F1CD6AB">
            <w:pPr>
              <w:pStyle w:val="3"/>
              <w:numPr>
                <w:ilvl w:val="0"/>
                <w:numId w:val="0"/>
              </w:numPr>
              <w:ind w:firstLine="422" w:firstLineChars="200"/>
              <w:rPr>
                <w:rFonts w:hint="eastAsia"/>
                <w:b/>
                <w:bCs/>
                <w:color w:val="auto"/>
                <w:lang w:val="en-US" w:eastAsia="zh-CN"/>
              </w:rPr>
            </w:pPr>
            <w:r>
              <w:rPr>
                <w:rFonts w:hint="eastAsia"/>
                <w:b/>
                <w:bCs/>
                <w:color w:val="auto"/>
                <w:lang w:val="en-US" w:eastAsia="zh-CN"/>
              </w:rPr>
              <w:t>4、新领域拓展的底层技术复用性？</w:t>
            </w:r>
          </w:p>
          <w:p w14:paraId="35F3244D">
            <w:pPr>
              <w:pStyle w:val="3"/>
              <w:numPr>
                <w:ilvl w:val="-1"/>
                <w:numId w:val="0"/>
              </w:numPr>
              <w:ind w:firstLine="420" w:firstLineChars="200"/>
              <w:rPr>
                <w:rFonts w:hint="eastAsia"/>
                <w:b w:val="0"/>
                <w:bCs w:val="0"/>
                <w:color w:val="auto"/>
                <w:lang w:val="en-US" w:eastAsia="zh-CN"/>
              </w:rPr>
            </w:pPr>
            <w:r>
              <w:rPr>
                <w:rFonts w:hint="eastAsia"/>
                <w:b w:val="0"/>
                <w:bCs w:val="0"/>
                <w:color w:val="auto"/>
                <w:lang w:val="en-US" w:eastAsia="zh-CN"/>
              </w:rPr>
              <w:t>公司主要业务聚焦于行业智能运维领域，其产品方案在底层技术上是具备复用性，公司目前拓展的业务领域都属于国家重要基础设施建设领域，对巡检效率及安全稳定运行具有较高的要求，在原有技术基础上，公司会根据行业的场景和要求的不同对产品方案进行改进、适配和研发。</w:t>
            </w:r>
          </w:p>
          <w:p w14:paraId="2261279E">
            <w:pPr>
              <w:pStyle w:val="3"/>
              <w:keepNext w:val="0"/>
              <w:keepLines w:val="0"/>
              <w:pageBreakBefore w:val="0"/>
              <w:widowControl w:val="0"/>
              <w:numPr>
                <w:ilvl w:val="0"/>
                <w:numId w:val="0"/>
              </w:numPr>
              <w:kinsoku/>
              <w:wordWrap/>
              <w:overflowPunct/>
              <w:topLinePunct w:val="0"/>
              <w:autoSpaceDN/>
              <w:bidi w:val="0"/>
              <w:ind w:leftChars="0" w:firstLine="422" w:firstLineChars="200"/>
              <w:jc w:val="left"/>
              <w:textAlignment w:val="auto"/>
              <w:rPr>
                <w:rFonts w:hint="eastAsia"/>
                <w:szCs w:val="21"/>
              </w:rPr>
            </w:pPr>
            <w:r>
              <w:rPr>
                <w:rFonts w:hint="eastAsia"/>
                <w:b/>
                <w:bCs/>
                <w:szCs w:val="21"/>
                <w:lang w:val="en-US" w:eastAsia="zh-CN"/>
              </w:rPr>
              <w:t>5、</w:t>
            </w:r>
            <w:r>
              <w:rPr>
                <w:rFonts w:hint="eastAsia"/>
                <w:b/>
                <w:bCs/>
                <w:szCs w:val="21"/>
              </w:rPr>
              <w:t>公司与华为的合作情况？</w:t>
            </w:r>
          </w:p>
          <w:p w14:paraId="5BBBFC73">
            <w:pPr>
              <w:pStyle w:val="3"/>
              <w:keepNext w:val="0"/>
              <w:keepLines w:val="0"/>
              <w:pageBreakBefore w:val="0"/>
              <w:widowControl w:val="0"/>
              <w:numPr>
                <w:ilvl w:val="0"/>
                <w:numId w:val="0"/>
              </w:numPr>
              <w:kinsoku/>
              <w:wordWrap/>
              <w:overflowPunct/>
              <w:topLinePunct w:val="0"/>
              <w:autoSpaceDN/>
              <w:bidi w:val="0"/>
              <w:ind w:leftChars="0" w:firstLine="420" w:firstLineChars="200"/>
              <w:jc w:val="left"/>
              <w:textAlignment w:val="auto"/>
              <w:rPr>
                <w:rFonts w:hint="eastAsia"/>
                <w:szCs w:val="21"/>
              </w:rPr>
            </w:pPr>
            <w:r>
              <w:rPr>
                <w:rFonts w:hint="eastAsia"/>
                <w:szCs w:val="21"/>
              </w:rPr>
              <w:t>2019年，公司与华为推出了电力场景AI应用联合解决方案，公司部分产品搭载了华为Atlas200 AI加速模块，实现了该加速模块在电力行业的落地应用。同年，公司获得“2019华为开发者大赛Atlas赛道（商业组）”一等奖；2021年7月，作为华为昇腾生态体系的战略合作伙伴之一，公司受邀参加了2021世界人工智能大会（WAIC）昇腾人工智能高峰论坛。2022年6月，智洋创新与华为签署合作协议，正式加入昇腾万里合</w:t>
            </w:r>
          </w:p>
          <w:p w14:paraId="5C62064C">
            <w:pPr>
              <w:pStyle w:val="3"/>
              <w:keepNext w:val="0"/>
              <w:keepLines w:val="0"/>
              <w:pageBreakBefore w:val="0"/>
              <w:widowControl w:val="0"/>
              <w:numPr>
                <w:ilvl w:val="-1"/>
                <w:numId w:val="0"/>
              </w:numPr>
              <w:kinsoku/>
              <w:wordWrap/>
              <w:overflowPunct/>
              <w:topLinePunct w:val="0"/>
              <w:autoSpaceDN/>
              <w:bidi w:val="0"/>
              <w:ind w:firstLine="0"/>
              <w:jc w:val="left"/>
              <w:textAlignment w:val="auto"/>
              <w:rPr>
                <w:rFonts w:hint="eastAsia"/>
                <w:szCs w:val="21"/>
              </w:rPr>
            </w:pPr>
            <w:r>
              <w:rPr>
                <w:rFonts w:hint="eastAsia"/>
                <w:szCs w:val="21"/>
              </w:rPr>
              <w:t>作伙伴计划。2023年，公司成为华为昇腾万里伙伴计划优选级应用软件伙伴，同年9月，公司参加了华为全联接大会。</w:t>
            </w:r>
          </w:p>
          <w:p w14:paraId="29D109E7">
            <w:pPr>
              <w:pStyle w:val="3"/>
              <w:keepNext w:val="0"/>
              <w:keepLines w:val="0"/>
              <w:pageBreakBefore w:val="0"/>
              <w:widowControl w:val="0"/>
              <w:numPr>
                <w:ilvl w:val="-1"/>
                <w:numId w:val="0"/>
              </w:numPr>
              <w:kinsoku/>
              <w:wordWrap/>
              <w:overflowPunct/>
              <w:topLinePunct w:val="0"/>
              <w:autoSpaceDN/>
              <w:bidi w:val="0"/>
              <w:ind w:firstLine="420" w:firstLineChars="200"/>
              <w:jc w:val="left"/>
              <w:textAlignment w:val="auto"/>
              <w:rPr>
                <w:rFonts w:hint="eastAsia"/>
                <w:szCs w:val="21"/>
                <w:lang w:val="en-US" w:eastAsia="zh-CN"/>
              </w:rPr>
            </w:pPr>
            <w:r>
              <w:rPr>
                <w:rFonts w:hint="eastAsia"/>
                <w:szCs w:val="21"/>
                <w:lang w:val="en-US" w:eastAsia="zh-CN"/>
              </w:rPr>
              <w:t>2024年7月，在2024世界人工智能大会上，公司携手华为昇腾发布了《基于昇腾的变电站远程智能巡视方案》。</w:t>
            </w:r>
          </w:p>
          <w:p w14:paraId="311C8EE7">
            <w:pPr>
              <w:pStyle w:val="3"/>
              <w:keepNext w:val="0"/>
              <w:keepLines w:val="0"/>
              <w:pageBreakBefore w:val="0"/>
              <w:widowControl w:val="0"/>
              <w:numPr>
                <w:ilvl w:val="0"/>
                <w:numId w:val="0"/>
              </w:numPr>
              <w:kinsoku/>
              <w:wordWrap/>
              <w:overflowPunct/>
              <w:topLinePunct w:val="0"/>
              <w:autoSpaceDN/>
              <w:bidi w:val="0"/>
              <w:ind w:firstLine="420" w:firstLineChars="200"/>
              <w:jc w:val="left"/>
              <w:textAlignment w:val="auto"/>
              <w:rPr>
                <w:rFonts w:hint="eastAsia" w:eastAsia="宋体" w:cs="Times New Roman"/>
                <w:szCs w:val="21"/>
                <w:lang w:val="en-US" w:eastAsia="zh-CN"/>
              </w:rPr>
            </w:pPr>
            <w:bookmarkStart w:id="0" w:name="_GoBack"/>
            <w:r>
              <w:rPr>
                <w:rFonts w:hint="eastAsia" w:eastAsia="宋体" w:cs="Times New Roman"/>
                <w:szCs w:val="21"/>
                <w:lang w:val="en-US" w:eastAsia="zh-CN"/>
              </w:rPr>
              <w:t>2024年10月，山东省昇腾人工智能产业峰会上发布</w:t>
            </w:r>
            <w:r>
              <w:rPr>
                <w:rFonts w:hint="eastAsia" w:ascii="Calibri" w:hAnsi="Calibri" w:eastAsia="宋体" w:cs="Times New Roman"/>
                <w:sz w:val="21"/>
                <w:szCs w:val="21"/>
              </w:rPr>
              <w:t>9个昇腾原生大模型</w:t>
            </w:r>
            <w:r>
              <w:rPr>
                <w:rFonts w:hint="eastAsia" w:eastAsia="宋体" w:cs="Times New Roman"/>
                <w:szCs w:val="21"/>
                <w:lang w:val="en-US" w:eastAsia="zh-CN"/>
              </w:rPr>
              <w:t>，公司“电语大模型”位列其中；并</w:t>
            </w:r>
            <w:r>
              <w:rPr>
                <w:rFonts w:hint="eastAsia" w:eastAsia="宋体" w:cs="Times New Roman"/>
                <w:szCs w:val="21"/>
              </w:rPr>
              <w:t>摘得</w:t>
            </w:r>
            <w:r>
              <w:rPr>
                <w:rFonts w:hint="eastAsia" w:eastAsia="宋体" w:cs="Times New Roman"/>
                <w:szCs w:val="21"/>
                <w:lang w:val="en-US" w:eastAsia="zh-CN"/>
              </w:rPr>
              <w:t>昇腾</w:t>
            </w:r>
            <w:r>
              <w:rPr>
                <w:rFonts w:hint="eastAsia" w:eastAsia="宋体" w:cs="Times New Roman"/>
                <w:szCs w:val="21"/>
              </w:rPr>
              <w:t>ai创新大赛济南赛区金奖</w:t>
            </w:r>
            <w:r>
              <w:rPr>
                <w:rFonts w:hint="eastAsia" w:eastAsia="宋体" w:cs="Times New Roman"/>
                <w:szCs w:val="21"/>
                <w:lang w:val="en-US" w:eastAsia="zh-CN"/>
              </w:rPr>
              <w:t>。</w:t>
            </w:r>
          </w:p>
          <w:bookmarkEnd w:id="0"/>
          <w:p w14:paraId="2C9C72C6">
            <w:pPr>
              <w:pStyle w:val="3"/>
              <w:numPr>
                <w:ilvl w:val="-1"/>
                <w:numId w:val="0"/>
              </w:numPr>
              <w:ind w:firstLine="0" w:firstLineChars="0"/>
              <w:rPr>
                <w:rFonts w:hint="eastAsia"/>
                <w:b w:val="0"/>
                <w:bCs w:val="0"/>
                <w:color w:val="auto"/>
                <w:lang w:val="en-US" w:eastAsia="zh-CN"/>
              </w:rPr>
            </w:pPr>
          </w:p>
        </w:tc>
      </w:tr>
      <w:tr w14:paraId="5F79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756" w:type="dxa"/>
            <w:vAlign w:val="center"/>
          </w:tcPr>
          <w:p w14:paraId="144FFB76">
            <w:pPr>
              <w:widowControl/>
              <w:jc w:val="center"/>
              <w:rPr>
                <w:rFonts w:ascii="宋体" w:hAnsi="宋体" w:eastAsia="宋体" w:cs="宋体"/>
                <w:kern w:val="0"/>
                <w:sz w:val="22"/>
              </w:rPr>
            </w:pPr>
            <w:r>
              <w:rPr>
                <w:rFonts w:hint="eastAsia" w:ascii="宋体" w:hAnsi="宋体" w:eastAsia="宋体" w:cs="宋体"/>
                <w:color w:val="000000"/>
                <w:kern w:val="0"/>
                <w:sz w:val="22"/>
              </w:rPr>
              <w:t>附件清单（如有）</w:t>
            </w:r>
          </w:p>
        </w:tc>
        <w:tc>
          <w:tcPr>
            <w:tcW w:w="5800" w:type="dxa"/>
            <w:vAlign w:val="center"/>
          </w:tcPr>
          <w:p w14:paraId="73E9FEB2">
            <w:pPr>
              <w:widowControl/>
              <w:jc w:val="left"/>
              <w:rPr>
                <w:rFonts w:ascii="宋体" w:hAnsi="宋体" w:eastAsia="宋体" w:cs="宋体"/>
                <w:kern w:val="0"/>
                <w:sz w:val="22"/>
              </w:rPr>
            </w:pPr>
            <w:r>
              <w:rPr>
                <w:rFonts w:hint="eastAsia" w:ascii="宋体" w:hAnsi="宋体" w:eastAsia="宋体" w:cs="宋体"/>
                <w:color w:val="000000"/>
                <w:kern w:val="0"/>
                <w:sz w:val="22"/>
              </w:rPr>
              <w:t>无</w:t>
            </w:r>
          </w:p>
        </w:tc>
      </w:tr>
    </w:tbl>
    <w:p w14:paraId="16B8FC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7A715"/>
    <w:multiLevelType w:val="singleLevel"/>
    <w:tmpl w:val="EA07A715"/>
    <w:lvl w:ilvl="0" w:tentative="0">
      <w:start w:val="1"/>
      <w:numFmt w:val="decimal"/>
      <w:suff w:val="nothing"/>
      <w:lvlText w:val="%1、"/>
      <w:lvlJc w:val="left"/>
    </w:lvl>
  </w:abstractNum>
  <w:abstractNum w:abstractNumId="1">
    <w:nsid w:val="151BEA66"/>
    <w:multiLevelType w:val="singleLevel"/>
    <w:tmpl w:val="151BEA6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MWZjMDQ1MWU4NDFkMTRlODc2MzY4OGE5MTgwZWMifQ=="/>
  </w:docVars>
  <w:rsids>
    <w:rsidRoot w:val="00172A27"/>
    <w:rsid w:val="00437DB0"/>
    <w:rsid w:val="007963DE"/>
    <w:rsid w:val="009F2CF0"/>
    <w:rsid w:val="00C20653"/>
    <w:rsid w:val="010A1B1D"/>
    <w:rsid w:val="013F35C7"/>
    <w:rsid w:val="016F222E"/>
    <w:rsid w:val="021D3B2B"/>
    <w:rsid w:val="02210598"/>
    <w:rsid w:val="02227CFD"/>
    <w:rsid w:val="02701533"/>
    <w:rsid w:val="02B13BC6"/>
    <w:rsid w:val="02C72BF4"/>
    <w:rsid w:val="03463684"/>
    <w:rsid w:val="03A26EFC"/>
    <w:rsid w:val="03DE5572"/>
    <w:rsid w:val="03F01827"/>
    <w:rsid w:val="03FE37A0"/>
    <w:rsid w:val="04E00A6D"/>
    <w:rsid w:val="04F05A45"/>
    <w:rsid w:val="05435F87"/>
    <w:rsid w:val="05437A4D"/>
    <w:rsid w:val="059D36F5"/>
    <w:rsid w:val="05D26539"/>
    <w:rsid w:val="05D9297D"/>
    <w:rsid w:val="05EB486B"/>
    <w:rsid w:val="06270600"/>
    <w:rsid w:val="07097292"/>
    <w:rsid w:val="07460ABA"/>
    <w:rsid w:val="078F6F30"/>
    <w:rsid w:val="07A27123"/>
    <w:rsid w:val="07AC7BD4"/>
    <w:rsid w:val="07C7513E"/>
    <w:rsid w:val="08616FEA"/>
    <w:rsid w:val="08EE736F"/>
    <w:rsid w:val="08F62613"/>
    <w:rsid w:val="08F874F0"/>
    <w:rsid w:val="09094DDA"/>
    <w:rsid w:val="09632933"/>
    <w:rsid w:val="097F1A8E"/>
    <w:rsid w:val="0A0D68E9"/>
    <w:rsid w:val="0A1107B2"/>
    <w:rsid w:val="0A44176F"/>
    <w:rsid w:val="0A4B061F"/>
    <w:rsid w:val="0A6646D7"/>
    <w:rsid w:val="0AC20E80"/>
    <w:rsid w:val="0ACA197F"/>
    <w:rsid w:val="0ACC7133"/>
    <w:rsid w:val="0AFE299F"/>
    <w:rsid w:val="0B585547"/>
    <w:rsid w:val="0B64383C"/>
    <w:rsid w:val="0BB3573E"/>
    <w:rsid w:val="0BD62C31"/>
    <w:rsid w:val="0CDC5604"/>
    <w:rsid w:val="0D016360"/>
    <w:rsid w:val="0DD341C2"/>
    <w:rsid w:val="0DDA0D2C"/>
    <w:rsid w:val="0E2C57A1"/>
    <w:rsid w:val="0E636C57"/>
    <w:rsid w:val="0EC87A33"/>
    <w:rsid w:val="0ED924BE"/>
    <w:rsid w:val="0ED96309"/>
    <w:rsid w:val="0EE91861"/>
    <w:rsid w:val="0EEE3020"/>
    <w:rsid w:val="0F036997"/>
    <w:rsid w:val="0F503A5A"/>
    <w:rsid w:val="0F5572A5"/>
    <w:rsid w:val="0F5727DE"/>
    <w:rsid w:val="0F9A02BF"/>
    <w:rsid w:val="0FAB3DE0"/>
    <w:rsid w:val="102A7E2E"/>
    <w:rsid w:val="108175CA"/>
    <w:rsid w:val="109816DF"/>
    <w:rsid w:val="10FF4C3C"/>
    <w:rsid w:val="11211562"/>
    <w:rsid w:val="112655BB"/>
    <w:rsid w:val="11332717"/>
    <w:rsid w:val="114C4F30"/>
    <w:rsid w:val="11DE7013"/>
    <w:rsid w:val="12093BAD"/>
    <w:rsid w:val="121811C9"/>
    <w:rsid w:val="12C05415"/>
    <w:rsid w:val="13032866"/>
    <w:rsid w:val="131A369D"/>
    <w:rsid w:val="136705BC"/>
    <w:rsid w:val="141166AC"/>
    <w:rsid w:val="14211F49"/>
    <w:rsid w:val="15160683"/>
    <w:rsid w:val="15417794"/>
    <w:rsid w:val="156144BC"/>
    <w:rsid w:val="1642631D"/>
    <w:rsid w:val="16612B9C"/>
    <w:rsid w:val="169F72CB"/>
    <w:rsid w:val="16BE1E47"/>
    <w:rsid w:val="177253C0"/>
    <w:rsid w:val="17DF6058"/>
    <w:rsid w:val="17ED46D0"/>
    <w:rsid w:val="182B7D2A"/>
    <w:rsid w:val="184B797D"/>
    <w:rsid w:val="18666660"/>
    <w:rsid w:val="18895C11"/>
    <w:rsid w:val="18AC0339"/>
    <w:rsid w:val="18C24271"/>
    <w:rsid w:val="19024334"/>
    <w:rsid w:val="19D4595C"/>
    <w:rsid w:val="1A123269"/>
    <w:rsid w:val="1A533D8C"/>
    <w:rsid w:val="1A981ABF"/>
    <w:rsid w:val="1AA0263F"/>
    <w:rsid w:val="1AAA2915"/>
    <w:rsid w:val="1B364D60"/>
    <w:rsid w:val="1B4D3645"/>
    <w:rsid w:val="1B7D37E0"/>
    <w:rsid w:val="1BBB78FF"/>
    <w:rsid w:val="1BCE6400"/>
    <w:rsid w:val="1BEA5FCD"/>
    <w:rsid w:val="1C281CCA"/>
    <w:rsid w:val="1CAD5C4C"/>
    <w:rsid w:val="1CD04682"/>
    <w:rsid w:val="1D010737"/>
    <w:rsid w:val="1D032DBE"/>
    <w:rsid w:val="1D336832"/>
    <w:rsid w:val="1D342C3A"/>
    <w:rsid w:val="1DF97785"/>
    <w:rsid w:val="1E2612FC"/>
    <w:rsid w:val="1E276378"/>
    <w:rsid w:val="1EF315BA"/>
    <w:rsid w:val="1F54082A"/>
    <w:rsid w:val="1F54427D"/>
    <w:rsid w:val="1F69641E"/>
    <w:rsid w:val="1F713148"/>
    <w:rsid w:val="1FB57B5F"/>
    <w:rsid w:val="1FBF5D12"/>
    <w:rsid w:val="2020430B"/>
    <w:rsid w:val="209452FD"/>
    <w:rsid w:val="20F644A4"/>
    <w:rsid w:val="21260517"/>
    <w:rsid w:val="2165773C"/>
    <w:rsid w:val="21AA4163"/>
    <w:rsid w:val="21D56297"/>
    <w:rsid w:val="22057693"/>
    <w:rsid w:val="220B45FB"/>
    <w:rsid w:val="223360A0"/>
    <w:rsid w:val="22907E14"/>
    <w:rsid w:val="22C504CA"/>
    <w:rsid w:val="230A7776"/>
    <w:rsid w:val="231064A5"/>
    <w:rsid w:val="233E7BBA"/>
    <w:rsid w:val="239724A4"/>
    <w:rsid w:val="2436696D"/>
    <w:rsid w:val="24486182"/>
    <w:rsid w:val="247A5BD6"/>
    <w:rsid w:val="24AA16AC"/>
    <w:rsid w:val="255013C8"/>
    <w:rsid w:val="255A6D2C"/>
    <w:rsid w:val="25BA1229"/>
    <w:rsid w:val="27215DF4"/>
    <w:rsid w:val="27397488"/>
    <w:rsid w:val="27760BB9"/>
    <w:rsid w:val="27855555"/>
    <w:rsid w:val="27A2751F"/>
    <w:rsid w:val="27EB31D8"/>
    <w:rsid w:val="28154152"/>
    <w:rsid w:val="281976B6"/>
    <w:rsid w:val="282473C7"/>
    <w:rsid w:val="28C01545"/>
    <w:rsid w:val="28CE09B0"/>
    <w:rsid w:val="29477D41"/>
    <w:rsid w:val="297B7E8B"/>
    <w:rsid w:val="299020A1"/>
    <w:rsid w:val="2A032341"/>
    <w:rsid w:val="2A0E5B0E"/>
    <w:rsid w:val="2A4B1DB7"/>
    <w:rsid w:val="2ABD7C20"/>
    <w:rsid w:val="2ADA3454"/>
    <w:rsid w:val="2B6A4497"/>
    <w:rsid w:val="2BC55B39"/>
    <w:rsid w:val="2CAD6C55"/>
    <w:rsid w:val="2CD077D7"/>
    <w:rsid w:val="2CEA61F8"/>
    <w:rsid w:val="2D8F7C42"/>
    <w:rsid w:val="2D951AFB"/>
    <w:rsid w:val="2E6B3F2B"/>
    <w:rsid w:val="2EC6530B"/>
    <w:rsid w:val="2F6A2554"/>
    <w:rsid w:val="30E12562"/>
    <w:rsid w:val="3115795B"/>
    <w:rsid w:val="311C1AD3"/>
    <w:rsid w:val="31456BEB"/>
    <w:rsid w:val="31605B7D"/>
    <w:rsid w:val="31612DB1"/>
    <w:rsid w:val="318A49A8"/>
    <w:rsid w:val="31970A44"/>
    <w:rsid w:val="321665E0"/>
    <w:rsid w:val="325B3210"/>
    <w:rsid w:val="329007D9"/>
    <w:rsid w:val="329B1F49"/>
    <w:rsid w:val="32DD7307"/>
    <w:rsid w:val="33147CE6"/>
    <w:rsid w:val="335E09E9"/>
    <w:rsid w:val="33A00548"/>
    <w:rsid w:val="33AC6322"/>
    <w:rsid w:val="3439694D"/>
    <w:rsid w:val="34516EE5"/>
    <w:rsid w:val="345320E1"/>
    <w:rsid w:val="35275116"/>
    <w:rsid w:val="35D005E4"/>
    <w:rsid w:val="35D1418C"/>
    <w:rsid w:val="35F37400"/>
    <w:rsid w:val="363D3C0F"/>
    <w:rsid w:val="363E1541"/>
    <w:rsid w:val="36573053"/>
    <w:rsid w:val="36A67FA0"/>
    <w:rsid w:val="36BB34B9"/>
    <w:rsid w:val="37464610"/>
    <w:rsid w:val="3798061D"/>
    <w:rsid w:val="37C27B03"/>
    <w:rsid w:val="387A6C7E"/>
    <w:rsid w:val="38A36DF6"/>
    <w:rsid w:val="39052B68"/>
    <w:rsid w:val="392E24CC"/>
    <w:rsid w:val="395D6464"/>
    <w:rsid w:val="397D1296"/>
    <w:rsid w:val="39BB6F27"/>
    <w:rsid w:val="39D31C98"/>
    <w:rsid w:val="3AC4126A"/>
    <w:rsid w:val="3AE643CE"/>
    <w:rsid w:val="3B0F2A3B"/>
    <w:rsid w:val="3B4066D5"/>
    <w:rsid w:val="3B5404EC"/>
    <w:rsid w:val="3C0042EC"/>
    <w:rsid w:val="3C0F02F1"/>
    <w:rsid w:val="3C44739D"/>
    <w:rsid w:val="3C725E88"/>
    <w:rsid w:val="3C951CEB"/>
    <w:rsid w:val="3CB72D11"/>
    <w:rsid w:val="3D71311A"/>
    <w:rsid w:val="3D896A98"/>
    <w:rsid w:val="3DC87A8D"/>
    <w:rsid w:val="3DFB09DB"/>
    <w:rsid w:val="3E11180D"/>
    <w:rsid w:val="3E8401FC"/>
    <w:rsid w:val="3E940F7D"/>
    <w:rsid w:val="3F0E0AC7"/>
    <w:rsid w:val="3F1026D2"/>
    <w:rsid w:val="3F4756E8"/>
    <w:rsid w:val="3F7F3446"/>
    <w:rsid w:val="3FA93D9F"/>
    <w:rsid w:val="400C5F49"/>
    <w:rsid w:val="401F5C3E"/>
    <w:rsid w:val="4064171F"/>
    <w:rsid w:val="40B774B3"/>
    <w:rsid w:val="40C63A63"/>
    <w:rsid w:val="40EA56FB"/>
    <w:rsid w:val="41037834"/>
    <w:rsid w:val="41250B55"/>
    <w:rsid w:val="418C1E31"/>
    <w:rsid w:val="41CA7CD2"/>
    <w:rsid w:val="420B22DF"/>
    <w:rsid w:val="4235270E"/>
    <w:rsid w:val="425F778B"/>
    <w:rsid w:val="427778D5"/>
    <w:rsid w:val="42A96C58"/>
    <w:rsid w:val="42FF712E"/>
    <w:rsid w:val="432307B8"/>
    <w:rsid w:val="432A1001"/>
    <w:rsid w:val="43394FCF"/>
    <w:rsid w:val="43790FC1"/>
    <w:rsid w:val="44331706"/>
    <w:rsid w:val="444B19CF"/>
    <w:rsid w:val="445642ED"/>
    <w:rsid w:val="446F7A2D"/>
    <w:rsid w:val="447A7409"/>
    <w:rsid w:val="447D0FBB"/>
    <w:rsid w:val="44E15CD4"/>
    <w:rsid w:val="45222596"/>
    <w:rsid w:val="452914D7"/>
    <w:rsid w:val="453136A9"/>
    <w:rsid w:val="45827D99"/>
    <w:rsid w:val="463466FB"/>
    <w:rsid w:val="470F4080"/>
    <w:rsid w:val="472B1063"/>
    <w:rsid w:val="475F01D5"/>
    <w:rsid w:val="47B072FC"/>
    <w:rsid w:val="47CF4FD6"/>
    <w:rsid w:val="48783EC5"/>
    <w:rsid w:val="48AE790D"/>
    <w:rsid w:val="48D23F22"/>
    <w:rsid w:val="48D909BC"/>
    <w:rsid w:val="48F12E38"/>
    <w:rsid w:val="4903536C"/>
    <w:rsid w:val="49687097"/>
    <w:rsid w:val="49756D85"/>
    <w:rsid w:val="4979722E"/>
    <w:rsid w:val="4984533F"/>
    <w:rsid w:val="49C9058B"/>
    <w:rsid w:val="4A6E03EE"/>
    <w:rsid w:val="4AD13BC7"/>
    <w:rsid w:val="4B090752"/>
    <w:rsid w:val="4B1F4F5F"/>
    <w:rsid w:val="4B4D41D4"/>
    <w:rsid w:val="4B653633"/>
    <w:rsid w:val="4B7E2F51"/>
    <w:rsid w:val="4B930A43"/>
    <w:rsid w:val="4BF70FA7"/>
    <w:rsid w:val="4C211DE9"/>
    <w:rsid w:val="4C757CBC"/>
    <w:rsid w:val="4C903D54"/>
    <w:rsid w:val="4D317A1B"/>
    <w:rsid w:val="4D387C5C"/>
    <w:rsid w:val="4D9011F0"/>
    <w:rsid w:val="4E126D3A"/>
    <w:rsid w:val="4E714C6A"/>
    <w:rsid w:val="4E796E1E"/>
    <w:rsid w:val="4F13449C"/>
    <w:rsid w:val="4F297D4A"/>
    <w:rsid w:val="4F881896"/>
    <w:rsid w:val="4F8E345D"/>
    <w:rsid w:val="503E4904"/>
    <w:rsid w:val="50692847"/>
    <w:rsid w:val="508F5DD3"/>
    <w:rsid w:val="509C43C4"/>
    <w:rsid w:val="50D7421A"/>
    <w:rsid w:val="50D744E9"/>
    <w:rsid w:val="50E161BC"/>
    <w:rsid w:val="512111FB"/>
    <w:rsid w:val="5138209E"/>
    <w:rsid w:val="516F18AB"/>
    <w:rsid w:val="523A1E14"/>
    <w:rsid w:val="529E4657"/>
    <w:rsid w:val="52B753C1"/>
    <w:rsid w:val="52DD2E1E"/>
    <w:rsid w:val="534E704F"/>
    <w:rsid w:val="539B6B31"/>
    <w:rsid w:val="53CF1E7C"/>
    <w:rsid w:val="53D02297"/>
    <w:rsid w:val="53E91C39"/>
    <w:rsid w:val="543D53F8"/>
    <w:rsid w:val="54E619FF"/>
    <w:rsid w:val="551B42A4"/>
    <w:rsid w:val="551D67DF"/>
    <w:rsid w:val="5545416E"/>
    <w:rsid w:val="55560EC1"/>
    <w:rsid w:val="55FE4406"/>
    <w:rsid w:val="561673D2"/>
    <w:rsid w:val="566779D8"/>
    <w:rsid w:val="56914A08"/>
    <w:rsid w:val="56E74480"/>
    <w:rsid w:val="56E87D29"/>
    <w:rsid w:val="57AF1DBF"/>
    <w:rsid w:val="57FF1A43"/>
    <w:rsid w:val="57FF3E6E"/>
    <w:rsid w:val="58BF7C36"/>
    <w:rsid w:val="592C2B4D"/>
    <w:rsid w:val="597A6232"/>
    <w:rsid w:val="59A12425"/>
    <w:rsid w:val="59C3104F"/>
    <w:rsid w:val="59F0161C"/>
    <w:rsid w:val="59F439CA"/>
    <w:rsid w:val="5A1A68E8"/>
    <w:rsid w:val="5AB40632"/>
    <w:rsid w:val="5B060463"/>
    <w:rsid w:val="5BD42293"/>
    <w:rsid w:val="5BDD766D"/>
    <w:rsid w:val="5C307A8B"/>
    <w:rsid w:val="5C8368D6"/>
    <w:rsid w:val="5C9626D8"/>
    <w:rsid w:val="5D312048"/>
    <w:rsid w:val="5D500321"/>
    <w:rsid w:val="5D902E1F"/>
    <w:rsid w:val="5E0013AF"/>
    <w:rsid w:val="5E532442"/>
    <w:rsid w:val="5EB26960"/>
    <w:rsid w:val="5ECA60E4"/>
    <w:rsid w:val="5EF53CC8"/>
    <w:rsid w:val="5EF84405"/>
    <w:rsid w:val="5F6107C3"/>
    <w:rsid w:val="5FB765CD"/>
    <w:rsid w:val="60331C88"/>
    <w:rsid w:val="605D7B4A"/>
    <w:rsid w:val="6060031F"/>
    <w:rsid w:val="60614D0A"/>
    <w:rsid w:val="61107AD5"/>
    <w:rsid w:val="611976B3"/>
    <w:rsid w:val="612666CE"/>
    <w:rsid w:val="61361570"/>
    <w:rsid w:val="61691F7C"/>
    <w:rsid w:val="618B4015"/>
    <w:rsid w:val="619E1588"/>
    <w:rsid w:val="61C57FB9"/>
    <w:rsid w:val="61E96F29"/>
    <w:rsid w:val="620C4264"/>
    <w:rsid w:val="62B2525D"/>
    <w:rsid w:val="62D2376F"/>
    <w:rsid w:val="6365113D"/>
    <w:rsid w:val="638B41CB"/>
    <w:rsid w:val="640A42F1"/>
    <w:rsid w:val="640F2784"/>
    <w:rsid w:val="642E7568"/>
    <w:rsid w:val="64787261"/>
    <w:rsid w:val="64EC395F"/>
    <w:rsid w:val="64F62857"/>
    <w:rsid w:val="652F0DE7"/>
    <w:rsid w:val="656B002A"/>
    <w:rsid w:val="65B72141"/>
    <w:rsid w:val="65BF1D00"/>
    <w:rsid w:val="66087D37"/>
    <w:rsid w:val="662E2405"/>
    <w:rsid w:val="664E6468"/>
    <w:rsid w:val="665D7F78"/>
    <w:rsid w:val="66633782"/>
    <w:rsid w:val="66A148DD"/>
    <w:rsid w:val="66B370FA"/>
    <w:rsid w:val="66C66513"/>
    <w:rsid w:val="66D91FDE"/>
    <w:rsid w:val="66FC0076"/>
    <w:rsid w:val="671A784B"/>
    <w:rsid w:val="679E48C0"/>
    <w:rsid w:val="68314937"/>
    <w:rsid w:val="684F1CF5"/>
    <w:rsid w:val="68B34299"/>
    <w:rsid w:val="68DA5601"/>
    <w:rsid w:val="68F83862"/>
    <w:rsid w:val="692823E0"/>
    <w:rsid w:val="69370C94"/>
    <w:rsid w:val="69376D7B"/>
    <w:rsid w:val="698353CB"/>
    <w:rsid w:val="69E11460"/>
    <w:rsid w:val="6B131620"/>
    <w:rsid w:val="6B520BFD"/>
    <w:rsid w:val="6BF41431"/>
    <w:rsid w:val="6BF509F0"/>
    <w:rsid w:val="6C1372C1"/>
    <w:rsid w:val="6C3B59F1"/>
    <w:rsid w:val="6C8A547B"/>
    <w:rsid w:val="6C9A398D"/>
    <w:rsid w:val="6CC938CF"/>
    <w:rsid w:val="6CE86177"/>
    <w:rsid w:val="6CF96C8E"/>
    <w:rsid w:val="6D3C12AA"/>
    <w:rsid w:val="6DA85A13"/>
    <w:rsid w:val="6DBF58D0"/>
    <w:rsid w:val="6DEC349C"/>
    <w:rsid w:val="6DFC5EB5"/>
    <w:rsid w:val="6E564558"/>
    <w:rsid w:val="6E6B3B38"/>
    <w:rsid w:val="6E7626AB"/>
    <w:rsid w:val="6E7A7577"/>
    <w:rsid w:val="6EBC4EA2"/>
    <w:rsid w:val="6F4B11EA"/>
    <w:rsid w:val="6F6A074D"/>
    <w:rsid w:val="6F717228"/>
    <w:rsid w:val="6F8E19D1"/>
    <w:rsid w:val="6F9F7DAF"/>
    <w:rsid w:val="6FA87620"/>
    <w:rsid w:val="6FC36291"/>
    <w:rsid w:val="70556C38"/>
    <w:rsid w:val="70605573"/>
    <w:rsid w:val="70EE1B56"/>
    <w:rsid w:val="71424947"/>
    <w:rsid w:val="71AC2D14"/>
    <w:rsid w:val="71EE215A"/>
    <w:rsid w:val="720D65E0"/>
    <w:rsid w:val="72360EE8"/>
    <w:rsid w:val="72646CEB"/>
    <w:rsid w:val="72B90FC4"/>
    <w:rsid w:val="73345474"/>
    <w:rsid w:val="73C76A4A"/>
    <w:rsid w:val="73E532F1"/>
    <w:rsid w:val="74401AB8"/>
    <w:rsid w:val="750077C7"/>
    <w:rsid w:val="751437B2"/>
    <w:rsid w:val="752179EF"/>
    <w:rsid w:val="75952E0A"/>
    <w:rsid w:val="75A339A7"/>
    <w:rsid w:val="75C76111"/>
    <w:rsid w:val="765D56C8"/>
    <w:rsid w:val="766E7E8B"/>
    <w:rsid w:val="769062DB"/>
    <w:rsid w:val="76C6190C"/>
    <w:rsid w:val="7733375C"/>
    <w:rsid w:val="777C4347"/>
    <w:rsid w:val="777D392A"/>
    <w:rsid w:val="77857E22"/>
    <w:rsid w:val="779E27EC"/>
    <w:rsid w:val="781F7040"/>
    <w:rsid w:val="783629EC"/>
    <w:rsid w:val="7883527A"/>
    <w:rsid w:val="78AE262D"/>
    <w:rsid w:val="78D10B9C"/>
    <w:rsid w:val="79270A91"/>
    <w:rsid w:val="7A122D59"/>
    <w:rsid w:val="7A304361"/>
    <w:rsid w:val="7ABA1BA8"/>
    <w:rsid w:val="7B7C4A19"/>
    <w:rsid w:val="7BF64FE7"/>
    <w:rsid w:val="7C313C16"/>
    <w:rsid w:val="7C6164C4"/>
    <w:rsid w:val="7C6E7291"/>
    <w:rsid w:val="7C8E0680"/>
    <w:rsid w:val="7CB75A48"/>
    <w:rsid w:val="7CC3658D"/>
    <w:rsid w:val="7CE765F7"/>
    <w:rsid w:val="7D28519D"/>
    <w:rsid w:val="7D60687A"/>
    <w:rsid w:val="7D9D61F5"/>
    <w:rsid w:val="7DD96791"/>
    <w:rsid w:val="7DE83587"/>
    <w:rsid w:val="7E15459A"/>
    <w:rsid w:val="7E4E5983"/>
    <w:rsid w:val="7E5342F6"/>
    <w:rsid w:val="7EEE63B7"/>
    <w:rsid w:val="7EF2463D"/>
    <w:rsid w:val="7F1B2E7F"/>
    <w:rsid w:val="7F232D2E"/>
    <w:rsid w:val="7F593C7E"/>
    <w:rsid w:val="7F863FFD"/>
    <w:rsid w:val="7F8E4305"/>
    <w:rsid w:val="7FAC1E0B"/>
    <w:rsid w:val="7FB45BB2"/>
    <w:rsid w:val="7FC75574"/>
    <w:rsid w:val="7FD40763"/>
    <w:rsid w:val="7FE61CF4"/>
    <w:rsid w:val="7FF369C9"/>
    <w:rsid w:val="7FF3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4">
    <w:name w:val="annotation text"/>
    <w:basedOn w:val="1"/>
    <w:autoRedefine/>
    <w:qFormat/>
    <w:uiPriority w:val="0"/>
    <w:pPr>
      <w:jc w:val="left"/>
    </w:pPr>
  </w:style>
  <w:style w:type="paragraph" w:styleId="5">
    <w:name w:val="Body Text"/>
    <w:basedOn w:val="1"/>
    <w:next w:val="6"/>
    <w:autoRedefine/>
    <w:qFormat/>
    <w:uiPriority w:val="0"/>
    <w:rPr>
      <w:rFonts w:eastAsia="仿宋_GB2312"/>
      <w:color w:val="000000"/>
    </w:rPr>
  </w:style>
  <w:style w:type="paragraph" w:styleId="6">
    <w:name w:val="Title"/>
    <w:basedOn w:val="1"/>
    <w:next w:val="1"/>
    <w:autoRedefine/>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autoRedefine/>
    <w:qFormat/>
    <w:uiPriority w:val="34"/>
    <w:pPr>
      <w:ind w:firstLine="420" w:firstLineChars="200"/>
    </w:pPr>
  </w:style>
  <w:style w:type="paragraph" w:customStyle="1" w:styleId="13">
    <w:name w:val="_Style 217"/>
    <w:autoRedefine/>
    <w:qFormat/>
    <w:uiPriority w:val="0"/>
    <w:pPr>
      <w:widowControl w:val="0"/>
      <w:jc w:val="both"/>
    </w:pPr>
    <w:rPr>
      <w:rFonts w:ascii="Calibri" w:hAnsi="Calibri" w:eastAsia="宋体" w:cs="Times New Roman"/>
      <w:kern w:val="2"/>
      <w:sz w:val="21"/>
      <w:szCs w:val="21"/>
      <w:lang w:val="en-US" w:eastAsia="zh-CN" w:bidi="ar-SA"/>
    </w:rPr>
  </w:style>
  <w:style w:type="paragraph" w:customStyle="1" w:styleId="14">
    <w:name w:val="_Style 113"/>
    <w:autoRedefine/>
    <w:qFormat/>
    <w:uiPriority w:val="0"/>
    <w:rPr>
      <w:rFonts w:ascii="宋体" w:hAnsi="宋体" w:eastAsia="宋体" w:cs="宋体"/>
      <w:sz w:val="21"/>
      <w:szCs w:val="24"/>
      <w:lang w:val="en-US" w:eastAsia="zh-CN" w:bidi="ar-SA"/>
    </w:rPr>
  </w:style>
  <w:style w:type="paragraph" w:customStyle="1" w:styleId="15">
    <w:name w:val="_Style 471"/>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1644</Words>
  <Characters>1870</Characters>
  <Lines>1</Lines>
  <Paragraphs>1</Paragraphs>
  <TotalTime>26</TotalTime>
  <ScaleCrop>false</ScaleCrop>
  <LinksUpToDate>false</LinksUpToDate>
  <CharactersWithSpaces>1927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2022-06-17T06:36:00Z</dcterms:created>
  <dc:creator>Ivin</dc:creator>
  <cp:lastModifiedBy>Ivin</cp:lastModifiedBy>
  <cp:lastPrinted>2022-09-30T10:29:00Z</cp:lastPrinted>
  <dcterms:modified xsi:type="dcterms:W3CDTF">2024-10-31T07:58:26Z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E6D297973D4A4B7181107E53E3DD9311_13</vt:lpwstr>
  </property>
</Properties>
</file>