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3BC9">
      <w:pPr>
        <w:spacing w:line="360" w:lineRule="auto"/>
        <w:ind w:firstLine="241" w:firstLineChars="100"/>
        <w:rPr>
          <w:rFonts w:ascii="宋体" w:hAnsi="宋体" w:eastAsia="宋体"/>
          <w:b/>
          <w:sz w:val="24"/>
          <w:szCs w:val="24"/>
        </w:rPr>
      </w:pPr>
      <w:r>
        <w:rPr>
          <w:rFonts w:hint="eastAsia" w:ascii="宋体" w:hAnsi="宋体" w:eastAsia="宋体"/>
          <w:b/>
          <w:sz w:val="24"/>
          <w:szCs w:val="24"/>
        </w:rPr>
        <w:t xml:space="preserve">证券代码：688345                               </w:t>
      </w:r>
      <w:r>
        <w:rPr>
          <w:rFonts w:ascii="宋体" w:hAnsi="宋体" w:eastAsia="宋体"/>
          <w:b/>
          <w:sz w:val="24"/>
          <w:szCs w:val="24"/>
        </w:rPr>
        <w:t xml:space="preserve">   </w:t>
      </w:r>
      <w:r>
        <w:rPr>
          <w:rFonts w:hint="eastAsia" w:ascii="宋体" w:hAnsi="宋体" w:eastAsia="宋体"/>
          <w:b/>
          <w:sz w:val="24"/>
          <w:szCs w:val="24"/>
        </w:rPr>
        <w:t xml:space="preserve"> 证券简称：博</w:t>
      </w:r>
      <w:r>
        <w:rPr>
          <w:rFonts w:ascii="宋体" w:hAnsi="宋体" w:eastAsia="宋体"/>
          <w:b/>
          <w:sz w:val="24"/>
          <w:szCs w:val="24"/>
        </w:rPr>
        <w:t xml:space="preserve">力威 </w:t>
      </w:r>
    </w:p>
    <w:p w14:paraId="7B64ABF9">
      <w:pPr>
        <w:spacing w:line="360" w:lineRule="auto"/>
        <w:jc w:val="center"/>
        <w:rPr>
          <w:rFonts w:ascii="宋体" w:hAnsi="宋体" w:eastAsia="宋体"/>
          <w:b/>
          <w:sz w:val="32"/>
          <w:szCs w:val="32"/>
        </w:rPr>
      </w:pPr>
      <w:r>
        <w:rPr>
          <w:rFonts w:hint="eastAsia" w:ascii="宋体" w:hAnsi="宋体" w:eastAsia="宋体"/>
          <w:b/>
          <w:sz w:val="32"/>
          <w:szCs w:val="32"/>
        </w:rPr>
        <w:t>广东</w:t>
      </w:r>
      <w:r>
        <w:rPr>
          <w:rFonts w:ascii="宋体" w:hAnsi="宋体" w:eastAsia="宋体"/>
          <w:b/>
          <w:sz w:val="32"/>
          <w:szCs w:val="32"/>
        </w:rPr>
        <w:t>博力</w:t>
      </w:r>
      <w:r>
        <w:rPr>
          <w:rFonts w:hint="eastAsia" w:ascii="宋体" w:hAnsi="宋体" w:eastAsia="宋体"/>
          <w:b/>
          <w:sz w:val="32"/>
          <w:szCs w:val="32"/>
        </w:rPr>
        <w:t>威</w:t>
      </w:r>
      <w:r>
        <w:rPr>
          <w:rFonts w:ascii="宋体" w:hAnsi="宋体" w:eastAsia="宋体"/>
          <w:b/>
          <w:sz w:val="32"/>
          <w:szCs w:val="32"/>
        </w:rPr>
        <w:t>科技</w:t>
      </w:r>
      <w:r>
        <w:rPr>
          <w:rFonts w:hint="eastAsia" w:ascii="宋体" w:hAnsi="宋体" w:eastAsia="宋体"/>
          <w:b/>
          <w:sz w:val="32"/>
          <w:szCs w:val="32"/>
        </w:rPr>
        <w:t>股份有限公司</w:t>
      </w:r>
    </w:p>
    <w:p w14:paraId="19BD67BF">
      <w:pPr>
        <w:spacing w:line="360" w:lineRule="auto"/>
        <w:jc w:val="center"/>
        <w:rPr>
          <w:rFonts w:ascii="宋体" w:hAnsi="宋体" w:eastAsia="宋体"/>
          <w:b/>
          <w:sz w:val="32"/>
          <w:szCs w:val="32"/>
        </w:rPr>
      </w:pPr>
      <w:r>
        <w:rPr>
          <w:rFonts w:hint="eastAsia" w:ascii="宋体" w:hAnsi="宋体" w:eastAsia="宋体"/>
          <w:b/>
          <w:sz w:val="32"/>
          <w:szCs w:val="32"/>
        </w:rPr>
        <w:t>投资者关系活动记录表</w:t>
      </w:r>
    </w:p>
    <w:p w14:paraId="42F71F77">
      <w:pPr>
        <w:spacing w:line="360" w:lineRule="auto"/>
        <w:rPr>
          <w:rFonts w:ascii="宋体" w:hAnsi="宋体" w:eastAsia="宋体"/>
          <w:b/>
          <w:sz w:val="24"/>
          <w:szCs w:val="24"/>
        </w:rPr>
      </w:pPr>
    </w:p>
    <w:tbl>
      <w:tblPr>
        <w:tblStyle w:val="5"/>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093"/>
      </w:tblGrid>
      <w:tr w14:paraId="7FE7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1323DBCC">
            <w:pPr>
              <w:keepNext w:val="0"/>
              <w:keepLines w:val="0"/>
              <w:suppressLineNumbers w:val="0"/>
              <w:spacing w:before="0" w:beforeAutospacing="0" w:after="0" w:afterAutospacing="0" w:line="360" w:lineRule="auto"/>
              <w:ind w:left="0" w:right="0"/>
              <w:rPr>
                <w:rFonts w:hint="default" w:ascii="Times New Roman" w:hAnsi="Times New Roman" w:eastAsia="宋体"/>
                <w:b/>
                <w:color w:val="000000"/>
                <w:sz w:val="24"/>
                <w:szCs w:val="24"/>
              </w:rPr>
            </w:pPr>
            <w:r>
              <w:rPr>
                <w:rFonts w:hint="eastAsia" w:ascii="Times New Roman" w:hAnsi="Times New Roman" w:eastAsia="宋体"/>
                <w:b/>
                <w:color w:val="000000"/>
                <w:sz w:val="24"/>
                <w:szCs w:val="24"/>
              </w:rPr>
              <w:t>投资者关系活动类别</w:t>
            </w:r>
          </w:p>
        </w:tc>
        <w:tc>
          <w:tcPr>
            <w:tcW w:w="7093" w:type="dxa"/>
            <w:shd w:val="clear" w:color="auto" w:fill="auto"/>
          </w:tcPr>
          <w:p w14:paraId="7FD14CE0">
            <w:pPr>
              <w:keepNext w:val="0"/>
              <w:keepLines w:val="0"/>
              <w:suppressLineNumbers w:val="0"/>
              <w:spacing w:before="0" w:beforeAutospacing="0" w:after="0" w:afterAutospacing="0" w:line="360" w:lineRule="auto"/>
              <w:ind w:left="0" w:right="0"/>
              <w:rPr>
                <w:rFonts w:hint="default" w:ascii="Times New Roman" w:hAnsi="Times New Roman" w:eastAsia="宋体"/>
                <w:color w:val="000000"/>
                <w:sz w:val="24"/>
                <w:szCs w:val="24"/>
              </w:rPr>
            </w:pPr>
            <w:r>
              <w:rPr>
                <w:rFonts w:hint="eastAsia" w:ascii="Times New Roman" w:hAnsi="Times New Roman" w:eastAsia="宋体"/>
                <w:color w:val="000000"/>
                <w:sz w:val="24"/>
                <w:szCs w:val="24"/>
              </w:rPr>
              <w:t>□特定对象调研</w:t>
            </w:r>
            <w:r>
              <w:rPr>
                <w:rFonts w:hint="default" w:ascii="Times New Roman" w:hAnsi="Times New Roman" w:eastAsia="宋体"/>
                <w:color w:val="000000"/>
                <w:sz w:val="24"/>
                <w:szCs w:val="24"/>
              </w:rPr>
              <w:t xml:space="preserve">        </w:t>
            </w:r>
            <w:r>
              <w:rPr>
                <w:rFonts w:hint="eastAsia" w:ascii="Times New Roman" w:hAnsi="Times New Roman" w:eastAsia="宋体"/>
                <w:color w:val="000000"/>
                <w:sz w:val="24"/>
                <w:szCs w:val="24"/>
              </w:rPr>
              <w:t>□分析师会议</w:t>
            </w:r>
          </w:p>
          <w:p w14:paraId="373D8D81">
            <w:pPr>
              <w:keepNext w:val="0"/>
              <w:keepLines w:val="0"/>
              <w:suppressLineNumbers w:val="0"/>
              <w:spacing w:before="0" w:beforeAutospacing="0" w:after="0" w:afterAutospacing="0" w:line="360" w:lineRule="auto"/>
              <w:ind w:left="0" w:right="0"/>
              <w:rPr>
                <w:rFonts w:hint="default" w:ascii="Times New Roman" w:hAnsi="Times New Roman" w:eastAsia="宋体"/>
                <w:color w:val="000000"/>
                <w:sz w:val="24"/>
                <w:szCs w:val="24"/>
              </w:rPr>
            </w:pPr>
            <w:r>
              <w:rPr>
                <w:rFonts w:hint="eastAsia" w:ascii="Times New Roman" w:hAnsi="Times New Roman" w:eastAsia="宋体"/>
                <w:color w:val="000000"/>
                <w:sz w:val="24"/>
                <w:szCs w:val="24"/>
              </w:rPr>
              <w:t>□媒体采访</w:t>
            </w:r>
            <w:r>
              <w:rPr>
                <w:rFonts w:hint="default" w:ascii="Times New Roman" w:hAnsi="Times New Roman" w:eastAsia="宋体"/>
                <w:color w:val="000000"/>
                <w:sz w:val="24"/>
                <w:szCs w:val="24"/>
              </w:rPr>
              <w:t xml:space="preserve">            </w:t>
            </w:r>
            <w:r>
              <w:rPr>
                <w:rFonts w:hint="eastAsia" w:ascii="Times New Roman" w:hAnsi="Times New Roman" w:eastAsia="宋体"/>
                <w:color w:val="000000"/>
                <w:sz w:val="24"/>
                <w:szCs w:val="24"/>
              </w:rPr>
              <w:t>□业绩说明会</w:t>
            </w:r>
          </w:p>
          <w:p w14:paraId="66BB544A">
            <w:pPr>
              <w:keepNext w:val="0"/>
              <w:keepLines w:val="0"/>
              <w:suppressLineNumbers w:val="0"/>
              <w:spacing w:before="0" w:beforeAutospacing="0" w:after="0" w:afterAutospacing="0" w:line="360" w:lineRule="auto"/>
              <w:ind w:left="0" w:right="0"/>
              <w:rPr>
                <w:rFonts w:hint="default" w:ascii="Times New Roman" w:hAnsi="Times New Roman" w:eastAsia="宋体"/>
                <w:color w:val="000000"/>
                <w:sz w:val="24"/>
                <w:szCs w:val="24"/>
              </w:rPr>
            </w:pPr>
            <w:r>
              <w:rPr>
                <w:rFonts w:hint="eastAsia" w:ascii="Times New Roman" w:hAnsi="Times New Roman" w:eastAsia="宋体"/>
                <w:color w:val="000000"/>
                <w:sz w:val="24"/>
                <w:szCs w:val="24"/>
              </w:rPr>
              <w:t>□新闻发布会</w:t>
            </w:r>
            <w:r>
              <w:rPr>
                <w:rFonts w:hint="default" w:ascii="Times New Roman" w:hAnsi="Times New Roman" w:eastAsia="宋体"/>
                <w:color w:val="000000"/>
                <w:sz w:val="24"/>
                <w:szCs w:val="24"/>
              </w:rPr>
              <w:t xml:space="preserve">          </w:t>
            </w:r>
            <w:r>
              <w:rPr>
                <w:rFonts w:hint="eastAsia" w:ascii="Times New Roman" w:hAnsi="Times New Roman" w:eastAsia="宋体"/>
                <w:color w:val="000000"/>
                <w:sz w:val="24"/>
                <w:szCs w:val="24"/>
              </w:rPr>
              <w:t>□路演活动</w:t>
            </w:r>
          </w:p>
          <w:p w14:paraId="413F1179">
            <w:pPr>
              <w:keepNext w:val="0"/>
              <w:keepLines w:val="0"/>
              <w:suppressLineNumbers w:val="0"/>
              <w:tabs>
                <w:tab w:val="left" w:pos="2690"/>
                <w:tab w:val="center" w:pos="3199"/>
              </w:tabs>
              <w:spacing w:before="0" w:beforeAutospacing="0" w:after="0" w:afterAutospacing="0" w:line="360" w:lineRule="auto"/>
              <w:ind w:left="0" w:right="0"/>
              <w:rPr>
                <w:rFonts w:hint="default" w:ascii="Times New Roman" w:hAnsi="Times New Roman" w:eastAsia="宋体"/>
                <w:color w:val="000000"/>
                <w:sz w:val="24"/>
                <w:szCs w:val="24"/>
              </w:rPr>
            </w:pPr>
            <w:r>
              <w:rPr>
                <w:rFonts w:hint="eastAsia" w:ascii="Times New Roman" w:hAnsi="Times New Roman" w:eastAsia="宋体"/>
                <w:color w:val="000000"/>
                <w:sz w:val="24"/>
                <w:szCs w:val="24"/>
              </w:rPr>
              <w:t>□现场参观</w:t>
            </w:r>
            <w:r>
              <w:rPr>
                <w:rFonts w:hint="default" w:ascii="Times New Roman" w:hAnsi="Times New Roman" w:eastAsia="宋体"/>
                <w:color w:val="000000"/>
                <w:sz w:val="24"/>
                <w:szCs w:val="24"/>
              </w:rPr>
              <w:t xml:space="preserve">           </w:t>
            </w:r>
            <w:r>
              <w:rPr>
                <w:rFonts w:hint="eastAsia" w:ascii="Times New Roman" w:hAnsi="Times New Roman" w:eastAsia="宋体"/>
                <w:color w:val="000000"/>
                <w:sz w:val="24"/>
                <w:szCs w:val="24"/>
              </w:rPr>
              <w:t xml:space="preserve"> </w:t>
            </w:r>
            <w:r>
              <w:rPr>
                <w:rFonts w:hint="default" w:ascii="Times New Roman" w:hAnsi="Times New Roman" w:eastAsia="宋体"/>
                <w:color w:val="000000"/>
                <w:sz w:val="24"/>
                <w:szCs w:val="24"/>
              </w:rPr>
              <w:sym w:font="Wingdings 2" w:char="0052"/>
            </w:r>
            <w:r>
              <w:rPr>
                <w:rFonts w:hint="eastAsia" w:ascii="Times New Roman" w:hAnsi="Times New Roman" w:eastAsia="宋体"/>
                <w:color w:val="000000"/>
                <w:sz w:val="24"/>
                <w:szCs w:val="24"/>
              </w:rPr>
              <w:t>电话会议</w:t>
            </w:r>
          </w:p>
          <w:p w14:paraId="4ABE82F6">
            <w:pPr>
              <w:keepNext w:val="0"/>
              <w:keepLines w:val="0"/>
              <w:suppressLineNumbers w:val="0"/>
              <w:tabs>
                <w:tab w:val="center" w:pos="3199"/>
              </w:tabs>
              <w:spacing w:before="0" w:beforeAutospacing="0" w:after="0" w:afterAutospacing="0" w:line="360" w:lineRule="auto"/>
              <w:ind w:left="0" w:right="0"/>
              <w:rPr>
                <w:rFonts w:hint="default" w:ascii="Times New Roman" w:hAnsi="Times New Roman" w:eastAsia="宋体"/>
                <w:color w:val="000000"/>
                <w:sz w:val="24"/>
                <w:szCs w:val="24"/>
              </w:rPr>
            </w:pPr>
            <w:r>
              <w:rPr>
                <w:rFonts w:hint="eastAsia" w:ascii="Times New Roman" w:hAnsi="Times New Roman" w:eastAsia="宋体"/>
                <w:color w:val="000000"/>
                <w:sz w:val="24"/>
                <w:szCs w:val="24"/>
              </w:rPr>
              <w:t>□其他</w:t>
            </w:r>
            <w:r>
              <w:rPr>
                <w:rFonts w:hint="default" w:ascii="Times New Roman" w:hAnsi="Times New Roman" w:eastAsia="宋体"/>
                <w:color w:val="000000"/>
                <w:sz w:val="24"/>
                <w:szCs w:val="24"/>
              </w:rPr>
              <w:t xml:space="preserve"> </w:t>
            </w:r>
            <w:r>
              <w:rPr>
                <w:rFonts w:hint="eastAsia" w:ascii="Times New Roman" w:hAnsi="Times New Roman" w:eastAsia="宋体"/>
                <w:color w:val="000000"/>
                <w:sz w:val="24"/>
                <w:szCs w:val="24"/>
              </w:rPr>
              <w:t>（请文字说明其他活动内容）</w:t>
            </w:r>
          </w:p>
        </w:tc>
      </w:tr>
      <w:tr w14:paraId="41E1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6BAE9E14">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7093" w:type="dxa"/>
            <w:shd w:val="clear" w:color="auto" w:fill="auto"/>
          </w:tcPr>
          <w:p w14:paraId="12EB1E40">
            <w:pPr>
              <w:keepNext w:val="0"/>
              <w:keepLines w:val="0"/>
              <w:widowControl/>
              <w:suppressLineNumbers w:val="0"/>
              <w:spacing w:before="0" w:beforeAutospacing="0" w:after="0" w:afterAutospacing="0" w:line="360" w:lineRule="auto"/>
              <w:ind w:left="0" w:right="0"/>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西部</w:t>
            </w:r>
            <w:r>
              <w:rPr>
                <w:rFonts w:hint="eastAsia" w:ascii="Times New Roman" w:hAnsi="Times New Roman" w:eastAsia="宋体"/>
                <w:color w:val="000000"/>
                <w:sz w:val="24"/>
                <w:szCs w:val="24"/>
              </w:rPr>
              <w:t>证券</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lang w:val="en-US" w:eastAsia="zh-CN"/>
              </w:rPr>
              <w:t>龙航资产、新华养老</w:t>
            </w:r>
          </w:p>
        </w:tc>
      </w:tr>
      <w:tr w14:paraId="0116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52B10365">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7093" w:type="dxa"/>
            <w:shd w:val="clear" w:color="auto" w:fill="auto"/>
          </w:tcPr>
          <w:p w14:paraId="6C1538A4">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lang w:val="en-US"/>
              </w:rPr>
            </w:pPr>
            <w:r>
              <w:rPr>
                <w:rFonts w:hint="eastAsia" w:ascii="宋体" w:hAnsi="宋体" w:eastAsia="宋体" w:cs="Times New Roman"/>
                <w:bCs/>
                <w:iCs/>
                <w:sz w:val="24"/>
                <w:szCs w:val="24"/>
                <w:lang w:val="en-US" w:eastAsia="zh-CN"/>
              </w:rPr>
              <w:t>10</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30</w:t>
            </w:r>
            <w:r>
              <w:rPr>
                <w:rFonts w:hint="default" w:ascii="宋体" w:hAnsi="宋体" w:eastAsia="宋体" w:cs="Times New Roman"/>
                <w:bCs/>
                <w:iCs/>
                <w:sz w:val="24"/>
                <w:szCs w:val="24"/>
              </w:rPr>
              <w:t>日</w:t>
            </w:r>
            <w:r>
              <w:rPr>
                <w:rFonts w:hint="eastAsia" w:ascii="宋体" w:hAnsi="宋体" w:eastAsia="宋体" w:cs="Times New Roman"/>
                <w:bCs/>
                <w:iCs/>
                <w:sz w:val="24"/>
                <w:szCs w:val="24"/>
                <w:lang w:val="en-US" w:eastAsia="zh-CN"/>
              </w:rPr>
              <w:t>20：00-21：00</w:t>
            </w:r>
          </w:p>
        </w:tc>
      </w:tr>
      <w:tr w14:paraId="054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396DB936">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7093" w:type="dxa"/>
            <w:shd w:val="clear" w:color="auto" w:fill="auto"/>
          </w:tcPr>
          <w:p w14:paraId="76016CD3">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rPr>
            </w:pPr>
            <w:r>
              <w:rPr>
                <w:rFonts w:hint="eastAsia" w:ascii="宋体" w:hAnsi="宋体" w:eastAsia="宋体" w:cs="Times New Roman"/>
                <w:bCs/>
                <w:iCs/>
                <w:sz w:val="24"/>
                <w:szCs w:val="24"/>
              </w:rPr>
              <w:t>公司</w:t>
            </w:r>
            <w:r>
              <w:rPr>
                <w:rFonts w:hint="default" w:ascii="宋体" w:hAnsi="宋体" w:eastAsia="宋体" w:cs="Times New Roman"/>
                <w:bCs/>
                <w:iCs/>
                <w:sz w:val="24"/>
                <w:szCs w:val="24"/>
              </w:rPr>
              <w:t>会议室</w:t>
            </w:r>
          </w:p>
        </w:tc>
      </w:tr>
      <w:tr w14:paraId="7A01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038F13ED">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7093" w:type="dxa"/>
            <w:shd w:val="clear" w:color="auto" w:fill="auto"/>
          </w:tcPr>
          <w:p w14:paraId="1AD6BA04">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rPr>
            </w:pPr>
            <w:r>
              <w:rPr>
                <w:rFonts w:hint="eastAsia" w:ascii="宋体" w:hAnsi="宋体" w:eastAsia="宋体" w:cs="Times New Roman"/>
                <w:bCs/>
                <w:iCs/>
                <w:sz w:val="24"/>
                <w:szCs w:val="24"/>
              </w:rPr>
              <w:t>董</w:t>
            </w:r>
            <w:r>
              <w:rPr>
                <w:rFonts w:hint="default" w:ascii="宋体" w:hAnsi="宋体" w:eastAsia="宋体" w:cs="Times New Roman"/>
                <w:bCs/>
                <w:iCs/>
                <w:sz w:val="24"/>
                <w:szCs w:val="24"/>
              </w:rPr>
              <w:t>事会秘书：魏茂芝</w:t>
            </w:r>
          </w:p>
          <w:p w14:paraId="768C73C0">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财务总监：王娟</w:t>
            </w:r>
          </w:p>
        </w:tc>
      </w:tr>
      <w:tr w14:paraId="19A8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96" w:type="dxa"/>
            <w:shd w:val="clear" w:color="auto" w:fill="auto"/>
            <w:vAlign w:val="center"/>
          </w:tcPr>
          <w:p w14:paraId="62179785">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7093" w:type="dxa"/>
            <w:shd w:val="clear" w:color="auto" w:fill="auto"/>
          </w:tcPr>
          <w:p w14:paraId="640704DC">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rPr>
            </w:pPr>
            <w:r>
              <w:rPr>
                <w:rFonts w:hint="eastAsia" w:ascii="宋体" w:hAnsi="宋体" w:eastAsia="宋体"/>
                <w:b/>
                <w:szCs w:val="21"/>
              </w:rPr>
              <w:t>1、</w:t>
            </w:r>
            <w:r>
              <w:rPr>
                <w:rFonts w:hint="default" w:ascii="宋体" w:hAnsi="宋体" w:eastAsia="宋体"/>
                <w:b/>
                <w:szCs w:val="21"/>
              </w:rPr>
              <w:t>公司</w:t>
            </w:r>
            <w:r>
              <w:rPr>
                <w:rFonts w:hint="eastAsia" w:ascii="宋体" w:hAnsi="宋体" w:eastAsia="宋体"/>
                <w:b/>
                <w:szCs w:val="21"/>
              </w:rPr>
              <w:t>2</w:t>
            </w:r>
            <w:r>
              <w:rPr>
                <w:rFonts w:hint="default" w:ascii="宋体" w:hAnsi="宋体" w:eastAsia="宋体"/>
                <w:b/>
                <w:szCs w:val="21"/>
              </w:rPr>
              <w:t>024年</w:t>
            </w:r>
            <w:r>
              <w:rPr>
                <w:rFonts w:hint="eastAsia" w:ascii="宋体" w:hAnsi="宋体" w:eastAsia="宋体"/>
                <w:b/>
                <w:szCs w:val="21"/>
                <w:lang w:val="en-US" w:eastAsia="zh-CN"/>
              </w:rPr>
              <w:t>前三季度及第三季度</w:t>
            </w:r>
            <w:r>
              <w:rPr>
                <w:rFonts w:hint="default" w:ascii="宋体" w:hAnsi="宋体" w:eastAsia="宋体"/>
                <w:b/>
                <w:szCs w:val="21"/>
              </w:rPr>
              <w:t>业务情况介绍</w:t>
            </w:r>
            <w:r>
              <w:rPr>
                <w:rFonts w:hint="eastAsia" w:ascii="宋体" w:hAnsi="宋体" w:eastAsia="宋体"/>
                <w:b/>
                <w:szCs w:val="21"/>
              </w:rPr>
              <w:t xml:space="preserve"> </w:t>
            </w:r>
          </w:p>
          <w:p w14:paraId="63C74525">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kern w:val="0"/>
                <w:sz w:val="21"/>
                <w:szCs w:val="24"/>
                <w:lang w:val="en-US" w:eastAsia="zh-CN" w:bidi="ar"/>
              </w:rPr>
            </w:pPr>
            <w:r>
              <w:rPr>
                <w:rFonts w:hint="eastAsia" w:ascii="宋体" w:hAnsi="宋体" w:eastAsia="宋体"/>
                <w:szCs w:val="21"/>
              </w:rPr>
              <w:t>2</w:t>
            </w:r>
            <w:r>
              <w:rPr>
                <w:rFonts w:hint="default" w:ascii="宋体" w:hAnsi="宋体" w:eastAsia="宋体"/>
                <w:szCs w:val="21"/>
              </w:rPr>
              <w:t>02</w:t>
            </w:r>
            <w:r>
              <w:rPr>
                <w:rFonts w:hint="eastAsia" w:ascii="宋体" w:hAnsi="宋体" w:eastAsia="宋体"/>
                <w:szCs w:val="21"/>
                <w:lang w:val="en-US" w:eastAsia="zh-CN"/>
              </w:rPr>
              <w:t>4</w:t>
            </w:r>
            <w:r>
              <w:rPr>
                <w:rFonts w:hint="default" w:ascii="宋体" w:hAnsi="宋体" w:eastAsia="宋体"/>
                <w:szCs w:val="21"/>
              </w:rPr>
              <w:t>年</w:t>
            </w:r>
            <w:r>
              <w:rPr>
                <w:rFonts w:hint="eastAsia" w:ascii="宋体" w:hAnsi="宋体" w:eastAsia="宋体"/>
                <w:szCs w:val="21"/>
                <w:lang w:val="en-US" w:eastAsia="zh-CN"/>
              </w:rPr>
              <w:t>前三季度</w:t>
            </w:r>
            <w:r>
              <w:rPr>
                <w:rFonts w:hint="eastAsia" w:ascii="宋体" w:hAnsi="宋体" w:eastAsia="宋体"/>
                <w:szCs w:val="21"/>
              </w:rPr>
              <w:t>，公司实现营业收入</w:t>
            </w:r>
            <w:r>
              <w:rPr>
                <w:rFonts w:hint="eastAsia" w:ascii="宋体" w:hAnsi="宋体" w:eastAsia="宋体"/>
                <w:szCs w:val="21"/>
                <w:lang w:val="en-US" w:eastAsia="zh-CN"/>
              </w:rPr>
              <w:t>12.76</w:t>
            </w:r>
            <w:r>
              <w:rPr>
                <w:rFonts w:hint="eastAsia" w:ascii="宋体" w:hAnsi="宋体" w:eastAsia="宋体"/>
                <w:szCs w:val="21"/>
              </w:rPr>
              <w:t>亿元，同比下降</w:t>
            </w:r>
            <w:r>
              <w:rPr>
                <w:rFonts w:hint="eastAsia" w:ascii="宋体" w:hAnsi="宋体" w:eastAsia="宋体"/>
                <w:szCs w:val="21"/>
                <w:lang w:val="en-US" w:eastAsia="zh-CN"/>
              </w:rPr>
              <w:t>27.98</w:t>
            </w:r>
            <w:r>
              <w:rPr>
                <w:rFonts w:hint="default" w:ascii="宋体" w:hAnsi="宋体" w:eastAsia="宋体"/>
                <w:szCs w:val="21"/>
              </w:rPr>
              <w:t>%</w:t>
            </w:r>
            <w:r>
              <w:rPr>
                <w:rFonts w:hint="eastAsia" w:ascii="宋体" w:hAnsi="宋体" w:eastAsia="宋体"/>
                <w:szCs w:val="21"/>
              </w:rPr>
              <w:t>，净利润为-2,2</w:t>
            </w:r>
            <w:r>
              <w:rPr>
                <w:rFonts w:hint="eastAsia" w:ascii="宋体" w:hAnsi="宋体" w:eastAsia="宋体"/>
                <w:szCs w:val="21"/>
                <w:lang w:val="en-US" w:eastAsia="zh-CN"/>
              </w:rPr>
              <w:t>39</w:t>
            </w:r>
            <w:r>
              <w:rPr>
                <w:rFonts w:hint="eastAsia" w:ascii="宋体" w:hAnsi="宋体" w:eastAsia="宋体"/>
                <w:szCs w:val="21"/>
              </w:rPr>
              <w:t>.</w:t>
            </w:r>
            <w:r>
              <w:rPr>
                <w:rFonts w:hint="eastAsia" w:ascii="宋体" w:hAnsi="宋体" w:eastAsia="宋体"/>
                <w:szCs w:val="21"/>
                <w:lang w:val="en-US" w:eastAsia="zh-CN"/>
              </w:rPr>
              <w:t>09</w:t>
            </w:r>
            <w:r>
              <w:rPr>
                <w:rFonts w:hint="eastAsia" w:ascii="宋体" w:hAnsi="宋体" w:eastAsia="宋体"/>
                <w:szCs w:val="21"/>
              </w:rPr>
              <w:t>万元，同比下降</w:t>
            </w:r>
            <w:r>
              <w:rPr>
                <w:rFonts w:hint="eastAsia" w:ascii="宋体" w:hAnsi="宋体" w:eastAsia="宋体"/>
                <w:szCs w:val="21"/>
                <w:lang w:val="en-US" w:eastAsia="zh-CN"/>
              </w:rPr>
              <w:t>180.98</w:t>
            </w:r>
            <w:r>
              <w:rPr>
                <w:rFonts w:hint="eastAsia" w:ascii="宋体" w:hAnsi="宋体" w:eastAsia="宋体"/>
                <w:szCs w:val="21"/>
              </w:rPr>
              <w:t>%，</w:t>
            </w:r>
            <w:r>
              <w:rPr>
                <w:rFonts w:hint="eastAsia" w:ascii="宋体" w:hAnsi="宋体" w:eastAsia="宋体" w:cs="宋体"/>
                <w:kern w:val="0"/>
                <w:sz w:val="21"/>
                <w:szCs w:val="24"/>
                <w:lang w:val="en-US" w:eastAsia="zh-CN" w:bidi="ar"/>
              </w:rPr>
              <w:t>其中：第三季度实现营业收入4.47亿元，同比下降9.38%，净利润18.18万元，扣非净利润-181.81万元，同比下降834.77%。</w:t>
            </w:r>
          </w:p>
          <w:p w14:paraId="5F502C2A">
            <w:pPr>
              <w:keepNext w:val="0"/>
              <w:keepLines w:val="0"/>
              <w:widowControl/>
              <w:suppressLineNumbers w:val="0"/>
              <w:spacing w:before="0" w:beforeAutospacing="0" w:after="0" w:afterAutospacing="0" w:line="360" w:lineRule="auto"/>
              <w:ind w:left="0" w:right="0" w:firstLine="420" w:firstLineChars="200"/>
              <w:jc w:val="both"/>
              <w:rPr>
                <w:rFonts w:hint="default" w:ascii="宋体" w:hAnsi="宋体" w:eastAsia="宋体" w:cs="宋体"/>
                <w:kern w:val="0"/>
                <w:sz w:val="21"/>
                <w:szCs w:val="24"/>
                <w:lang w:val="en-US" w:eastAsia="zh-CN" w:bidi="ar"/>
              </w:rPr>
            </w:pPr>
          </w:p>
          <w:p w14:paraId="4F7C654C">
            <w:pPr>
              <w:keepNext w:val="0"/>
              <w:keepLines w:val="0"/>
              <w:numPr>
                <w:ilvl w:val="0"/>
                <w:numId w:val="1"/>
              </w:numPr>
              <w:suppressLineNumbers w:val="0"/>
              <w:spacing w:before="0" w:beforeAutospacing="0" w:after="0" w:afterAutospacing="0" w:line="360" w:lineRule="auto"/>
              <w:ind w:left="0" w:right="0" w:firstLine="422" w:firstLineChars="200"/>
              <w:rPr>
                <w:rFonts w:hint="default" w:ascii="宋体" w:hAnsi="宋体" w:eastAsia="宋体"/>
                <w:b/>
                <w:szCs w:val="21"/>
              </w:rPr>
            </w:pPr>
            <w:r>
              <w:rPr>
                <w:rFonts w:hint="default" w:ascii="宋体" w:hAnsi="宋体" w:eastAsia="宋体"/>
                <w:b/>
                <w:szCs w:val="21"/>
              </w:rPr>
              <w:t>问答环节</w:t>
            </w:r>
          </w:p>
          <w:p w14:paraId="72B9826F">
            <w:pPr>
              <w:keepNext w:val="0"/>
              <w:keepLines w:val="0"/>
              <w:suppressLineNumbers w:val="0"/>
              <w:spacing w:before="0" w:beforeAutospacing="0" w:after="0" w:afterAutospacing="0" w:line="360" w:lineRule="auto"/>
              <w:ind w:left="0" w:right="0" w:firstLine="422" w:firstLineChars="200"/>
              <w:rPr>
                <w:rFonts w:hint="eastAsia"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公司的轻型动力电芯及模组通过了CCC认证，请介绍新国家标准的具体情况，对行业影响以及对于公司的机遇？</w:t>
            </w:r>
          </w:p>
          <w:p w14:paraId="244D0AF8">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2024年7月，市场监管总局发布公告，对电动自行车用锂离子蓄电池、电动自行车用充电器实施国家强制性产品认证（China Compulsory Certification，简称CCC），自2024年10月15日起受理认证委托。2025年11月1日后，电动自行车用锂离子蓄电池、电动自行车用充电器应当经过CCC认证并标注CCC认证标志，方可出厂、销售、进口或者在其他经营活动中使用。10月23日，博力威自主研发的34145大圆柱电芯及电池组分别获得CCC认证证书。</w:t>
            </w:r>
          </w:p>
          <w:p w14:paraId="08A5128E">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CCC认证管理与11月份执行的电动自行车锂电池强制性国标形成了一套组合拳，将淘汰一大批不合规的锂电池企业，释放出部分市场空间，对整个行业的健康发展有促进作用。同时，强制性认证的实施能够增强消费者对电动自行车锂电池性能和安全上的信心，有利于扩大市场需求，促进行业健康发展。</w:t>
            </w:r>
          </w:p>
          <w:p w14:paraId="39810E77">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公司积极响应国家政策，产品第一时间通过CCC认证，这体现了公司研发、生产和质量的综合实力，将增强公司综合竞争力，有利于进一步提高公司的市场拓展能力。</w:t>
            </w:r>
          </w:p>
          <w:p w14:paraId="16FB4DA9">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p>
          <w:p w14:paraId="063B4A0E">
            <w:pPr>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b/>
                <w:szCs w:val="21"/>
                <w:lang w:val="en-US" w:eastAsia="zh-CN"/>
              </w:rPr>
            </w:pPr>
            <w:r>
              <w:rPr>
                <w:rFonts w:hint="eastAsia" w:ascii="宋体" w:hAnsi="宋体" w:eastAsia="宋体"/>
                <w:b/>
                <w:szCs w:val="21"/>
              </w:rPr>
              <w:t>问：</w:t>
            </w:r>
            <w:r>
              <w:rPr>
                <w:rFonts w:hint="eastAsia" w:ascii="宋体" w:hAnsi="宋体" w:eastAsia="宋体" w:cs="宋体"/>
                <w:b/>
                <w:bCs/>
              </w:rPr>
              <w:t>如何看待铅酸</w:t>
            </w:r>
            <w:r>
              <w:rPr>
                <w:rFonts w:hint="eastAsia" w:ascii="宋体" w:hAnsi="宋体" w:eastAsia="宋体" w:cs="宋体"/>
                <w:b/>
                <w:bCs/>
                <w:lang w:val="en-US" w:eastAsia="zh-CN"/>
              </w:rPr>
              <w:t>电池</w:t>
            </w:r>
            <w:r>
              <w:rPr>
                <w:rFonts w:hint="eastAsia" w:ascii="宋体" w:hAnsi="宋体" w:eastAsia="宋体" w:cs="宋体"/>
                <w:b/>
                <w:bCs/>
              </w:rPr>
              <w:t>和锂电</w:t>
            </w:r>
            <w:r>
              <w:rPr>
                <w:rFonts w:hint="eastAsia" w:ascii="宋体" w:hAnsi="宋体" w:eastAsia="宋体" w:cs="宋体"/>
                <w:b/>
                <w:bCs/>
                <w:lang w:val="en-US" w:eastAsia="zh-CN"/>
              </w:rPr>
              <w:t>池</w:t>
            </w:r>
            <w:r>
              <w:rPr>
                <w:rFonts w:hint="eastAsia" w:ascii="宋体" w:hAnsi="宋体" w:eastAsia="宋体" w:cs="宋体"/>
                <w:b/>
                <w:bCs/>
              </w:rPr>
              <w:t>的关系？</w:t>
            </w:r>
          </w:p>
          <w:p w14:paraId="53014FA1">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答：就目前市场运行来看，锂电池和铅酸电池具有不同的市场定位：铅酸电池更多的应用在居民日常代步出行，锂电池更多应用在快递、外卖、共享等对续航和电池生命周期有较高要求的场景中。伴随着锂电池3C认证和新强标的落地实施，两轮车锂电池行业将会淘汰不合格产品，规范市场运行，同时增强消费者和投资者对两轮车锂电池的市场信心。</w:t>
            </w:r>
          </w:p>
          <w:p w14:paraId="3D6B0A66">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p>
          <w:p w14:paraId="4F5C6E19">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公司电动两轮车电池的业务结构</w:t>
            </w:r>
          </w:p>
          <w:p w14:paraId="632FC97E">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答：公司的电动两轮车电池主要包括电踏车电池和电摩电池，二者业务占比基本持平。就2024年前三季度的业务数据来看，电踏车电池业务占比略高于50%。</w:t>
            </w:r>
          </w:p>
          <w:p w14:paraId="1134AB61">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p>
          <w:p w14:paraId="46B5000D">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全球电动两轮车市场的发展情况</w:t>
            </w:r>
          </w:p>
          <w:p w14:paraId="6D554B41">
            <w:pPr>
              <w:keepNext w:val="0"/>
              <w:keepLines w:val="0"/>
              <w:suppressLineNumbers w:val="0"/>
              <w:spacing w:before="0" w:beforeAutospacing="0" w:after="0" w:afterAutospacing="0" w:line="360" w:lineRule="auto"/>
              <w:ind w:left="0" w:right="0" w:firstLine="420" w:firstLineChars="200"/>
              <w:rPr>
                <w:rFonts w:hint="default" w:ascii="宋体" w:hAnsi="宋体" w:eastAsia="宋体"/>
                <w:b w:val="0"/>
                <w:bCs/>
                <w:szCs w:val="21"/>
                <w:lang w:val="en-US" w:eastAsia="zh-CN"/>
              </w:rPr>
            </w:pPr>
            <w:r>
              <w:rPr>
                <w:rFonts w:hint="eastAsia" w:ascii="宋体" w:hAnsi="宋体" w:eastAsia="宋体"/>
                <w:b w:val="0"/>
                <w:bCs/>
                <w:szCs w:val="21"/>
                <w:lang w:val="en-US" w:eastAsia="zh-CN"/>
              </w:rPr>
              <w:t>答：就电踏车市场来看，目前，欧洲电踏车市场处于低位，市场迹象表明欧洲电踏车市场处于缓慢修复状态，美国电踏车市场在2024年呈现出积极的发展态势，公司在美国的电踏车业务起量。就电摩市场来看，国内电动两轮车市场受到新国标、新强标等政策的落地影响，前期市场存在观望情绪。</w:t>
            </w:r>
          </w:p>
          <w:p w14:paraId="2831E2DB">
            <w:pPr>
              <w:keepNext w:val="0"/>
              <w:keepLines w:val="0"/>
              <w:suppressLineNumbers w:val="0"/>
              <w:spacing w:before="0" w:beforeAutospacing="0" w:after="0" w:afterAutospacing="0" w:line="360" w:lineRule="auto"/>
              <w:ind w:left="0" w:right="0"/>
              <w:rPr>
                <w:rFonts w:hint="eastAsia" w:ascii="宋体" w:hAnsi="宋体" w:eastAsia="宋体"/>
                <w:b w:val="0"/>
                <w:bCs/>
                <w:szCs w:val="21"/>
                <w:lang w:val="en-US" w:eastAsia="zh-CN"/>
              </w:rPr>
            </w:pPr>
            <w:r>
              <w:rPr>
                <w:rFonts w:hint="eastAsia" w:ascii="宋体" w:hAnsi="宋体" w:eastAsia="宋体"/>
                <w:b w:val="0"/>
                <w:bCs/>
                <w:szCs w:val="21"/>
                <w:lang w:val="en-US" w:eastAsia="zh-CN"/>
              </w:rPr>
              <w:t>东南亚油摩保有量高，各国相继推行油改电，电动两轮车潜在空间大。</w:t>
            </w:r>
          </w:p>
          <w:p w14:paraId="5FD65EF4">
            <w:pPr>
              <w:keepNext w:val="0"/>
              <w:keepLines w:val="0"/>
              <w:suppressLineNumbers w:val="0"/>
              <w:spacing w:before="0" w:beforeAutospacing="0" w:after="0" w:afterAutospacing="0" w:line="360" w:lineRule="auto"/>
              <w:ind w:left="0" w:right="0"/>
              <w:rPr>
                <w:rFonts w:hint="default" w:ascii="宋体" w:hAnsi="宋体" w:eastAsia="宋体"/>
                <w:b w:val="0"/>
                <w:bCs/>
                <w:szCs w:val="21"/>
                <w:lang w:val="en-US" w:eastAsia="zh-CN"/>
              </w:rPr>
            </w:pPr>
          </w:p>
          <w:p w14:paraId="6947BFDB">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2024年前三季度，储能业务的发展情况？</w:t>
            </w:r>
          </w:p>
          <w:p w14:paraId="7C0153DB">
            <w:pPr>
              <w:keepNext w:val="0"/>
              <w:keepLines w:val="0"/>
              <w:suppressLineNumbers w:val="0"/>
              <w:spacing w:before="0" w:beforeAutospacing="0" w:after="0" w:afterAutospacing="0" w:line="360" w:lineRule="auto"/>
              <w:ind w:left="0" w:right="0" w:firstLine="420" w:firstLineChars="200"/>
              <w:rPr>
                <w:rFonts w:hint="default" w:ascii="宋体" w:hAnsi="宋体" w:eastAsia="宋体"/>
                <w:szCs w:val="21"/>
                <w:lang w:val="en-US" w:eastAsia="zh-CN"/>
              </w:rPr>
            </w:pPr>
            <w:r>
              <w:rPr>
                <w:rFonts w:hint="eastAsia" w:ascii="宋体" w:hAnsi="宋体" w:eastAsia="宋体"/>
                <w:szCs w:val="21"/>
              </w:rPr>
              <w:t>答：</w:t>
            </w:r>
            <w:r>
              <w:rPr>
                <w:rFonts w:hint="eastAsia" w:ascii="宋体" w:hAnsi="宋体" w:eastAsia="宋体"/>
                <w:szCs w:val="21"/>
                <w:lang w:val="en-US" w:eastAsia="zh-CN"/>
              </w:rPr>
              <w:t>目前，公司的储能产品主要以便携储能和工商业储能为主，2024年前三季度，储能业务营收同比减少，主要是受到南非户用储能市场的影响，家庭储能业务减少也是导致公司营收同比减少的主要原因。储能业务营收环比增长，主要是因为公司新引入客户开始出货。</w:t>
            </w:r>
          </w:p>
          <w:p w14:paraId="772E76B8">
            <w:pPr>
              <w:keepNext w:val="0"/>
              <w:keepLines w:val="0"/>
              <w:suppressLineNumbers w:val="0"/>
              <w:spacing w:before="0" w:beforeAutospacing="0" w:after="0" w:afterAutospacing="0" w:line="360" w:lineRule="auto"/>
              <w:ind w:left="0" w:right="0" w:firstLine="420" w:firstLineChars="200"/>
              <w:rPr>
                <w:rFonts w:hint="default" w:ascii="宋体" w:hAnsi="宋体" w:eastAsia="宋体"/>
                <w:szCs w:val="21"/>
                <w:lang w:val="en-US" w:eastAsia="zh-CN"/>
              </w:rPr>
            </w:pPr>
          </w:p>
          <w:p w14:paraId="2B532ED5">
            <w:pPr>
              <w:keepNext w:val="0"/>
              <w:keepLines w:val="0"/>
              <w:suppressLineNumbers w:val="0"/>
              <w:spacing w:before="0" w:beforeAutospacing="0" w:after="0" w:afterAutospacing="0" w:line="360" w:lineRule="auto"/>
              <w:ind w:left="0" w:right="0" w:firstLine="422" w:firstLineChars="200"/>
              <w:rPr>
                <w:rFonts w:hint="eastAsia"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2024年前三季度，消费电子电池业务的发展情况？</w:t>
            </w:r>
          </w:p>
          <w:p w14:paraId="5663F560">
            <w:pPr>
              <w:keepNext w:val="0"/>
              <w:keepLines w:val="0"/>
              <w:suppressLineNumbers w:val="0"/>
              <w:spacing w:before="0" w:beforeAutospacing="0" w:after="0" w:afterAutospacing="0" w:line="360" w:lineRule="auto"/>
              <w:ind w:left="0" w:right="0" w:firstLine="420" w:firstLineChars="200"/>
              <w:rPr>
                <w:rFonts w:hint="default"/>
                <w:lang w:val="en-US" w:eastAsia="zh-CN"/>
              </w:rPr>
            </w:pPr>
            <w:r>
              <w:rPr>
                <w:rFonts w:hint="eastAsia" w:ascii="宋体" w:hAnsi="宋体" w:eastAsia="宋体"/>
                <w:b w:val="0"/>
                <w:bCs/>
                <w:szCs w:val="21"/>
                <w:lang w:val="en-US" w:eastAsia="zh-CN"/>
              </w:rPr>
              <w:t>答：目前，公司消费电子电池主要包括以笔记本电脑电池为代表的传统消费电子电池和以清洁电器电池、智能穿戴设备电池、AGV电池等产品为代表的新型消费电子电池。2024年前三季度，公司传统笔记本电脑电池业务稳健发展，新型消费电子电池业务与战略客户的合作加深。</w:t>
            </w:r>
          </w:p>
          <w:p w14:paraId="212D7640">
            <w:pPr>
              <w:keepNext w:val="0"/>
              <w:keepLines w:val="0"/>
              <w:suppressLineNumbers w:val="0"/>
              <w:spacing w:before="0" w:beforeAutospacing="0" w:after="0" w:afterAutospacing="0" w:line="360" w:lineRule="auto"/>
              <w:ind w:left="0" w:right="0"/>
              <w:rPr>
                <w:rFonts w:hint="eastAsia" w:ascii="宋体" w:hAnsi="宋体" w:eastAsia="宋体"/>
                <w:b w:val="0"/>
                <w:bCs/>
                <w:szCs w:val="21"/>
                <w:lang w:val="en-US" w:eastAsia="zh-CN"/>
              </w:rPr>
            </w:pPr>
          </w:p>
          <w:p w14:paraId="71F7C628">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rPr>
              <w:t>问：</w:t>
            </w:r>
            <w:r>
              <w:rPr>
                <w:rFonts w:hint="eastAsia" w:ascii="宋体" w:hAnsi="宋体" w:eastAsia="宋体"/>
                <w:b/>
                <w:szCs w:val="21"/>
                <w:lang w:val="en-US" w:eastAsia="zh-CN"/>
              </w:rPr>
              <w:t>公司如何看待消费电子行业的发展？</w:t>
            </w:r>
          </w:p>
          <w:p w14:paraId="769DC534">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r>
              <w:rPr>
                <w:rFonts w:hint="eastAsia" w:ascii="宋体" w:hAnsi="宋体" w:eastAsia="宋体"/>
                <w:b w:val="0"/>
                <w:bCs/>
                <w:szCs w:val="21"/>
                <w:lang w:val="en-US" w:eastAsia="zh-CN"/>
              </w:rPr>
              <w:t>答：消费电子下游利好消息频出：第一，国内以旧换新等政策刺激消费电子更新换代；第二，下半年，下游终端电子产品新品频出，持续刺激消费电子市场。多重因素刺激下，消费电子市场有望持续发展。</w:t>
            </w:r>
          </w:p>
          <w:p w14:paraId="6D78EC53">
            <w:pPr>
              <w:keepNext w:val="0"/>
              <w:keepLines w:val="0"/>
              <w:suppressLineNumbers w:val="0"/>
              <w:spacing w:before="0" w:beforeAutospacing="0" w:after="0" w:afterAutospacing="0" w:line="360" w:lineRule="auto"/>
              <w:ind w:left="0" w:right="0" w:firstLine="420" w:firstLineChars="200"/>
              <w:rPr>
                <w:rFonts w:hint="eastAsia" w:ascii="宋体" w:hAnsi="宋体" w:eastAsia="宋体"/>
                <w:b w:val="0"/>
                <w:bCs/>
                <w:szCs w:val="21"/>
                <w:lang w:val="en-US" w:eastAsia="zh-CN"/>
              </w:rPr>
            </w:pPr>
          </w:p>
          <w:p w14:paraId="7BEC5449">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lang w:val="en-US" w:eastAsia="zh-CN"/>
              </w:rPr>
              <w:t>问：电芯的产能利用率、对公司三大业务的赋能情况？</w:t>
            </w:r>
          </w:p>
          <w:p w14:paraId="0506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lang w:val="en-US" w:eastAsia="zh-CN"/>
              </w:rPr>
            </w:pPr>
            <w:r>
              <w:rPr>
                <w:rFonts w:hint="eastAsia" w:ascii="宋体" w:hAnsi="宋体" w:eastAsia="宋体"/>
                <w:szCs w:val="21"/>
              </w:rPr>
              <w:t>答</w:t>
            </w:r>
            <w:r>
              <w:rPr>
                <w:rFonts w:hint="default" w:ascii="宋体" w:hAnsi="宋体" w:eastAsia="宋体"/>
                <w:szCs w:val="21"/>
              </w:rPr>
              <w:t>：</w:t>
            </w:r>
            <w:r>
              <w:rPr>
                <w:rFonts w:hint="eastAsia" w:ascii="宋体" w:hAnsi="宋体" w:eastAsia="宋体"/>
                <w:szCs w:val="21"/>
                <w:lang w:val="en-US" w:eastAsia="zh-CN"/>
              </w:rPr>
              <w:t>2024年前三季度，公司电芯业务营收持续增加，产能利用率不断爬升，其中换电业务的发展对大圆柱电芯的产能拉升做出了贡献。公司引入了换电和共享出行领域的头部厂商，扩大大圆柱电芯的应用范围，伴随着新业务和新场景的开拓，预计大圆柱电芯的产能利用率还将进一步提升。</w:t>
            </w:r>
          </w:p>
          <w:p w14:paraId="7F015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lang w:val="en-US" w:eastAsia="zh-CN"/>
              </w:rPr>
            </w:pPr>
          </w:p>
          <w:p w14:paraId="489AB4B1">
            <w:pPr>
              <w:keepNext w:val="0"/>
              <w:keepLines w:val="0"/>
              <w:suppressLineNumbers w:val="0"/>
              <w:spacing w:before="0" w:beforeAutospacing="0" w:after="0" w:afterAutospacing="0" w:line="360" w:lineRule="auto"/>
              <w:ind w:left="0" w:right="0" w:firstLine="422" w:firstLineChars="200"/>
              <w:rPr>
                <w:rFonts w:hint="default" w:ascii="宋体" w:hAnsi="宋体" w:eastAsia="宋体"/>
                <w:b/>
                <w:szCs w:val="21"/>
                <w:lang w:val="en-US" w:eastAsia="zh-CN"/>
              </w:rPr>
            </w:pPr>
            <w:r>
              <w:rPr>
                <w:rFonts w:hint="eastAsia" w:ascii="宋体" w:hAnsi="宋体" w:eastAsia="宋体"/>
                <w:b/>
                <w:szCs w:val="21"/>
                <w:lang w:val="en-US" w:eastAsia="zh-CN"/>
              </w:rPr>
              <w:t>问：针对公司发展有哪些针对性措施？</w:t>
            </w:r>
          </w:p>
          <w:p w14:paraId="2AC0D9E4">
            <w:pPr>
              <w:keepNext w:val="0"/>
              <w:keepLines w:val="0"/>
              <w:suppressLineNumbers w:val="0"/>
              <w:spacing w:before="0" w:beforeAutospacing="0" w:after="0" w:afterAutospacing="0" w:line="360" w:lineRule="auto"/>
              <w:ind w:left="0" w:right="0" w:firstLine="420" w:firstLineChars="200"/>
              <w:rPr>
                <w:rFonts w:hint="default" w:ascii="宋体" w:hAnsi="宋体" w:eastAsia="宋体"/>
                <w:szCs w:val="21"/>
                <w:lang w:val="en-US" w:eastAsia="zh-CN"/>
              </w:rPr>
            </w:pPr>
            <w:r>
              <w:rPr>
                <w:rFonts w:hint="eastAsia" w:ascii="宋体" w:hAnsi="宋体" w:eastAsia="宋体"/>
                <w:szCs w:val="21"/>
              </w:rPr>
              <w:t>答</w:t>
            </w:r>
            <w:r>
              <w:rPr>
                <w:rFonts w:hint="default" w:ascii="宋体" w:hAnsi="宋体" w:eastAsia="宋体"/>
                <w:szCs w:val="21"/>
              </w:rPr>
              <w:t>：</w:t>
            </w:r>
            <w:r>
              <w:rPr>
                <w:rFonts w:hint="eastAsia" w:ascii="宋体" w:hAnsi="宋体" w:eastAsia="宋体"/>
                <w:szCs w:val="21"/>
                <w:lang w:val="en-US" w:eastAsia="zh-CN"/>
              </w:rPr>
              <w:t>一方面，公司积极拓展新的应用场景：促进大圆柱电芯在换电、共享等业务场景中实现新发展，带动大圆柱电芯产能利用率</w:t>
            </w:r>
            <w:bookmarkStart w:id="0" w:name="_GoBack"/>
            <w:bookmarkEnd w:id="0"/>
            <w:r>
              <w:rPr>
                <w:rFonts w:hint="eastAsia" w:ascii="宋体" w:hAnsi="宋体" w:eastAsia="宋体"/>
                <w:szCs w:val="21"/>
                <w:lang w:val="en-US" w:eastAsia="zh-CN"/>
              </w:rPr>
              <w:t>拉升。另一方面，公司持续发展战略客户，不断优化客户结构，在智能消费电子、换电、储能等领域进一步加强了与头部客户的合作。同时，公司还加大了海外市场的开发力度：公司在印尼的首个制造基地即将投产，不但能够满足印尼本土化生产需求，还将辐射整个东南亚和印度电动两轮车市场，提升公司在全球电动两轮车领域的市场份额。</w:t>
            </w:r>
          </w:p>
          <w:p w14:paraId="228E0BAA">
            <w:pPr>
              <w:keepNext w:val="0"/>
              <w:keepLines w:val="0"/>
              <w:suppressLineNumbers w:val="0"/>
              <w:spacing w:before="0" w:beforeAutospacing="0" w:after="0" w:afterAutospacing="0" w:line="360" w:lineRule="auto"/>
              <w:ind w:left="0" w:right="0" w:firstLine="420" w:firstLineChars="200"/>
              <w:rPr>
                <w:rFonts w:hint="eastAsia" w:ascii="宋体" w:hAnsi="宋体" w:eastAsia="宋体"/>
                <w:szCs w:val="21"/>
                <w:lang w:val="en-US" w:eastAsia="zh-CN"/>
              </w:rPr>
            </w:pPr>
          </w:p>
          <w:p w14:paraId="218354FD">
            <w:pPr>
              <w:keepNext w:val="0"/>
              <w:keepLines w:val="0"/>
              <w:suppressLineNumbers w:val="0"/>
              <w:spacing w:before="0" w:beforeAutospacing="0" w:after="0" w:afterAutospacing="0" w:line="360" w:lineRule="auto"/>
              <w:ind w:left="0" w:right="0"/>
              <w:rPr>
                <w:rFonts w:hint="eastAsia"/>
              </w:rPr>
            </w:pPr>
          </w:p>
          <w:p w14:paraId="578532B3">
            <w:pPr>
              <w:keepNext w:val="0"/>
              <w:keepLines w:val="0"/>
              <w:suppressLineNumbers w:val="0"/>
              <w:spacing w:before="0" w:beforeAutospacing="0" w:after="0" w:afterAutospacing="0" w:line="360" w:lineRule="auto"/>
              <w:ind w:left="0" w:right="0" w:firstLine="420" w:firstLineChars="200"/>
              <w:rPr>
                <w:rFonts w:hint="default" w:ascii="宋体" w:hAnsi="宋体" w:eastAsia="宋体"/>
                <w:szCs w:val="21"/>
                <w:lang w:val="en-US" w:eastAsia="zh-CN"/>
              </w:rPr>
            </w:pPr>
          </w:p>
        </w:tc>
      </w:tr>
      <w:tr w14:paraId="4A2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0CC5B7D">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关于本次活动是否涉及应当披露重大信息的说明</w:t>
            </w:r>
          </w:p>
        </w:tc>
        <w:tc>
          <w:tcPr>
            <w:tcW w:w="7093" w:type="dxa"/>
            <w:shd w:val="clear" w:color="auto" w:fill="auto"/>
            <w:vAlign w:val="center"/>
          </w:tcPr>
          <w:p w14:paraId="32D6E1DF">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rPr>
            </w:pPr>
            <w:r>
              <w:rPr>
                <w:rFonts w:hint="eastAsia" w:ascii="宋体" w:hAnsi="宋体" w:eastAsia="宋体" w:cs="Times New Roman"/>
                <w:bCs/>
                <w:iCs/>
                <w:sz w:val="24"/>
                <w:szCs w:val="24"/>
              </w:rPr>
              <w:t>本次活动不涉及应当披露重大信息</w:t>
            </w:r>
          </w:p>
        </w:tc>
      </w:tr>
      <w:tr w14:paraId="3976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1B273A8C">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7093" w:type="dxa"/>
            <w:shd w:val="clear" w:color="auto" w:fill="auto"/>
          </w:tcPr>
          <w:p w14:paraId="78214064">
            <w:pPr>
              <w:keepNext w:val="0"/>
              <w:keepLines w:val="0"/>
              <w:suppressLineNumbers w:val="0"/>
              <w:spacing w:before="0" w:beforeAutospacing="0" w:after="0" w:afterAutospacing="0" w:line="360" w:lineRule="auto"/>
              <w:ind w:left="0" w:right="0"/>
              <w:rPr>
                <w:rFonts w:hint="default" w:ascii="宋体" w:hAnsi="宋体" w:eastAsia="宋体" w:cs="Times New Roman"/>
                <w:bCs/>
                <w:iCs/>
                <w:sz w:val="24"/>
                <w:szCs w:val="24"/>
              </w:rPr>
            </w:pPr>
          </w:p>
        </w:tc>
      </w:tr>
      <w:tr w14:paraId="1E6D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vAlign w:val="center"/>
          </w:tcPr>
          <w:p w14:paraId="5B853EB1">
            <w:pPr>
              <w:keepNext w:val="0"/>
              <w:keepLines w:val="0"/>
              <w:suppressLineNumbers w:val="0"/>
              <w:spacing w:before="0" w:beforeAutospacing="0" w:after="0" w:afterAutospacing="0" w:line="360" w:lineRule="auto"/>
              <w:ind w:left="0" w:right="0"/>
              <w:rPr>
                <w:rFonts w:hint="default"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7093" w:type="dxa"/>
            <w:shd w:val="clear" w:color="auto" w:fill="auto"/>
            <w:vAlign w:val="center"/>
          </w:tcPr>
          <w:p w14:paraId="37CA6C64">
            <w:pPr>
              <w:keepNext w:val="0"/>
              <w:keepLines w:val="0"/>
              <w:suppressLineNumbers w:val="0"/>
              <w:spacing w:before="0" w:beforeAutospacing="0" w:after="0" w:afterAutospacing="0" w:line="360" w:lineRule="auto"/>
              <w:ind w:left="0" w:right="0"/>
              <w:rPr>
                <w:rFonts w:hint="default" w:ascii="宋体" w:hAnsi="宋体" w:eastAsia="宋体" w:cs="Times New Roman"/>
                <w:iCs/>
                <w:sz w:val="24"/>
                <w:szCs w:val="24"/>
              </w:rPr>
            </w:pPr>
            <w:r>
              <w:rPr>
                <w:rFonts w:hint="eastAsia" w:ascii="宋体" w:hAnsi="宋体" w:eastAsia="宋体" w:cs="Times New Roman"/>
                <w:iCs/>
                <w:sz w:val="24"/>
                <w:szCs w:val="24"/>
              </w:rPr>
              <w:t>202</w:t>
            </w:r>
            <w:r>
              <w:rPr>
                <w:rFonts w:hint="default" w:ascii="宋体" w:hAnsi="宋体" w:eastAsia="宋体" w:cs="Times New Roman"/>
                <w:iCs/>
                <w:sz w:val="24"/>
                <w:szCs w:val="24"/>
              </w:rPr>
              <w:t>4</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11</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w:t>
            </w:r>
            <w:r>
              <w:rPr>
                <w:rFonts w:hint="eastAsia" w:ascii="宋体" w:hAnsi="宋体" w:eastAsia="宋体" w:cs="Times New Roman"/>
                <w:iCs/>
                <w:sz w:val="24"/>
                <w:szCs w:val="24"/>
              </w:rPr>
              <w:t>日</w:t>
            </w:r>
          </w:p>
        </w:tc>
      </w:tr>
    </w:tbl>
    <w:p w14:paraId="1968EB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7CFD1"/>
    <w:multiLevelType w:val="singleLevel"/>
    <w:tmpl w:val="47D7CFD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iNjkwMjkyODA3MTc0M2U0MDcxYTA4YzlmNDhjMDYifQ=="/>
  </w:docVars>
  <w:rsids>
    <w:rsidRoot w:val="00C464B1"/>
    <w:rsid w:val="00025903"/>
    <w:rsid w:val="0003213A"/>
    <w:rsid w:val="00032202"/>
    <w:rsid w:val="000334EB"/>
    <w:rsid w:val="000420E1"/>
    <w:rsid w:val="0005088A"/>
    <w:rsid w:val="00054F57"/>
    <w:rsid w:val="0005506A"/>
    <w:rsid w:val="00055803"/>
    <w:rsid w:val="000907ED"/>
    <w:rsid w:val="000959E1"/>
    <w:rsid w:val="000A7169"/>
    <w:rsid w:val="000B7728"/>
    <w:rsid w:val="000D55AC"/>
    <w:rsid w:val="000E0D4B"/>
    <w:rsid w:val="000F1B91"/>
    <w:rsid w:val="000F4F06"/>
    <w:rsid w:val="0010371C"/>
    <w:rsid w:val="001212DA"/>
    <w:rsid w:val="00124176"/>
    <w:rsid w:val="0013280D"/>
    <w:rsid w:val="0013329C"/>
    <w:rsid w:val="001366D1"/>
    <w:rsid w:val="00137AF3"/>
    <w:rsid w:val="001A0C24"/>
    <w:rsid w:val="001B3BE5"/>
    <w:rsid w:val="001B689F"/>
    <w:rsid w:val="001D7F75"/>
    <w:rsid w:val="001E2E31"/>
    <w:rsid w:val="001F13C1"/>
    <w:rsid w:val="001F1482"/>
    <w:rsid w:val="001F7718"/>
    <w:rsid w:val="002007D1"/>
    <w:rsid w:val="00204CCF"/>
    <w:rsid w:val="0021448F"/>
    <w:rsid w:val="002211E2"/>
    <w:rsid w:val="002269A7"/>
    <w:rsid w:val="00231AE9"/>
    <w:rsid w:val="00253BE7"/>
    <w:rsid w:val="00285E4E"/>
    <w:rsid w:val="0029162E"/>
    <w:rsid w:val="002A0268"/>
    <w:rsid w:val="002C2271"/>
    <w:rsid w:val="002D58BD"/>
    <w:rsid w:val="002D7D90"/>
    <w:rsid w:val="002D7F10"/>
    <w:rsid w:val="002E24AA"/>
    <w:rsid w:val="003006F0"/>
    <w:rsid w:val="00304F10"/>
    <w:rsid w:val="0031242D"/>
    <w:rsid w:val="0031537E"/>
    <w:rsid w:val="003222CD"/>
    <w:rsid w:val="00322657"/>
    <w:rsid w:val="00331B58"/>
    <w:rsid w:val="003355BF"/>
    <w:rsid w:val="00353E95"/>
    <w:rsid w:val="00367E08"/>
    <w:rsid w:val="00367E85"/>
    <w:rsid w:val="00371BBE"/>
    <w:rsid w:val="003742C0"/>
    <w:rsid w:val="00375A7A"/>
    <w:rsid w:val="0037611E"/>
    <w:rsid w:val="00395C47"/>
    <w:rsid w:val="003A4B83"/>
    <w:rsid w:val="003B3E39"/>
    <w:rsid w:val="003C44F2"/>
    <w:rsid w:val="003E74D9"/>
    <w:rsid w:val="00402C97"/>
    <w:rsid w:val="0040333B"/>
    <w:rsid w:val="00427A9C"/>
    <w:rsid w:val="0043594C"/>
    <w:rsid w:val="0044201F"/>
    <w:rsid w:val="004542CC"/>
    <w:rsid w:val="004576C4"/>
    <w:rsid w:val="00457AA4"/>
    <w:rsid w:val="00462A77"/>
    <w:rsid w:val="004642E2"/>
    <w:rsid w:val="00467589"/>
    <w:rsid w:val="004720EE"/>
    <w:rsid w:val="0047249E"/>
    <w:rsid w:val="00476F8B"/>
    <w:rsid w:val="00477D36"/>
    <w:rsid w:val="004A7798"/>
    <w:rsid w:val="004C36F0"/>
    <w:rsid w:val="004F3642"/>
    <w:rsid w:val="00501670"/>
    <w:rsid w:val="0051667E"/>
    <w:rsid w:val="0052233B"/>
    <w:rsid w:val="00522356"/>
    <w:rsid w:val="00530058"/>
    <w:rsid w:val="005360C4"/>
    <w:rsid w:val="005368D6"/>
    <w:rsid w:val="00552254"/>
    <w:rsid w:val="00553F73"/>
    <w:rsid w:val="00565E6A"/>
    <w:rsid w:val="005669F7"/>
    <w:rsid w:val="00572C88"/>
    <w:rsid w:val="005773DA"/>
    <w:rsid w:val="00577DD8"/>
    <w:rsid w:val="00584339"/>
    <w:rsid w:val="00587599"/>
    <w:rsid w:val="00591884"/>
    <w:rsid w:val="00592090"/>
    <w:rsid w:val="005A1168"/>
    <w:rsid w:val="005A331E"/>
    <w:rsid w:val="005B4A2F"/>
    <w:rsid w:val="005B51D5"/>
    <w:rsid w:val="005D5076"/>
    <w:rsid w:val="005D7171"/>
    <w:rsid w:val="005E354B"/>
    <w:rsid w:val="005E55C5"/>
    <w:rsid w:val="005F5E99"/>
    <w:rsid w:val="0060070D"/>
    <w:rsid w:val="00606768"/>
    <w:rsid w:val="00625628"/>
    <w:rsid w:val="006256F9"/>
    <w:rsid w:val="00632B5F"/>
    <w:rsid w:val="0063621B"/>
    <w:rsid w:val="00636A85"/>
    <w:rsid w:val="0065231F"/>
    <w:rsid w:val="00652FBB"/>
    <w:rsid w:val="006565BE"/>
    <w:rsid w:val="00670CFD"/>
    <w:rsid w:val="00672F2A"/>
    <w:rsid w:val="006813FC"/>
    <w:rsid w:val="00693816"/>
    <w:rsid w:val="00697B91"/>
    <w:rsid w:val="006A0212"/>
    <w:rsid w:val="006B1094"/>
    <w:rsid w:val="006B597B"/>
    <w:rsid w:val="006C1999"/>
    <w:rsid w:val="006C282C"/>
    <w:rsid w:val="006C5790"/>
    <w:rsid w:val="006C673D"/>
    <w:rsid w:val="006E1D9E"/>
    <w:rsid w:val="006E39E2"/>
    <w:rsid w:val="006F0F88"/>
    <w:rsid w:val="00707F1C"/>
    <w:rsid w:val="007172E3"/>
    <w:rsid w:val="00721ABB"/>
    <w:rsid w:val="00724832"/>
    <w:rsid w:val="007266C2"/>
    <w:rsid w:val="00726E6A"/>
    <w:rsid w:val="00726F63"/>
    <w:rsid w:val="00731120"/>
    <w:rsid w:val="00734C00"/>
    <w:rsid w:val="00737618"/>
    <w:rsid w:val="0074098E"/>
    <w:rsid w:val="00745A09"/>
    <w:rsid w:val="00766491"/>
    <w:rsid w:val="00771EAD"/>
    <w:rsid w:val="00790C98"/>
    <w:rsid w:val="007A3B0B"/>
    <w:rsid w:val="007B6545"/>
    <w:rsid w:val="007D5D96"/>
    <w:rsid w:val="007D6343"/>
    <w:rsid w:val="007E4E00"/>
    <w:rsid w:val="007E560F"/>
    <w:rsid w:val="007E5E5B"/>
    <w:rsid w:val="007F01FC"/>
    <w:rsid w:val="007F2C5A"/>
    <w:rsid w:val="00824783"/>
    <w:rsid w:val="00826F07"/>
    <w:rsid w:val="00827491"/>
    <w:rsid w:val="00831BFD"/>
    <w:rsid w:val="00834A8E"/>
    <w:rsid w:val="00857409"/>
    <w:rsid w:val="00861242"/>
    <w:rsid w:val="008741A0"/>
    <w:rsid w:val="00874E58"/>
    <w:rsid w:val="00882938"/>
    <w:rsid w:val="00885735"/>
    <w:rsid w:val="008975E9"/>
    <w:rsid w:val="008A1039"/>
    <w:rsid w:val="008A5832"/>
    <w:rsid w:val="008A5BF0"/>
    <w:rsid w:val="008B0763"/>
    <w:rsid w:val="008B3416"/>
    <w:rsid w:val="008B6F1A"/>
    <w:rsid w:val="008B73C1"/>
    <w:rsid w:val="008B7FF5"/>
    <w:rsid w:val="008C46A8"/>
    <w:rsid w:val="008C7759"/>
    <w:rsid w:val="008D5A54"/>
    <w:rsid w:val="008E183E"/>
    <w:rsid w:val="008E6AC7"/>
    <w:rsid w:val="008F1210"/>
    <w:rsid w:val="008F775A"/>
    <w:rsid w:val="0090266C"/>
    <w:rsid w:val="00903134"/>
    <w:rsid w:val="00904659"/>
    <w:rsid w:val="0092773A"/>
    <w:rsid w:val="00933CB6"/>
    <w:rsid w:val="00946EEB"/>
    <w:rsid w:val="00950C83"/>
    <w:rsid w:val="00962FB2"/>
    <w:rsid w:val="009632CA"/>
    <w:rsid w:val="00977127"/>
    <w:rsid w:val="00977C39"/>
    <w:rsid w:val="00986925"/>
    <w:rsid w:val="009A0527"/>
    <w:rsid w:val="009B2B16"/>
    <w:rsid w:val="009B72E8"/>
    <w:rsid w:val="009C0491"/>
    <w:rsid w:val="009C4403"/>
    <w:rsid w:val="009D02F5"/>
    <w:rsid w:val="009F2FC0"/>
    <w:rsid w:val="00A11130"/>
    <w:rsid w:val="00A125BD"/>
    <w:rsid w:val="00A169E8"/>
    <w:rsid w:val="00A20BEC"/>
    <w:rsid w:val="00A330E6"/>
    <w:rsid w:val="00A330F4"/>
    <w:rsid w:val="00A37DC4"/>
    <w:rsid w:val="00A65E50"/>
    <w:rsid w:val="00A7310A"/>
    <w:rsid w:val="00A74FF4"/>
    <w:rsid w:val="00A82655"/>
    <w:rsid w:val="00A838D4"/>
    <w:rsid w:val="00AA6FCE"/>
    <w:rsid w:val="00AC06EA"/>
    <w:rsid w:val="00AC13C4"/>
    <w:rsid w:val="00AC46CA"/>
    <w:rsid w:val="00AD2DEC"/>
    <w:rsid w:val="00AF248C"/>
    <w:rsid w:val="00AF45C5"/>
    <w:rsid w:val="00B04A26"/>
    <w:rsid w:val="00B06315"/>
    <w:rsid w:val="00B06412"/>
    <w:rsid w:val="00B12113"/>
    <w:rsid w:val="00B52CAE"/>
    <w:rsid w:val="00B825F1"/>
    <w:rsid w:val="00B87C60"/>
    <w:rsid w:val="00B91DEB"/>
    <w:rsid w:val="00B91F88"/>
    <w:rsid w:val="00B95F2F"/>
    <w:rsid w:val="00BA3E90"/>
    <w:rsid w:val="00BA53DC"/>
    <w:rsid w:val="00BA55CA"/>
    <w:rsid w:val="00BA6E36"/>
    <w:rsid w:val="00BA78AC"/>
    <w:rsid w:val="00BB20E8"/>
    <w:rsid w:val="00BB3FC3"/>
    <w:rsid w:val="00BE7389"/>
    <w:rsid w:val="00C04060"/>
    <w:rsid w:val="00C06B4A"/>
    <w:rsid w:val="00C124E7"/>
    <w:rsid w:val="00C20E4E"/>
    <w:rsid w:val="00C31926"/>
    <w:rsid w:val="00C435B3"/>
    <w:rsid w:val="00C4461B"/>
    <w:rsid w:val="00C464B1"/>
    <w:rsid w:val="00C6718D"/>
    <w:rsid w:val="00C84BC4"/>
    <w:rsid w:val="00C9769E"/>
    <w:rsid w:val="00CB1F72"/>
    <w:rsid w:val="00CF3C16"/>
    <w:rsid w:val="00D038CA"/>
    <w:rsid w:val="00D210F3"/>
    <w:rsid w:val="00D2252C"/>
    <w:rsid w:val="00D22CCB"/>
    <w:rsid w:val="00D2318E"/>
    <w:rsid w:val="00D2443E"/>
    <w:rsid w:val="00D24BDD"/>
    <w:rsid w:val="00D27DCB"/>
    <w:rsid w:val="00D337F4"/>
    <w:rsid w:val="00D34256"/>
    <w:rsid w:val="00D34669"/>
    <w:rsid w:val="00D4495D"/>
    <w:rsid w:val="00D50D90"/>
    <w:rsid w:val="00D55983"/>
    <w:rsid w:val="00D56A4D"/>
    <w:rsid w:val="00D84935"/>
    <w:rsid w:val="00DA13A2"/>
    <w:rsid w:val="00DA6417"/>
    <w:rsid w:val="00DA6A74"/>
    <w:rsid w:val="00DA6BC5"/>
    <w:rsid w:val="00DA7539"/>
    <w:rsid w:val="00DB4165"/>
    <w:rsid w:val="00DC1285"/>
    <w:rsid w:val="00DC1455"/>
    <w:rsid w:val="00DC1E1E"/>
    <w:rsid w:val="00DC5C2B"/>
    <w:rsid w:val="00DF60D9"/>
    <w:rsid w:val="00E01A2D"/>
    <w:rsid w:val="00E02B5B"/>
    <w:rsid w:val="00E07410"/>
    <w:rsid w:val="00E22291"/>
    <w:rsid w:val="00E36E93"/>
    <w:rsid w:val="00E51317"/>
    <w:rsid w:val="00E62C6A"/>
    <w:rsid w:val="00E65C01"/>
    <w:rsid w:val="00E857D1"/>
    <w:rsid w:val="00E91FF0"/>
    <w:rsid w:val="00EA2D9A"/>
    <w:rsid w:val="00EA6FC6"/>
    <w:rsid w:val="00EB7D23"/>
    <w:rsid w:val="00EC0E10"/>
    <w:rsid w:val="00EC298C"/>
    <w:rsid w:val="00EC3177"/>
    <w:rsid w:val="00ED4D3D"/>
    <w:rsid w:val="00ED78C7"/>
    <w:rsid w:val="00F15504"/>
    <w:rsid w:val="00F24D6E"/>
    <w:rsid w:val="00F346FE"/>
    <w:rsid w:val="00F40C57"/>
    <w:rsid w:val="00F424A7"/>
    <w:rsid w:val="00F42511"/>
    <w:rsid w:val="00F5145A"/>
    <w:rsid w:val="00F53496"/>
    <w:rsid w:val="00F538B0"/>
    <w:rsid w:val="00F5414A"/>
    <w:rsid w:val="00F61886"/>
    <w:rsid w:val="00F63801"/>
    <w:rsid w:val="00F80398"/>
    <w:rsid w:val="00F84DBD"/>
    <w:rsid w:val="00F87E65"/>
    <w:rsid w:val="00F91C4B"/>
    <w:rsid w:val="00FD645D"/>
    <w:rsid w:val="00FE39A1"/>
    <w:rsid w:val="00FF647E"/>
    <w:rsid w:val="05A22916"/>
    <w:rsid w:val="101533B1"/>
    <w:rsid w:val="113B24D4"/>
    <w:rsid w:val="141C58CD"/>
    <w:rsid w:val="17BA3E30"/>
    <w:rsid w:val="18124FB3"/>
    <w:rsid w:val="1A6F586F"/>
    <w:rsid w:val="1AAA4135"/>
    <w:rsid w:val="1EC92F0B"/>
    <w:rsid w:val="248B1A81"/>
    <w:rsid w:val="24A96E91"/>
    <w:rsid w:val="26673FB6"/>
    <w:rsid w:val="29503177"/>
    <w:rsid w:val="2ECA234C"/>
    <w:rsid w:val="33127A49"/>
    <w:rsid w:val="376F0E29"/>
    <w:rsid w:val="424B3DD2"/>
    <w:rsid w:val="43312354"/>
    <w:rsid w:val="45570552"/>
    <w:rsid w:val="491C4100"/>
    <w:rsid w:val="4DA96408"/>
    <w:rsid w:val="4E105DDD"/>
    <w:rsid w:val="51702566"/>
    <w:rsid w:val="5557610E"/>
    <w:rsid w:val="598434FE"/>
    <w:rsid w:val="5B464E69"/>
    <w:rsid w:val="5D6F2D63"/>
    <w:rsid w:val="603A624F"/>
    <w:rsid w:val="6AB44ABD"/>
    <w:rsid w:val="6D336949"/>
    <w:rsid w:val="6F6A01A5"/>
    <w:rsid w:val="70A80D1F"/>
    <w:rsid w:val="725700A9"/>
    <w:rsid w:val="7D1E6D02"/>
    <w:rsid w:val="7DD21B31"/>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1"/>
      <w:szCs w:val="21"/>
    </w:rPr>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_Style 208"/>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s/>
</file>

<file path=customXml/itemProps1.xml><?xml version="1.0" encoding="utf-8"?>
<ds:datastoreItem xmlns:ds="http://schemas.openxmlformats.org/officeDocument/2006/customXml" ds:itemID="{F7E7A535-914F-45B1-9DEC-C4FD309410ED}">
  <ds:schemaRefs/>
</ds:datastoreItem>
</file>

<file path=customXml/itemProps2.xml><?xml version="1.0" encoding="utf-8"?>
<ds:datastoreItem xmlns:ds="http://schemas.openxmlformats.org/officeDocument/2006/customXml" ds:itemID="{B94740C3-4074-4742-9D0A-3681DE7CBAD9}">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2175</Words>
  <Characters>2338</Characters>
  <Lines>12</Lines>
  <Paragraphs>3</Paragraphs>
  <TotalTime>93</TotalTime>
  <ScaleCrop>false</ScaleCrop>
  <LinksUpToDate>false</LinksUpToDate>
  <CharactersWithSpaces>2420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2023-05-29T08:34:00Z</dcterms:created>
  <dc:creator>P</dc:creator>
  <cp:lastModifiedBy>₁₄₅₃₈₁₁₃₉₈</cp:lastModifiedBy>
  <dcterms:modified xsi:type="dcterms:W3CDTF">2024-11-01T09:34:04Z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6114F17AAE08435A8E001B9B551F1FF2_13</vt:lpwstr>
  </property>
</Properties>
</file>