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70CEB" w14:textId="77777777" w:rsidR="00C16075" w:rsidRDefault="008C360A">
      <w:pPr>
        <w:spacing w:beforeLines="100" w:before="240" w:afterLines="100" w:after="240"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证券代码：688</w:t>
      </w:r>
      <w:r>
        <w:rPr>
          <w:rFonts w:ascii="宋体" w:eastAsia="宋体" w:hAnsi="宋体" w:cs="宋体"/>
          <w:sz w:val="24"/>
          <w:szCs w:val="24"/>
        </w:rPr>
        <w:t>349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证券简称：三一重能</w:t>
      </w:r>
    </w:p>
    <w:p w14:paraId="41675E60" w14:textId="77777777" w:rsidR="00C16075" w:rsidRDefault="008C360A">
      <w:pPr>
        <w:spacing w:beforeLines="50" w:before="120" w:afterLines="50" w:after="120" w:line="240" w:lineRule="auto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三一重能股份有限公司</w:t>
      </w:r>
    </w:p>
    <w:p w14:paraId="359C5BE6" w14:textId="77777777" w:rsidR="00C16075" w:rsidRDefault="008C360A">
      <w:pPr>
        <w:spacing w:beforeLines="50" w:before="120" w:afterLines="50" w:after="120" w:line="240" w:lineRule="auto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投资者关系活动记录表</w:t>
      </w:r>
    </w:p>
    <w:p w14:paraId="4A7E43EC" w14:textId="77777777" w:rsidR="00C16075" w:rsidRDefault="008C360A">
      <w:pPr>
        <w:spacing w:after="0"/>
        <w:ind w:left="1179"/>
        <w:jc w:val="righ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编号：2024-003</w:t>
      </w:r>
    </w:p>
    <w:tbl>
      <w:tblPr>
        <w:tblStyle w:val="TableGrid"/>
        <w:tblW w:w="5002" w:type="pct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749"/>
        <w:gridCol w:w="6554"/>
      </w:tblGrid>
      <w:tr w:rsidR="00C16075" w14:paraId="4FEBF885" w14:textId="77777777">
        <w:trPr>
          <w:trHeight w:val="1673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8581" w14:textId="77777777" w:rsidR="00C16075" w:rsidRDefault="008C360A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E9EB9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分析师会议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媒体采访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现场参观          </w:t>
            </w:r>
            <w:r w:rsidR="004512D1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业绩说明       </w:t>
            </w:r>
            <w:r w:rsidR="004512D1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路演活动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一对一沟通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新闻发布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其他（券商策略会）</w:t>
            </w:r>
          </w:p>
        </w:tc>
      </w:tr>
      <w:tr w:rsidR="00C16075" w14:paraId="7E284769" w14:textId="77777777">
        <w:trPr>
          <w:trHeight w:val="338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F3F0" w14:textId="77777777" w:rsidR="00C16075" w:rsidRDefault="008C360A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0E0F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投资者在线提问，详见文后附录</w:t>
            </w:r>
          </w:p>
        </w:tc>
      </w:tr>
      <w:tr w:rsidR="00C16075" w14:paraId="49E2D956" w14:textId="77777777">
        <w:trPr>
          <w:trHeight w:val="527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91E9" w14:textId="77777777" w:rsidR="00C16075" w:rsidRDefault="008C360A">
            <w:pPr>
              <w:snapToGrid w:val="0"/>
              <w:spacing w:after="0" w:line="360" w:lineRule="auto"/>
              <w:ind w:firstLineChars="200"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80C4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2024年10月31日 10：00—11：00</w:t>
            </w:r>
          </w:p>
        </w:tc>
      </w:tr>
      <w:tr w:rsidR="00C16075" w14:paraId="5A444BFD" w14:textId="77777777">
        <w:trPr>
          <w:trHeight w:val="490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9515" w14:textId="77777777" w:rsidR="00C16075" w:rsidRDefault="008C360A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BFC21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线上会议</w:t>
            </w:r>
          </w:p>
        </w:tc>
      </w:tr>
      <w:tr w:rsidR="00C16075" w14:paraId="761BA90D" w14:textId="77777777">
        <w:trPr>
          <w:trHeight w:val="639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0620" w14:textId="77777777" w:rsidR="00C16075" w:rsidRDefault="008C360A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接待人员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BAB9A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三一重能财务总监：张营</w:t>
            </w:r>
          </w:p>
          <w:p w14:paraId="48C312B4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三一重能董事会秘书：周利凯</w:t>
            </w:r>
          </w:p>
          <w:p w14:paraId="7EB16279" w14:textId="77777777" w:rsidR="00280B86" w:rsidRPr="00280B86" w:rsidRDefault="00280B86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三一重能海外营销负责人：关锋</w:t>
            </w:r>
          </w:p>
        </w:tc>
      </w:tr>
      <w:tr w:rsidR="00C16075" w14:paraId="465DB4F2" w14:textId="77777777">
        <w:trPr>
          <w:trHeight w:val="490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438C" w14:textId="77777777" w:rsidR="00C16075" w:rsidRDefault="008C360A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投资者交流</w:t>
            </w:r>
          </w:p>
          <w:p w14:paraId="62F91405" w14:textId="77777777" w:rsidR="00C16075" w:rsidRDefault="008C360A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主要内容介绍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1EC92" w14:textId="77777777" w:rsidR="00C16075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0D41F2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414EBB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目前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公司海外市场的订单主要</w:t>
            </w:r>
            <w:r w:rsidR="00414EBB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涉及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哪些区域，大概体量有多少，如何看待欧洲市场？</w:t>
            </w:r>
          </w:p>
          <w:p w14:paraId="7B5D4DF7" w14:textId="77777777" w:rsidR="00F02766" w:rsidRPr="00F02766" w:rsidRDefault="00F02766" w:rsidP="00F02766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F02766">
              <w:rPr>
                <w:rFonts w:ascii="宋体" w:hAnsi="宋体" w:cs="宋体"/>
                <w:color w:val="000000"/>
                <w:kern w:val="0"/>
                <w:szCs w:val="24"/>
              </w:rPr>
              <w:t>公司已于10月28日披露《关于签订海外风电机组销售合同的公告》，公司与印度JSW集团三家子公司及胜科集团印度子公司签订共计1,624MW风电机组销售合同,上述合同的签订是公司海外业务战略布局阶段性的成果体现。</w:t>
            </w:r>
          </w:p>
          <w:p w14:paraId="4584EE06" w14:textId="77777777" w:rsidR="00F02766" w:rsidRDefault="00F02766" w:rsidP="00F02766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F02766">
              <w:rPr>
                <w:rFonts w:ascii="宋体" w:hAnsi="宋体" w:cs="宋体"/>
                <w:color w:val="000000"/>
                <w:kern w:val="0"/>
                <w:szCs w:val="24"/>
              </w:rPr>
              <w:t>此外，公司也已在东南亚、中亚区域成功中标了多个项目，在多个国家实现市场突破。欧洲作为全球风电的发源地之一，准入要求与标准高，市场竞争比较激烈。公司十分重视欧洲市场，正积极开展大客户的供应商准入和部分项目的洽谈对接工作，公司后续也将根据欧洲地区的政策、市场情况、发展趋势推进欧洲建厂工作。</w:t>
            </w:r>
          </w:p>
          <w:p w14:paraId="17AC283C" w14:textId="77777777" w:rsidR="0071316C" w:rsidRPr="00F02766" w:rsidRDefault="0071316C" w:rsidP="00F02766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42904749" w14:textId="77777777" w:rsidR="00C16075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442DB8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：公司</w:t>
            </w:r>
            <w:r w:rsidR="009F4877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对</w:t>
            </w:r>
            <w:r w:rsidRPr="00D57EC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海外市场</w:t>
            </w:r>
            <w:r w:rsidR="006B58A6" w:rsidRPr="00D57EC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的</w:t>
            </w:r>
            <w:r w:rsidRPr="00D57EC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规划如何？</w:t>
            </w:r>
          </w:p>
          <w:p w14:paraId="340B8BEB" w14:textId="77777777" w:rsidR="00CE1603" w:rsidRPr="00CE1603" w:rsidRDefault="00CE1603" w:rsidP="00CE1603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E1603">
              <w:rPr>
                <w:rFonts w:ascii="宋体" w:hAnsi="宋体" w:cs="宋体"/>
                <w:color w:val="000000"/>
                <w:kern w:val="0"/>
                <w:szCs w:val="24"/>
              </w:rPr>
              <w:t>海外风电市场发展前景广阔，特别是新兴市场空间巨大。目前，公司海外市场主要分为亚洲、欧洲、非洲、拉美</w:t>
            </w:r>
            <w:r w:rsidRPr="00CE1603">
              <w:rPr>
                <w:rFonts w:ascii="宋体" w:hAnsi="宋体" w:cs="宋体"/>
                <w:color w:val="000000"/>
                <w:kern w:val="0"/>
                <w:szCs w:val="24"/>
              </w:rPr>
              <w:lastRenderedPageBreak/>
              <w:t>等区域，</w:t>
            </w:r>
            <w:r w:rsidR="0022674E">
              <w:rPr>
                <w:rFonts w:ascii="宋体" w:hAnsi="宋体" w:cs="宋体" w:hint="eastAsia"/>
                <w:color w:val="000000"/>
                <w:kern w:val="0"/>
                <w:szCs w:val="24"/>
              </w:rPr>
              <w:t>公司</w:t>
            </w:r>
            <w:r w:rsidRPr="00CE1603">
              <w:rPr>
                <w:rFonts w:ascii="宋体" w:hAnsi="宋体" w:cs="宋体"/>
                <w:color w:val="000000"/>
                <w:kern w:val="0"/>
                <w:szCs w:val="24"/>
              </w:rPr>
              <w:t>正持续积极推进各区域业务拓展，并已取得显著进展。公司积极推进海外布局，在巴西、阿联酋、菲律宾、南非等地成立子公司，推动印度工厂扩产，筹备哈萨克斯坦工厂开工建设。此外，公司也在积极布局海外绿地开发及工程建设方面的业务，如公司已在中亚地区获得吉瓦级绿地项目的开发权。</w:t>
            </w:r>
          </w:p>
          <w:p w14:paraId="3A038C64" w14:textId="77777777" w:rsidR="00CE1603" w:rsidRDefault="00CE1603" w:rsidP="00CE1603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E1603">
              <w:rPr>
                <w:rFonts w:ascii="宋体" w:hAnsi="宋体" w:cs="宋体"/>
                <w:color w:val="000000"/>
                <w:kern w:val="0"/>
                <w:szCs w:val="24"/>
              </w:rPr>
              <w:t>亚太、中东、非洲等区域是公司近几年的主要目标市场，上述区域经济发展较为迅速，对风电等新能源的需求潜力巨大；欧洲、拉美等区域风电市场潜力大，项目价格和利润水平高，也是公司未来需要突破的重点区域。</w:t>
            </w:r>
          </w:p>
          <w:p w14:paraId="352D9FE3" w14:textId="77777777" w:rsidR="0071316C" w:rsidRPr="00CE1603" w:rsidRDefault="0071316C" w:rsidP="00CE1603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325B8CD9" w14:textId="77777777" w:rsidR="00C16075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E7730E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E7730E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="00FA3DF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第</w:t>
            </w:r>
            <w:r w:rsidR="00211CA9" w:rsidRPr="00211CA9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3</w:t>
            </w:r>
            <w:r w:rsidR="00211CA9" w:rsidRPr="00211CA9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季度风机毛利率水平如何，</w:t>
            </w:r>
            <w:r w:rsidR="00FA3DF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预计</w:t>
            </w:r>
            <w:r w:rsidR="00211CA9" w:rsidRPr="00211CA9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今年</w:t>
            </w:r>
            <w:r w:rsidR="00211CA9" w:rsidRPr="00211CA9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4</w:t>
            </w:r>
            <w:r w:rsidR="00211CA9" w:rsidRPr="00211CA9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季度以及全年风机毛利率</w:t>
            </w:r>
            <w:r w:rsidR="00211CA9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如何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7D37424F" w14:textId="77777777" w:rsidR="00AB0577" w:rsidRPr="00AB0577" w:rsidRDefault="00AB0577" w:rsidP="00AB0577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AB0577">
              <w:rPr>
                <w:rFonts w:ascii="宋体" w:hAnsi="宋体" w:cs="宋体"/>
                <w:color w:val="000000"/>
                <w:kern w:val="0"/>
                <w:szCs w:val="24"/>
              </w:rPr>
              <w:t>2024</w:t>
            </w:r>
            <w:r w:rsidRPr="00AB0577">
              <w:rPr>
                <w:rFonts w:ascii="宋体" w:hAnsi="宋体" w:cs="宋体" w:hint="eastAsia"/>
                <w:color w:val="000000"/>
                <w:kern w:val="0"/>
                <w:szCs w:val="24"/>
              </w:rPr>
              <w:t>年</w:t>
            </w:r>
            <w:r w:rsidR="00FA3DF0">
              <w:rPr>
                <w:rFonts w:ascii="宋体" w:hAnsi="宋体" w:cs="宋体" w:hint="eastAsia"/>
                <w:color w:val="000000"/>
                <w:kern w:val="0"/>
                <w:szCs w:val="24"/>
              </w:rPr>
              <w:t>第</w:t>
            </w:r>
            <w:r w:rsidRPr="00AB0577">
              <w:rPr>
                <w:rFonts w:ascii="宋体" w:hAnsi="宋体" w:cs="宋体" w:hint="eastAsia"/>
                <w:color w:val="000000"/>
                <w:kern w:val="0"/>
                <w:szCs w:val="24"/>
              </w:rPr>
              <w:t>三季度，公司</w:t>
            </w:r>
            <w:r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综合毛利率为</w:t>
            </w:r>
            <w:r w:rsidRPr="003230DC">
              <w:rPr>
                <w:rFonts w:ascii="宋体" w:hAnsi="宋体" w:cs="宋体"/>
                <w:color w:val="000000"/>
                <w:kern w:val="0"/>
                <w:szCs w:val="24"/>
              </w:rPr>
              <w:t>14.85%</w:t>
            </w:r>
            <w:r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，较去年同期同比</w:t>
            </w:r>
            <w:r w:rsidR="00C5652F"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提高</w:t>
            </w:r>
            <w:r w:rsidRPr="003230DC">
              <w:rPr>
                <w:rFonts w:ascii="宋体" w:hAnsi="宋体" w:cs="宋体"/>
                <w:color w:val="000000"/>
                <w:kern w:val="0"/>
                <w:szCs w:val="24"/>
              </w:rPr>
              <w:t>3.23</w:t>
            </w:r>
            <w:r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百分点，环比二季度</w:t>
            </w:r>
            <w:r w:rsidR="002E5756"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提高</w:t>
            </w:r>
            <w:r w:rsidRPr="003230DC">
              <w:rPr>
                <w:rFonts w:ascii="宋体" w:hAnsi="宋体" w:cs="宋体"/>
                <w:color w:val="000000"/>
                <w:kern w:val="0"/>
                <w:szCs w:val="24"/>
              </w:rPr>
              <w:t>0.62</w:t>
            </w:r>
            <w:r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个百分点。公司风机毛利率水平长期保持行业领先水平，三季度风机毛利率较去年同期</w:t>
            </w:r>
            <w:r w:rsidR="00A61176">
              <w:rPr>
                <w:rFonts w:ascii="宋体" w:hAnsi="宋体" w:cs="宋体" w:hint="eastAsia"/>
                <w:color w:val="000000"/>
                <w:kern w:val="0"/>
                <w:szCs w:val="24"/>
              </w:rPr>
              <w:t>明显</w:t>
            </w:r>
            <w:r w:rsidRPr="003230DC">
              <w:rPr>
                <w:rFonts w:ascii="宋体" w:hAnsi="宋体" w:cs="宋体" w:hint="eastAsia"/>
                <w:color w:val="000000"/>
                <w:kern w:val="0"/>
                <w:szCs w:val="24"/>
              </w:rPr>
              <w:t>提升。</w:t>
            </w:r>
          </w:p>
          <w:p w14:paraId="4BF7DCF7" w14:textId="77777777" w:rsidR="00AB0577" w:rsidRPr="00AB0577" w:rsidRDefault="00AB0577" w:rsidP="00AB0577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AB0577">
              <w:rPr>
                <w:rFonts w:ascii="宋体" w:hAnsi="宋体" w:cs="宋体" w:hint="eastAsia"/>
                <w:color w:val="000000"/>
                <w:kern w:val="0"/>
                <w:szCs w:val="24"/>
              </w:rPr>
              <w:t>四季度，公司将继续通过技术创新、科学降本增效等方式，继续保持较平稳的盈利空间。同时，四季度风机销售规模一般是全年最高的，规模效应有利于保持良好的毛利率水平，公司将力争四季度风机毛利率保持较好水平。</w:t>
            </w:r>
          </w:p>
          <w:p w14:paraId="7EE4CAC4" w14:textId="77777777" w:rsidR="00E7730E" w:rsidRDefault="00AB0577" w:rsidP="00AB0577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AB0577">
              <w:rPr>
                <w:rFonts w:ascii="宋体" w:hAnsi="宋体" w:cs="宋体" w:hint="eastAsia"/>
                <w:color w:val="000000"/>
                <w:kern w:val="0"/>
                <w:szCs w:val="24"/>
              </w:rPr>
              <w:t>此外，公司费用控制工作很有效，</w:t>
            </w:r>
            <w:r w:rsidRPr="00AB0577">
              <w:rPr>
                <w:rFonts w:ascii="宋体" w:hAnsi="宋体" w:cs="宋体"/>
                <w:color w:val="000000"/>
                <w:kern w:val="0"/>
                <w:szCs w:val="24"/>
              </w:rPr>
              <w:t>1-9</w:t>
            </w:r>
            <w:r w:rsidRPr="00AB0577">
              <w:rPr>
                <w:rFonts w:ascii="宋体" w:hAnsi="宋体" w:cs="宋体" w:hint="eastAsia"/>
                <w:color w:val="000000"/>
                <w:kern w:val="0"/>
                <w:szCs w:val="24"/>
              </w:rPr>
              <w:t>月份，公司期间费用率（不含财务费</w:t>
            </w:r>
            <w:r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用）为</w:t>
            </w:r>
            <w:r w:rsidRPr="00D57EC6">
              <w:rPr>
                <w:rFonts w:ascii="宋体" w:hAnsi="宋体" w:cs="宋体"/>
                <w:color w:val="000000"/>
                <w:kern w:val="0"/>
                <w:szCs w:val="24"/>
              </w:rPr>
              <w:t>14.9%</w:t>
            </w:r>
            <w:r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，同比下降</w:t>
            </w:r>
            <w:r w:rsidRPr="00D57EC6">
              <w:rPr>
                <w:rFonts w:ascii="宋体" w:hAnsi="宋体" w:cs="宋体"/>
                <w:color w:val="000000"/>
                <w:kern w:val="0"/>
                <w:szCs w:val="24"/>
              </w:rPr>
              <w:t>3.59</w:t>
            </w:r>
            <w:r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个百分点，</w:t>
            </w:r>
            <w:r w:rsidR="003B3B42"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第</w:t>
            </w:r>
            <w:r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三季度期间费用率</w:t>
            </w:r>
            <w:r w:rsidR="006A290E"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（不含财务费用）</w:t>
            </w:r>
            <w:r w:rsidRPr="00D57EC6">
              <w:rPr>
                <w:rFonts w:ascii="宋体" w:hAnsi="宋体" w:cs="宋体"/>
                <w:color w:val="000000"/>
                <w:kern w:val="0"/>
                <w:szCs w:val="24"/>
              </w:rPr>
              <w:t>11.82%</w:t>
            </w:r>
            <w:r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，同比下降</w:t>
            </w:r>
            <w:r w:rsidRPr="00D57EC6">
              <w:rPr>
                <w:rFonts w:ascii="宋体" w:hAnsi="宋体" w:cs="宋体"/>
                <w:color w:val="000000"/>
                <w:kern w:val="0"/>
                <w:szCs w:val="24"/>
              </w:rPr>
              <w:t>2.36</w:t>
            </w:r>
            <w:r w:rsidRPr="00D57EC6">
              <w:rPr>
                <w:rFonts w:ascii="宋体" w:hAnsi="宋体" w:cs="宋体" w:hint="eastAsia"/>
                <w:color w:val="000000"/>
                <w:kern w:val="0"/>
                <w:szCs w:val="24"/>
              </w:rPr>
              <w:t>个百分点。基于销售规模效应与控费工</w:t>
            </w:r>
            <w:r w:rsidRPr="00AB0577">
              <w:rPr>
                <w:rFonts w:ascii="宋体" w:hAnsi="宋体" w:cs="宋体" w:hint="eastAsia"/>
                <w:color w:val="000000"/>
                <w:kern w:val="0"/>
                <w:szCs w:val="24"/>
              </w:rPr>
              <w:t>作的有效实施，公司力争将下半年期间费用率控制在较低水平</w:t>
            </w:r>
            <w:r w:rsidR="00E7730E" w:rsidRPr="00E7730E">
              <w:rPr>
                <w:rFonts w:ascii="宋体" w:hAnsi="宋体" w:cs="宋体" w:hint="eastAsia"/>
                <w:color w:val="000000"/>
                <w:kern w:val="0"/>
                <w:szCs w:val="24"/>
              </w:rPr>
              <w:t>。</w:t>
            </w:r>
          </w:p>
          <w:p w14:paraId="2A43B5A5" w14:textId="77777777" w:rsidR="0071316C" w:rsidRDefault="0071316C" w:rsidP="00AB0577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029C38E9" w14:textId="77777777" w:rsidR="00C16075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327B43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：后续</w:t>
            </w:r>
            <w:r w:rsidR="00353C4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风机招标</w:t>
            </w:r>
            <w:r w:rsidR="008A5FC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量及招标</w:t>
            </w:r>
            <w:r w:rsidR="00353C4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价格如何预计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3E3FFE70" w14:textId="77777777" w:rsidR="006D4553" w:rsidRPr="006D4553" w:rsidRDefault="006D4553" w:rsidP="006D4553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2024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年</w:t>
            </w:r>
            <w:r w:rsidR="00010D84">
              <w:rPr>
                <w:rFonts w:ascii="宋体" w:hAnsi="宋体" w:cs="宋体" w:hint="eastAsia"/>
                <w:color w:val="000000"/>
                <w:kern w:val="0"/>
                <w:szCs w:val="24"/>
              </w:rPr>
              <w:t>，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国内公开市场风机招投标量快速增长，根据不完全统计，</w:t>
            </w: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1-9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月行业风机招标量已超过</w:t>
            </w: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100GW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，超过去年全年风机招标量。明年作为“十四五”规划的收官之年，根据各省、市的规划，预计</w:t>
            </w: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2025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年装机容量为</w:t>
            </w: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80-100GW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，且海上装机容量也可能有较大幅度的增加。</w:t>
            </w:r>
          </w:p>
          <w:p w14:paraId="3810E695" w14:textId="77777777" w:rsidR="00327B43" w:rsidRDefault="006D4553" w:rsidP="006D4553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今年二季度以来，风机招标价格出现了企稳趋势。在今年</w:t>
            </w: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10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月的北京风能展上，国内</w:t>
            </w:r>
            <w:r w:rsidRPr="006D4553">
              <w:rPr>
                <w:rFonts w:ascii="宋体" w:hAnsi="宋体" w:cs="宋体"/>
                <w:color w:val="000000"/>
                <w:kern w:val="0"/>
                <w:szCs w:val="24"/>
              </w:rPr>
              <w:t>12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t>家风电整机商达成共识，签</w:t>
            </w:r>
            <w:r w:rsidRPr="006D4553"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署《中国风电行业维护市场公平竞争环境自律公约》，拟解决低价恶性竞争、合同条款明显有失公平等问题；同时，随着国内风电产业的发展与成熟，行业对风机质量和可靠性的重视度持续提升，预计未来风机招标价格将保持企稳态势。</w:t>
            </w:r>
          </w:p>
          <w:p w14:paraId="7B6AAF14" w14:textId="77777777" w:rsidR="0071316C" w:rsidRDefault="0071316C" w:rsidP="006D4553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46CB8102" w14:textId="77777777" w:rsidR="00C16075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454A09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E61895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="00264831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第</w:t>
            </w:r>
            <w:r w:rsidR="00E61895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三季度风机出货量多少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0821158D" w14:textId="77777777" w:rsidR="00C16075" w:rsidRDefault="00454A09" w:rsidP="00264831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454A09">
              <w:rPr>
                <w:rFonts w:ascii="宋体" w:hAnsi="宋体" w:cs="宋体"/>
                <w:color w:val="000000"/>
                <w:kern w:val="0"/>
                <w:szCs w:val="24"/>
              </w:rPr>
              <w:t>2024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年上半年，公司对外销售容量为</w:t>
            </w:r>
            <w:r w:rsidRPr="00454A09">
              <w:rPr>
                <w:rFonts w:ascii="宋体" w:hAnsi="宋体" w:cs="宋体"/>
                <w:color w:val="000000"/>
                <w:kern w:val="0"/>
                <w:szCs w:val="24"/>
              </w:rPr>
              <w:t>3.29GW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，同比增加</w:t>
            </w:r>
            <w:r w:rsidRPr="00454A09">
              <w:rPr>
                <w:rFonts w:ascii="宋体" w:hAnsi="宋体" w:cs="宋体"/>
                <w:color w:val="000000"/>
                <w:kern w:val="0"/>
                <w:szCs w:val="24"/>
              </w:rPr>
              <w:t>121%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，创造历史同期最好交付成绩。</w:t>
            </w:r>
            <w:r w:rsidR="00181714">
              <w:rPr>
                <w:rFonts w:ascii="宋体" w:hAnsi="宋体" w:cs="宋体" w:hint="eastAsia"/>
                <w:color w:val="000000"/>
                <w:kern w:val="0"/>
                <w:szCs w:val="24"/>
              </w:rPr>
              <w:t>第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三季度出货量在二季度的基础上继续保持增长</w:t>
            </w:r>
            <w:r w:rsidR="0001753D">
              <w:rPr>
                <w:rFonts w:ascii="宋体" w:hAnsi="宋体" w:cs="宋体" w:hint="eastAsia"/>
                <w:color w:val="000000"/>
                <w:kern w:val="0"/>
                <w:szCs w:val="24"/>
              </w:rPr>
              <w:t>，</w:t>
            </w:r>
            <w:r w:rsidR="0001753D" w:rsidRPr="00E61895">
              <w:rPr>
                <w:rFonts w:ascii="宋体" w:hAnsi="宋体" w:cs="宋体" w:hint="eastAsia"/>
                <w:color w:val="000000"/>
                <w:kern w:val="0"/>
                <w:szCs w:val="24"/>
              </w:rPr>
              <w:t>前三季度出货量</w:t>
            </w:r>
            <w:r w:rsidR="00EB32A9">
              <w:rPr>
                <w:rFonts w:ascii="宋体" w:hAnsi="宋体" w:cs="宋体" w:hint="eastAsia"/>
                <w:color w:val="000000"/>
                <w:kern w:val="0"/>
                <w:szCs w:val="24"/>
              </w:rPr>
              <w:t>为</w:t>
            </w:r>
            <w:r w:rsidR="0001753D" w:rsidRPr="00E61895">
              <w:rPr>
                <w:rFonts w:ascii="宋体" w:hAnsi="宋体" w:cs="宋体"/>
                <w:color w:val="000000"/>
                <w:kern w:val="0"/>
                <w:szCs w:val="24"/>
              </w:rPr>
              <w:t>5.</w:t>
            </w:r>
            <w:r w:rsidR="0001753D">
              <w:rPr>
                <w:rFonts w:ascii="宋体" w:hAnsi="宋体" w:cs="宋体"/>
                <w:color w:val="000000"/>
                <w:kern w:val="0"/>
                <w:szCs w:val="24"/>
              </w:rPr>
              <w:t>7</w:t>
            </w:r>
            <w:r w:rsidR="0001753D" w:rsidRPr="00E61895">
              <w:rPr>
                <w:rFonts w:ascii="宋体" w:hAnsi="宋体" w:cs="宋体"/>
                <w:color w:val="000000"/>
                <w:kern w:val="0"/>
                <w:szCs w:val="24"/>
              </w:rPr>
              <w:t>GW</w:t>
            </w:r>
            <w:r w:rsidR="0001753D">
              <w:rPr>
                <w:rFonts w:ascii="宋体" w:hAnsi="宋体" w:cs="宋体" w:hint="eastAsia"/>
                <w:color w:val="000000"/>
                <w:kern w:val="0"/>
                <w:szCs w:val="24"/>
              </w:rPr>
              <w:t>左右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。</w:t>
            </w:r>
            <w:r w:rsidR="0001753D">
              <w:rPr>
                <w:rFonts w:ascii="宋体" w:hAnsi="宋体" w:cs="宋体" w:hint="eastAsia"/>
                <w:color w:val="000000"/>
                <w:kern w:val="0"/>
                <w:szCs w:val="24"/>
              </w:rPr>
              <w:t>根据风电行业出货的季节性规律，预计第四季度出货量会有显著提升。公司将加强销售与交付的保障工作，力争2</w:t>
            </w:r>
            <w:r w:rsidR="0001753D">
              <w:rPr>
                <w:rFonts w:ascii="宋体" w:hAnsi="宋体" w:cs="宋体"/>
                <w:color w:val="000000"/>
                <w:kern w:val="0"/>
                <w:szCs w:val="24"/>
              </w:rPr>
              <w:t>024</w:t>
            </w:r>
            <w:r w:rsidR="0001753D">
              <w:rPr>
                <w:rFonts w:ascii="宋体" w:hAnsi="宋体" w:cs="宋体" w:hint="eastAsia"/>
                <w:color w:val="000000"/>
                <w:kern w:val="0"/>
                <w:szCs w:val="24"/>
              </w:rPr>
              <w:t>年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销售容量</w:t>
            </w:r>
            <w:r w:rsidR="00264831">
              <w:rPr>
                <w:rFonts w:ascii="宋体" w:hAnsi="宋体" w:cs="宋体" w:hint="eastAsia"/>
                <w:color w:val="000000"/>
                <w:kern w:val="0"/>
                <w:szCs w:val="24"/>
              </w:rPr>
              <w:t>较去年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保持较高</w:t>
            </w:r>
            <w:r w:rsidR="0001753D">
              <w:rPr>
                <w:rFonts w:ascii="宋体" w:hAnsi="宋体" w:cs="宋体" w:hint="eastAsia"/>
                <w:color w:val="000000"/>
                <w:kern w:val="0"/>
                <w:szCs w:val="24"/>
              </w:rPr>
              <w:t>幅度</w:t>
            </w:r>
            <w:r w:rsidRPr="00454A09">
              <w:rPr>
                <w:rFonts w:ascii="宋体" w:hAnsi="宋体" w:cs="宋体" w:hint="eastAsia"/>
                <w:color w:val="000000"/>
                <w:kern w:val="0"/>
                <w:szCs w:val="24"/>
              </w:rPr>
              <w:t>增长。</w:t>
            </w:r>
          </w:p>
          <w:p w14:paraId="7844844E" w14:textId="77777777" w:rsidR="0071316C" w:rsidRDefault="0071316C">
            <w:pPr>
              <w:pStyle w:val="005"/>
              <w:spacing w:before="120" w:line="276" w:lineRule="auto"/>
              <w:ind w:firstLine="480"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7794AC7A" w14:textId="77777777" w:rsidR="00C16075" w:rsidRPr="00D4225C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454A09" w:rsidRPr="00D4225C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6</w:t>
            </w: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454A09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="004E2613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第</w:t>
            </w:r>
            <w:r w:rsidR="00411705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三季度是否有转让风场及四季度预计对外</w:t>
            </w:r>
            <w:r w:rsidR="00454A09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转让风场的</w:t>
            </w:r>
            <w:r w:rsidR="00411705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目标</w:t>
            </w:r>
            <w:r w:rsidR="00454A09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容量</w:t>
            </w:r>
            <w:r w:rsidR="00411705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为多少</w:t>
            </w: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6DBE4959" w14:textId="77777777" w:rsidR="00160891" w:rsidRPr="00160891" w:rsidRDefault="00160891" w:rsidP="00160891">
            <w:pPr>
              <w:pStyle w:val="005"/>
              <w:spacing w:before="120" w:line="276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160891">
              <w:rPr>
                <w:rFonts w:ascii="宋体" w:hAnsi="宋体" w:cs="宋体"/>
                <w:kern w:val="0"/>
                <w:szCs w:val="24"/>
              </w:rPr>
              <w:t>截至目前，公司在手储备待开发的风资源规模较大，在建的自建风场规模超2GW。因冰冻雨雪天气等因素，今年上半年风场建设、出售进度受影响；三季度，公司已加快建设进度，并已对外出售一个标准风场，前三季度累计出售两个风场项目。四季度，公司将进一步加快风场的建设、出售进度。</w:t>
            </w:r>
          </w:p>
          <w:p w14:paraId="3810DBAF" w14:textId="77777777" w:rsidR="00160891" w:rsidRPr="00160891" w:rsidRDefault="00160891" w:rsidP="00160891">
            <w:pPr>
              <w:pStyle w:val="005"/>
              <w:spacing w:before="120" w:line="276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160891">
              <w:rPr>
                <w:rFonts w:ascii="宋体" w:hAnsi="宋体" w:cs="宋体"/>
                <w:kern w:val="0"/>
                <w:szCs w:val="24"/>
              </w:rPr>
              <w:t>公司对风电场实行滚动开发的计划，实行“开发一批、转让一批、自持一批”的策略。公司重视今年风场出售工作，力争今年风场出售容量较去年保持增长。</w:t>
            </w:r>
          </w:p>
          <w:p w14:paraId="79C8A841" w14:textId="77777777" w:rsidR="00160891" w:rsidRPr="00160891" w:rsidRDefault="00160891" w:rsidP="00160891">
            <w:pPr>
              <w:pStyle w:val="005"/>
              <w:spacing w:before="120" w:line="276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160891">
              <w:rPr>
                <w:rFonts w:ascii="宋体" w:hAnsi="宋体" w:cs="宋体"/>
                <w:kern w:val="0"/>
                <w:szCs w:val="24"/>
              </w:rPr>
              <w:t>风资源方面，上半年公司组建了新能源投资开发专门团队，加大当地风资源获取力度，目前储备风场资源相对可观。</w:t>
            </w:r>
          </w:p>
          <w:p w14:paraId="054E1093" w14:textId="77777777" w:rsidR="0071316C" w:rsidRPr="00160891" w:rsidRDefault="0071316C" w:rsidP="00454A09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1EDE7C6B" w14:textId="77777777" w:rsidR="00C16075" w:rsidRPr="00D4225C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454A09" w:rsidRPr="00D4225C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7</w:t>
            </w: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FB4A35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今年是否开始明年零部件的谈价工作，预计明年零部件是否会涨价</w:t>
            </w: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？</w:t>
            </w:r>
            <w:r w:rsidR="00E3483D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公司叶片保供能力如何？</w:t>
            </w:r>
          </w:p>
          <w:p w14:paraId="5857E45E" w14:textId="77777777" w:rsidR="00290BC7" w:rsidRPr="00290BC7" w:rsidRDefault="00290BC7" w:rsidP="00290BC7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290BC7">
              <w:rPr>
                <w:rFonts w:ascii="宋体" w:hAnsi="宋体" w:cs="宋体" w:hint="eastAsia"/>
                <w:color w:val="000000"/>
                <w:kern w:val="0"/>
                <w:szCs w:val="24"/>
              </w:rPr>
              <w:t>公司一般会在年底及来年初对关重零部件进行提前锁量、锁价，保持公司盈利水平稳定。目前，风电行业的零部件整体供应能力较强，公司预计明年零部件整体上不会涨价，但不排除个别类型零部件，由于供需关系紧张，可能会存在涨价的可能性。</w:t>
            </w:r>
          </w:p>
          <w:p w14:paraId="3EE0DFA3" w14:textId="77777777" w:rsidR="00290BC7" w:rsidRPr="00290BC7" w:rsidRDefault="00290BC7" w:rsidP="00290BC7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290BC7"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同时，考虑到零部件企业盈利能力改善的需求，预计总体降价幅度不会太大。</w:t>
            </w:r>
          </w:p>
          <w:p w14:paraId="53F042DC" w14:textId="77777777" w:rsidR="00AB0577" w:rsidRDefault="00290BC7" w:rsidP="006443E0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290BC7">
              <w:rPr>
                <w:rFonts w:ascii="宋体" w:hAnsi="宋体" w:cs="宋体" w:hint="eastAsia"/>
                <w:color w:val="000000"/>
                <w:kern w:val="0"/>
                <w:szCs w:val="24"/>
              </w:rPr>
              <w:t>公司叶片实现自主研发、生产，目前产能总体上可以满足自身保供需要。今年下半年，个别型号的叶片可能存在供应紧张，公司提前做好排产计划应对，完全有能力做到保供。</w:t>
            </w:r>
          </w:p>
          <w:p w14:paraId="4341D92C" w14:textId="77777777" w:rsidR="0071316C" w:rsidRPr="00D4225C" w:rsidRDefault="0071316C" w:rsidP="00290BC7">
            <w:pPr>
              <w:pStyle w:val="005"/>
              <w:spacing w:before="120" w:line="276" w:lineRule="auto"/>
              <w:ind w:firstLine="480"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  <w:p w14:paraId="5035525D" w14:textId="77777777" w:rsidR="00C16075" w:rsidRDefault="008C360A">
            <w:pPr>
              <w:pStyle w:val="005"/>
              <w:spacing w:before="120" w:line="276" w:lineRule="auto"/>
              <w:ind w:firstLine="48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问题</w:t>
            </w:r>
            <w:r w:rsidR="00454A09" w:rsidRPr="00D4225C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8</w:t>
            </w: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7048FD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="00A23777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后续在</w:t>
            </w:r>
            <w:r w:rsidR="0043416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成本</w:t>
            </w:r>
            <w:r w:rsidR="00A23777"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控制方面有什么样的举措</w:t>
            </w:r>
            <w:r w:rsidRPr="00D4225C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28A58A69" w14:textId="77777777" w:rsidR="00E2062B" w:rsidRPr="00E2062B" w:rsidRDefault="00E2062B" w:rsidP="006443E0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E2062B">
              <w:rPr>
                <w:rFonts w:ascii="宋体" w:hAnsi="宋体" w:cs="宋体" w:hint="eastAsia"/>
                <w:color w:val="000000"/>
                <w:kern w:val="0"/>
                <w:szCs w:val="24"/>
              </w:rPr>
              <w:t>公司成本管控涉及研发、采购、制造等各个业务阶段。在研发设计阶段，公司采取平台化设计、产品协同设计、减少设计冗余等多项举措，从产品的源头端进行降本；通过数字孪生与设计仿真的应用，实现研发、工艺、生产的设计协同，进而降低生产制造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成本</w:t>
            </w:r>
            <w:r w:rsidRPr="00E2062B">
              <w:rPr>
                <w:rFonts w:ascii="宋体" w:hAnsi="宋体" w:cs="宋体" w:hint="eastAsia"/>
                <w:color w:val="000000"/>
                <w:kern w:val="0"/>
                <w:szCs w:val="24"/>
              </w:rPr>
              <w:t>。在采购阶段，公司主要通过战略供应商联盟、资源锁定、价格谈判等措施，降低采购成本</w:t>
            </w:r>
            <w:r w:rsidR="00727AF7">
              <w:rPr>
                <w:rFonts w:ascii="宋体" w:hAnsi="宋体" w:cs="宋体" w:hint="eastAsia"/>
                <w:color w:val="000000"/>
                <w:kern w:val="0"/>
                <w:szCs w:val="24"/>
              </w:rPr>
              <w:t>。</w:t>
            </w:r>
            <w:r w:rsidRPr="00E2062B">
              <w:rPr>
                <w:rFonts w:ascii="宋体" w:hAnsi="宋体" w:cs="宋体" w:hint="eastAsia"/>
                <w:color w:val="000000"/>
                <w:kern w:val="0"/>
                <w:szCs w:val="24"/>
              </w:rPr>
              <w:t>在制造阶段，公司坚持精益生产理念，减少生产过程中的浪费，通过智能制造提升生产效率与质量、降低成本。</w:t>
            </w:r>
          </w:p>
          <w:p w14:paraId="71BBA2B4" w14:textId="77777777" w:rsidR="00C16075" w:rsidRDefault="00E2062B" w:rsidP="006443E0">
            <w:pPr>
              <w:pStyle w:val="005"/>
              <w:spacing w:before="120" w:line="276" w:lineRule="auto"/>
              <w:ind w:firstLine="480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E2062B">
              <w:rPr>
                <w:rFonts w:ascii="宋体" w:hAnsi="宋体" w:cs="宋体" w:hint="eastAsia"/>
                <w:color w:val="000000"/>
                <w:kern w:val="0"/>
                <w:szCs w:val="24"/>
              </w:rPr>
              <w:t>未来，公司将继续通过技术创新、科学降本、提质增效等方式，维护盈利空间，保持核心竞争力。</w:t>
            </w:r>
          </w:p>
        </w:tc>
      </w:tr>
      <w:tr w:rsidR="00C16075" w14:paraId="0C890970" w14:textId="77777777">
        <w:trPr>
          <w:trHeight w:val="490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94F0" w14:textId="77777777" w:rsidR="00C16075" w:rsidRDefault="008C360A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附件清单（参会机构、人员）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9AF" w14:textId="77777777" w:rsidR="00024F20" w:rsidRDefault="00024F20" w:rsidP="00024F20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国联证券 陈子锐</w:t>
            </w:r>
          </w:p>
          <w:p w14:paraId="2139CE6C" w14:textId="77777777" w:rsidR="00C6508A" w:rsidRPr="00C6508A" w:rsidRDefault="00C6508A" w:rsidP="00C6508A">
            <w:pPr>
              <w:spacing w:after="0" w:line="240" w:lineRule="auto"/>
              <w:rPr>
                <w:rFonts w:ascii="宋体" w:eastAsia="宋体" w:hAnsi="宋体" w:cs="宋体" w:hint="eastAsia"/>
                <w:color w:val="auto"/>
                <w:kern w:val="0"/>
                <w:sz w:val="24"/>
                <w:szCs w:val="24"/>
              </w:rPr>
            </w:pPr>
            <w:r w:rsidRPr="00C6508A"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  <w:t>长江证券 周圣钧</w:t>
            </w:r>
          </w:p>
          <w:p w14:paraId="41B0C048" w14:textId="77777777" w:rsidR="00C16075" w:rsidRDefault="00024F20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广发</w:t>
            </w:r>
            <w:r w:rsidR="008C360A">
              <w:rPr>
                <w:rFonts w:ascii="宋体" w:eastAsia="宋体" w:hAnsi="宋体" w:cs="宋体" w:hint="eastAsia"/>
                <w:sz w:val="24"/>
                <w:szCs w:val="24"/>
              </w:rPr>
              <w:t xml:space="preserve">证券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王宁</w:t>
            </w:r>
          </w:p>
          <w:p w14:paraId="34CD59BB" w14:textId="77777777" w:rsidR="00C16075" w:rsidRDefault="00024F20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华西证券 耿梓瑜</w:t>
            </w:r>
          </w:p>
          <w:p w14:paraId="44F83107" w14:textId="77777777" w:rsidR="00C16075" w:rsidRDefault="00024F20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中金公司</w:t>
            </w:r>
            <w:r w:rsidR="008C360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车昀佶</w:t>
            </w:r>
          </w:p>
          <w:p w14:paraId="007DA812" w14:textId="77777777" w:rsidR="00C16075" w:rsidRDefault="00024F20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中信建投</w:t>
            </w:r>
            <w:r w:rsidR="008C360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陈思同</w:t>
            </w:r>
          </w:p>
          <w:p w14:paraId="6FA57BCD" w14:textId="77777777" w:rsidR="00C16075" w:rsidRDefault="00024F20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西部证券</w:t>
            </w:r>
            <w:r w:rsidR="008C360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胡琎心</w:t>
            </w:r>
          </w:p>
          <w:p w14:paraId="3A8B4955" w14:textId="77777777" w:rsidR="00C16075" w:rsidRDefault="008C360A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以及其他线上参会人员</w:t>
            </w:r>
          </w:p>
        </w:tc>
      </w:tr>
      <w:tr w:rsidR="00C16075" w14:paraId="066E14B9" w14:textId="77777777">
        <w:trPr>
          <w:trHeight w:val="490"/>
          <w:jc w:val="center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D313" w14:textId="77777777" w:rsidR="00C16075" w:rsidRDefault="008C360A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3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3B06" w14:textId="77777777" w:rsidR="00C16075" w:rsidRDefault="008C360A">
            <w:pPr>
              <w:snapToGrid w:val="0"/>
              <w:spacing w:after="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</w:t>
            </w:r>
            <w:r w:rsidR="006436EE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6436EE"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月3</w:t>
            </w:r>
            <w:r w:rsidR="006436EE"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481DC040" w14:textId="77777777" w:rsidR="00C16075" w:rsidRDefault="00C16075">
      <w:pPr>
        <w:spacing w:after="0"/>
        <w:jc w:val="both"/>
        <w:rPr>
          <w:rFonts w:ascii="微软雅黑" w:eastAsia="微软雅黑" w:hAnsi="微软雅黑" w:hint="eastAsia"/>
          <w:sz w:val="24"/>
          <w:szCs w:val="24"/>
        </w:rPr>
      </w:pPr>
    </w:p>
    <w:sectPr w:rsidR="00C16075" w:rsidSect="00435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6E83" w14:textId="77777777" w:rsidR="008616E8" w:rsidRDefault="008616E8">
      <w:pPr>
        <w:spacing w:line="240" w:lineRule="auto"/>
      </w:pPr>
      <w:r>
        <w:separator/>
      </w:r>
    </w:p>
  </w:endnote>
  <w:endnote w:type="continuationSeparator" w:id="0">
    <w:p w14:paraId="3EF4EEFF" w14:textId="77777777" w:rsidR="008616E8" w:rsidRDefault="00861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71BD2" w14:textId="77777777" w:rsidR="001C5D85" w:rsidRDefault="001C5D85" w:rsidP="001C5D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2521716"/>
      <w:docPartObj>
        <w:docPartGallery w:val="Page Numbers (Bottom of Page)"/>
        <w:docPartUnique/>
      </w:docPartObj>
    </w:sdtPr>
    <w:sdtContent>
      <w:p w14:paraId="3FD2EA6C" w14:textId="2BB85BD0" w:rsidR="001C5D85" w:rsidRDefault="001C5D85" w:rsidP="001C5D85">
        <w:pPr>
          <w:pStyle w:val="a5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1CEE3E" w14:textId="77777777" w:rsidR="001C5D85" w:rsidRDefault="001C5D85" w:rsidP="001C5D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6B88" w14:textId="77777777" w:rsidR="001C5D85" w:rsidRDefault="001C5D85" w:rsidP="001C5D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CA3F" w14:textId="77777777" w:rsidR="008616E8" w:rsidRDefault="008616E8">
      <w:pPr>
        <w:spacing w:after="0"/>
      </w:pPr>
      <w:r>
        <w:separator/>
      </w:r>
    </w:p>
  </w:footnote>
  <w:footnote w:type="continuationSeparator" w:id="0">
    <w:p w14:paraId="2FA656BE" w14:textId="77777777" w:rsidR="008616E8" w:rsidRDefault="008616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5AD0" w14:textId="77777777" w:rsidR="001C5D85" w:rsidRDefault="001C5D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588A" w14:textId="77777777" w:rsidR="001C5D85" w:rsidRPr="00435713" w:rsidRDefault="001C5D85" w:rsidP="004357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4C3F3" w14:textId="77777777" w:rsidR="001C5D85" w:rsidRDefault="001C5D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jMmYzYTg4MjhmZDgzZTcwYTkyOTBjMmY3ZTRjZjgifQ=="/>
  </w:docVars>
  <w:rsids>
    <w:rsidRoot w:val="00A54DA5"/>
    <w:rsid w:val="00006F0B"/>
    <w:rsid w:val="00010D84"/>
    <w:rsid w:val="00013347"/>
    <w:rsid w:val="0001753D"/>
    <w:rsid w:val="00024CEE"/>
    <w:rsid w:val="00024F20"/>
    <w:rsid w:val="00030199"/>
    <w:rsid w:val="00037ADD"/>
    <w:rsid w:val="000453C6"/>
    <w:rsid w:val="00053248"/>
    <w:rsid w:val="000668A8"/>
    <w:rsid w:val="00083FE5"/>
    <w:rsid w:val="000876CF"/>
    <w:rsid w:val="00090F10"/>
    <w:rsid w:val="000938E6"/>
    <w:rsid w:val="000A3622"/>
    <w:rsid w:val="000A5AA7"/>
    <w:rsid w:val="000A73B0"/>
    <w:rsid w:val="000C06D7"/>
    <w:rsid w:val="000D41F2"/>
    <w:rsid w:val="000D49E6"/>
    <w:rsid w:val="000D4F49"/>
    <w:rsid w:val="000E249D"/>
    <w:rsid w:val="000F199F"/>
    <w:rsid w:val="0010203E"/>
    <w:rsid w:val="00103CDE"/>
    <w:rsid w:val="00105248"/>
    <w:rsid w:val="00107ACE"/>
    <w:rsid w:val="00114D05"/>
    <w:rsid w:val="00114FA8"/>
    <w:rsid w:val="001150FA"/>
    <w:rsid w:val="0012281C"/>
    <w:rsid w:val="0014750D"/>
    <w:rsid w:val="00151275"/>
    <w:rsid w:val="00151770"/>
    <w:rsid w:val="00157EE6"/>
    <w:rsid w:val="00160891"/>
    <w:rsid w:val="00162E0C"/>
    <w:rsid w:val="00165596"/>
    <w:rsid w:val="001704CD"/>
    <w:rsid w:val="00173C70"/>
    <w:rsid w:val="00181714"/>
    <w:rsid w:val="001817E4"/>
    <w:rsid w:val="00182E25"/>
    <w:rsid w:val="0019024B"/>
    <w:rsid w:val="00190ECB"/>
    <w:rsid w:val="001953DC"/>
    <w:rsid w:val="0019616F"/>
    <w:rsid w:val="001A23DE"/>
    <w:rsid w:val="001B15D8"/>
    <w:rsid w:val="001B23D8"/>
    <w:rsid w:val="001B36B3"/>
    <w:rsid w:val="001C37A6"/>
    <w:rsid w:val="001C5D85"/>
    <w:rsid w:val="001C6C21"/>
    <w:rsid w:val="001D3160"/>
    <w:rsid w:val="001E4956"/>
    <w:rsid w:val="001E5AB5"/>
    <w:rsid w:val="001E5FA3"/>
    <w:rsid w:val="001E625A"/>
    <w:rsid w:val="001E7630"/>
    <w:rsid w:val="001F384E"/>
    <w:rsid w:val="00211CA9"/>
    <w:rsid w:val="0022674E"/>
    <w:rsid w:val="0023201F"/>
    <w:rsid w:val="002328DC"/>
    <w:rsid w:val="002350F8"/>
    <w:rsid w:val="0023543B"/>
    <w:rsid w:val="00243684"/>
    <w:rsid w:val="00246D1F"/>
    <w:rsid w:val="0025743F"/>
    <w:rsid w:val="002610F7"/>
    <w:rsid w:val="00264831"/>
    <w:rsid w:val="002704C2"/>
    <w:rsid w:val="00272056"/>
    <w:rsid w:val="00280B86"/>
    <w:rsid w:val="00290BC7"/>
    <w:rsid w:val="00291C1E"/>
    <w:rsid w:val="002A0457"/>
    <w:rsid w:val="002A3115"/>
    <w:rsid w:val="002C3946"/>
    <w:rsid w:val="002D0456"/>
    <w:rsid w:val="002D06E7"/>
    <w:rsid w:val="002D393D"/>
    <w:rsid w:val="002E52BF"/>
    <w:rsid w:val="002E5756"/>
    <w:rsid w:val="002F34E1"/>
    <w:rsid w:val="002F5D2E"/>
    <w:rsid w:val="00300CE3"/>
    <w:rsid w:val="00301946"/>
    <w:rsid w:val="00301D5F"/>
    <w:rsid w:val="00304498"/>
    <w:rsid w:val="00306127"/>
    <w:rsid w:val="00310A39"/>
    <w:rsid w:val="00312BFB"/>
    <w:rsid w:val="00312FA8"/>
    <w:rsid w:val="0032262B"/>
    <w:rsid w:val="003230CC"/>
    <w:rsid w:val="003230DC"/>
    <w:rsid w:val="00325820"/>
    <w:rsid w:val="00327B43"/>
    <w:rsid w:val="00337AF4"/>
    <w:rsid w:val="003458B1"/>
    <w:rsid w:val="003528CE"/>
    <w:rsid w:val="00353C4C"/>
    <w:rsid w:val="00361893"/>
    <w:rsid w:val="00361D26"/>
    <w:rsid w:val="00364017"/>
    <w:rsid w:val="00365953"/>
    <w:rsid w:val="003715F9"/>
    <w:rsid w:val="003820B5"/>
    <w:rsid w:val="00383457"/>
    <w:rsid w:val="0038677B"/>
    <w:rsid w:val="00387971"/>
    <w:rsid w:val="00390A65"/>
    <w:rsid w:val="00391C1E"/>
    <w:rsid w:val="0039215B"/>
    <w:rsid w:val="0039253C"/>
    <w:rsid w:val="003A1A21"/>
    <w:rsid w:val="003A4C08"/>
    <w:rsid w:val="003B3B42"/>
    <w:rsid w:val="003B3CBA"/>
    <w:rsid w:val="003C0D66"/>
    <w:rsid w:val="003D3D62"/>
    <w:rsid w:val="003E180D"/>
    <w:rsid w:val="003E27E1"/>
    <w:rsid w:val="003E7AD6"/>
    <w:rsid w:val="003F2334"/>
    <w:rsid w:val="00405D3B"/>
    <w:rsid w:val="00407DD8"/>
    <w:rsid w:val="0041065C"/>
    <w:rsid w:val="00410E01"/>
    <w:rsid w:val="00411705"/>
    <w:rsid w:val="00412D84"/>
    <w:rsid w:val="00414EBB"/>
    <w:rsid w:val="00425FE0"/>
    <w:rsid w:val="004264F3"/>
    <w:rsid w:val="004270A1"/>
    <w:rsid w:val="00434166"/>
    <w:rsid w:val="004343B1"/>
    <w:rsid w:val="00435713"/>
    <w:rsid w:val="0043658C"/>
    <w:rsid w:val="00437CCB"/>
    <w:rsid w:val="00442DB8"/>
    <w:rsid w:val="00446F7A"/>
    <w:rsid w:val="004504BB"/>
    <w:rsid w:val="004512D1"/>
    <w:rsid w:val="00451658"/>
    <w:rsid w:val="00452CD3"/>
    <w:rsid w:val="00454A09"/>
    <w:rsid w:val="00456C1D"/>
    <w:rsid w:val="004736D2"/>
    <w:rsid w:val="00484D92"/>
    <w:rsid w:val="004906C9"/>
    <w:rsid w:val="0049465C"/>
    <w:rsid w:val="004949CA"/>
    <w:rsid w:val="004A147D"/>
    <w:rsid w:val="004A3E12"/>
    <w:rsid w:val="004A5C1F"/>
    <w:rsid w:val="004B066B"/>
    <w:rsid w:val="004B2046"/>
    <w:rsid w:val="004B5184"/>
    <w:rsid w:val="004C1FD6"/>
    <w:rsid w:val="004D224A"/>
    <w:rsid w:val="004D284E"/>
    <w:rsid w:val="004E2613"/>
    <w:rsid w:val="004F059B"/>
    <w:rsid w:val="004F7FB6"/>
    <w:rsid w:val="005005BF"/>
    <w:rsid w:val="00523C0A"/>
    <w:rsid w:val="005403DC"/>
    <w:rsid w:val="005406BE"/>
    <w:rsid w:val="005410D4"/>
    <w:rsid w:val="00543A29"/>
    <w:rsid w:val="0054627B"/>
    <w:rsid w:val="00546484"/>
    <w:rsid w:val="00547617"/>
    <w:rsid w:val="00551C7A"/>
    <w:rsid w:val="005557FB"/>
    <w:rsid w:val="00566B73"/>
    <w:rsid w:val="005734F6"/>
    <w:rsid w:val="0057518B"/>
    <w:rsid w:val="005754A3"/>
    <w:rsid w:val="00582743"/>
    <w:rsid w:val="005859AA"/>
    <w:rsid w:val="0059299D"/>
    <w:rsid w:val="00595828"/>
    <w:rsid w:val="005A2882"/>
    <w:rsid w:val="005A2966"/>
    <w:rsid w:val="005A6435"/>
    <w:rsid w:val="005A7196"/>
    <w:rsid w:val="005C1586"/>
    <w:rsid w:val="005C7492"/>
    <w:rsid w:val="005D09A6"/>
    <w:rsid w:val="005D3A0A"/>
    <w:rsid w:val="005D3FE5"/>
    <w:rsid w:val="005D506B"/>
    <w:rsid w:val="005D57AE"/>
    <w:rsid w:val="005D7A33"/>
    <w:rsid w:val="005E205D"/>
    <w:rsid w:val="005E264A"/>
    <w:rsid w:val="005E3DE7"/>
    <w:rsid w:val="005E72D0"/>
    <w:rsid w:val="005E77AA"/>
    <w:rsid w:val="005F0CDE"/>
    <w:rsid w:val="005F2171"/>
    <w:rsid w:val="005F2484"/>
    <w:rsid w:val="00600682"/>
    <w:rsid w:val="00600E3F"/>
    <w:rsid w:val="006014DF"/>
    <w:rsid w:val="00604397"/>
    <w:rsid w:val="00606A00"/>
    <w:rsid w:val="00607805"/>
    <w:rsid w:val="006106ED"/>
    <w:rsid w:val="006179EE"/>
    <w:rsid w:val="00620EA6"/>
    <w:rsid w:val="00634286"/>
    <w:rsid w:val="00643387"/>
    <w:rsid w:val="006436EE"/>
    <w:rsid w:val="006443E0"/>
    <w:rsid w:val="0064484F"/>
    <w:rsid w:val="0064628D"/>
    <w:rsid w:val="00653271"/>
    <w:rsid w:val="00654FE2"/>
    <w:rsid w:val="00667240"/>
    <w:rsid w:val="00670353"/>
    <w:rsid w:val="00674376"/>
    <w:rsid w:val="00674A2B"/>
    <w:rsid w:val="00676F4F"/>
    <w:rsid w:val="00691A11"/>
    <w:rsid w:val="006A290E"/>
    <w:rsid w:val="006A3425"/>
    <w:rsid w:val="006A7AAC"/>
    <w:rsid w:val="006B0CBE"/>
    <w:rsid w:val="006B29DB"/>
    <w:rsid w:val="006B58A6"/>
    <w:rsid w:val="006B6CCA"/>
    <w:rsid w:val="006B70E7"/>
    <w:rsid w:val="006C58C4"/>
    <w:rsid w:val="006C7F0F"/>
    <w:rsid w:val="006D003E"/>
    <w:rsid w:val="006D4553"/>
    <w:rsid w:val="006D54CB"/>
    <w:rsid w:val="006D5A27"/>
    <w:rsid w:val="006E376A"/>
    <w:rsid w:val="006E4225"/>
    <w:rsid w:val="006F2420"/>
    <w:rsid w:val="0070143B"/>
    <w:rsid w:val="00703D40"/>
    <w:rsid w:val="007048FD"/>
    <w:rsid w:val="007057AD"/>
    <w:rsid w:val="00706E8A"/>
    <w:rsid w:val="0070723E"/>
    <w:rsid w:val="0071316C"/>
    <w:rsid w:val="00713FCD"/>
    <w:rsid w:val="0071557F"/>
    <w:rsid w:val="00724566"/>
    <w:rsid w:val="00727AF7"/>
    <w:rsid w:val="00727CD6"/>
    <w:rsid w:val="00734DFA"/>
    <w:rsid w:val="00736372"/>
    <w:rsid w:val="007439FD"/>
    <w:rsid w:val="007444B7"/>
    <w:rsid w:val="007454E9"/>
    <w:rsid w:val="00750D1D"/>
    <w:rsid w:val="00753E62"/>
    <w:rsid w:val="00755C2A"/>
    <w:rsid w:val="00761D2F"/>
    <w:rsid w:val="00770C1F"/>
    <w:rsid w:val="0077521E"/>
    <w:rsid w:val="00781069"/>
    <w:rsid w:val="007931FD"/>
    <w:rsid w:val="00795037"/>
    <w:rsid w:val="007A5E4C"/>
    <w:rsid w:val="007B1AC9"/>
    <w:rsid w:val="007B27D7"/>
    <w:rsid w:val="007B5A15"/>
    <w:rsid w:val="007B73FA"/>
    <w:rsid w:val="007C0333"/>
    <w:rsid w:val="007C3603"/>
    <w:rsid w:val="007D124A"/>
    <w:rsid w:val="007D4EE3"/>
    <w:rsid w:val="007E5ECA"/>
    <w:rsid w:val="008002D3"/>
    <w:rsid w:val="00807269"/>
    <w:rsid w:val="008146C1"/>
    <w:rsid w:val="0081563C"/>
    <w:rsid w:val="008276E3"/>
    <w:rsid w:val="00830857"/>
    <w:rsid w:val="008423E4"/>
    <w:rsid w:val="00843759"/>
    <w:rsid w:val="00855130"/>
    <w:rsid w:val="00855E50"/>
    <w:rsid w:val="00857489"/>
    <w:rsid w:val="00860484"/>
    <w:rsid w:val="008616E8"/>
    <w:rsid w:val="0086259F"/>
    <w:rsid w:val="00864C06"/>
    <w:rsid w:val="00864D27"/>
    <w:rsid w:val="00866CDC"/>
    <w:rsid w:val="00866DE4"/>
    <w:rsid w:val="00875ADD"/>
    <w:rsid w:val="00876EEB"/>
    <w:rsid w:val="008773BE"/>
    <w:rsid w:val="008875CA"/>
    <w:rsid w:val="00892B75"/>
    <w:rsid w:val="008A3216"/>
    <w:rsid w:val="008A42A4"/>
    <w:rsid w:val="008A4F5A"/>
    <w:rsid w:val="008A5D79"/>
    <w:rsid w:val="008A5FC4"/>
    <w:rsid w:val="008C2D81"/>
    <w:rsid w:val="008C3455"/>
    <w:rsid w:val="008C360A"/>
    <w:rsid w:val="008D1724"/>
    <w:rsid w:val="008E526F"/>
    <w:rsid w:val="008E6FFF"/>
    <w:rsid w:val="008F431A"/>
    <w:rsid w:val="008F5559"/>
    <w:rsid w:val="008F6D9F"/>
    <w:rsid w:val="009067C3"/>
    <w:rsid w:val="00914595"/>
    <w:rsid w:val="009212A5"/>
    <w:rsid w:val="00923755"/>
    <w:rsid w:val="00924238"/>
    <w:rsid w:val="00924FA0"/>
    <w:rsid w:val="0093056E"/>
    <w:rsid w:val="009347FF"/>
    <w:rsid w:val="00934945"/>
    <w:rsid w:val="00950726"/>
    <w:rsid w:val="009561A1"/>
    <w:rsid w:val="00961DBE"/>
    <w:rsid w:val="009644D0"/>
    <w:rsid w:val="00964CEC"/>
    <w:rsid w:val="00971BFB"/>
    <w:rsid w:val="00990837"/>
    <w:rsid w:val="00991BB8"/>
    <w:rsid w:val="00993F81"/>
    <w:rsid w:val="00994865"/>
    <w:rsid w:val="009A08B0"/>
    <w:rsid w:val="009A69B6"/>
    <w:rsid w:val="009B28AB"/>
    <w:rsid w:val="009B6C5A"/>
    <w:rsid w:val="009C480E"/>
    <w:rsid w:val="009D5E3E"/>
    <w:rsid w:val="009D5EB1"/>
    <w:rsid w:val="009E6D3B"/>
    <w:rsid w:val="009F0B3E"/>
    <w:rsid w:val="009F4877"/>
    <w:rsid w:val="009F66C5"/>
    <w:rsid w:val="009F6728"/>
    <w:rsid w:val="009F6973"/>
    <w:rsid w:val="00A000D9"/>
    <w:rsid w:val="00A002A2"/>
    <w:rsid w:val="00A13FB3"/>
    <w:rsid w:val="00A2032F"/>
    <w:rsid w:val="00A23777"/>
    <w:rsid w:val="00A27C80"/>
    <w:rsid w:val="00A30DD8"/>
    <w:rsid w:val="00A375A5"/>
    <w:rsid w:val="00A477F7"/>
    <w:rsid w:val="00A54DA5"/>
    <w:rsid w:val="00A60E3B"/>
    <w:rsid w:val="00A61176"/>
    <w:rsid w:val="00A71325"/>
    <w:rsid w:val="00A72809"/>
    <w:rsid w:val="00A743BC"/>
    <w:rsid w:val="00A74AA5"/>
    <w:rsid w:val="00A74B63"/>
    <w:rsid w:val="00A802C4"/>
    <w:rsid w:val="00A84CB2"/>
    <w:rsid w:val="00A85B60"/>
    <w:rsid w:val="00A905AC"/>
    <w:rsid w:val="00A93DD2"/>
    <w:rsid w:val="00A94D90"/>
    <w:rsid w:val="00AB0577"/>
    <w:rsid w:val="00AB74B5"/>
    <w:rsid w:val="00AC0C76"/>
    <w:rsid w:val="00AC3610"/>
    <w:rsid w:val="00AC7145"/>
    <w:rsid w:val="00AC72C6"/>
    <w:rsid w:val="00AD2185"/>
    <w:rsid w:val="00AD5AEE"/>
    <w:rsid w:val="00AD6D31"/>
    <w:rsid w:val="00AE1450"/>
    <w:rsid w:val="00AE2C64"/>
    <w:rsid w:val="00AE3476"/>
    <w:rsid w:val="00AE73A6"/>
    <w:rsid w:val="00B075BC"/>
    <w:rsid w:val="00B12651"/>
    <w:rsid w:val="00B203E3"/>
    <w:rsid w:val="00B22BF6"/>
    <w:rsid w:val="00B2308E"/>
    <w:rsid w:val="00B34ADD"/>
    <w:rsid w:val="00B4269B"/>
    <w:rsid w:val="00B43C7D"/>
    <w:rsid w:val="00B65D83"/>
    <w:rsid w:val="00B71C85"/>
    <w:rsid w:val="00B73801"/>
    <w:rsid w:val="00B77AFC"/>
    <w:rsid w:val="00B82C76"/>
    <w:rsid w:val="00B85803"/>
    <w:rsid w:val="00B95279"/>
    <w:rsid w:val="00BA7DB9"/>
    <w:rsid w:val="00BB22E3"/>
    <w:rsid w:val="00BC62ED"/>
    <w:rsid w:val="00BD193C"/>
    <w:rsid w:val="00BD627F"/>
    <w:rsid w:val="00BD6CB9"/>
    <w:rsid w:val="00BD7C8E"/>
    <w:rsid w:val="00BE6EB3"/>
    <w:rsid w:val="00BF3945"/>
    <w:rsid w:val="00BF44C5"/>
    <w:rsid w:val="00C065C4"/>
    <w:rsid w:val="00C16075"/>
    <w:rsid w:val="00C20173"/>
    <w:rsid w:val="00C21988"/>
    <w:rsid w:val="00C32804"/>
    <w:rsid w:val="00C3329E"/>
    <w:rsid w:val="00C42A7C"/>
    <w:rsid w:val="00C4476B"/>
    <w:rsid w:val="00C47900"/>
    <w:rsid w:val="00C47EC7"/>
    <w:rsid w:val="00C5652F"/>
    <w:rsid w:val="00C6508A"/>
    <w:rsid w:val="00C67057"/>
    <w:rsid w:val="00C73A1C"/>
    <w:rsid w:val="00C800D9"/>
    <w:rsid w:val="00C81363"/>
    <w:rsid w:val="00C82786"/>
    <w:rsid w:val="00C82910"/>
    <w:rsid w:val="00C832E6"/>
    <w:rsid w:val="00C959F1"/>
    <w:rsid w:val="00C9677F"/>
    <w:rsid w:val="00CA660D"/>
    <w:rsid w:val="00CB221D"/>
    <w:rsid w:val="00CB33D1"/>
    <w:rsid w:val="00CB3CD3"/>
    <w:rsid w:val="00CB4C9A"/>
    <w:rsid w:val="00CB4DCC"/>
    <w:rsid w:val="00CC4318"/>
    <w:rsid w:val="00CD5112"/>
    <w:rsid w:val="00CE0D61"/>
    <w:rsid w:val="00CE1603"/>
    <w:rsid w:val="00CE1C19"/>
    <w:rsid w:val="00CE7104"/>
    <w:rsid w:val="00D00FDA"/>
    <w:rsid w:val="00D05A20"/>
    <w:rsid w:val="00D17272"/>
    <w:rsid w:val="00D24450"/>
    <w:rsid w:val="00D2517E"/>
    <w:rsid w:val="00D27625"/>
    <w:rsid w:val="00D41AD1"/>
    <w:rsid w:val="00D420CE"/>
    <w:rsid w:val="00D4225C"/>
    <w:rsid w:val="00D502CE"/>
    <w:rsid w:val="00D52F41"/>
    <w:rsid w:val="00D57EC6"/>
    <w:rsid w:val="00D630B7"/>
    <w:rsid w:val="00D63D64"/>
    <w:rsid w:val="00D70678"/>
    <w:rsid w:val="00D74B1F"/>
    <w:rsid w:val="00D7568F"/>
    <w:rsid w:val="00D764C6"/>
    <w:rsid w:val="00D81AFE"/>
    <w:rsid w:val="00D92061"/>
    <w:rsid w:val="00D9410E"/>
    <w:rsid w:val="00DA0B36"/>
    <w:rsid w:val="00DA1BFB"/>
    <w:rsid w:val="00DA6D98"/>
    <w:rsid w:val="00DA790A"/>
    <w:rsid w:val="00DB3412"/>
    <w:rsid w:val="00DC034C"/>
    <w:rsid w:val="00DC0FE2"/>
    <w:rsid w:val="00DC712C"/>
    <w:rsid w:val="00DD1AA0"/>
    <w:rsid w:val="00DE22E2"/>
    <w:rsid w:val="00DE4E2B"/>
    <w:rsid w:val="00DE718A"/>
    <w:rsid w:val="00DE720F"/>
    <w:rsid w:val="00DF3F0F"/>
    <w:rsid w:val="00E0201F"/>
    <w:rsid w:val="00E105E4"/>
    <w:rsid w:val="00E1726C"/>
    <w:rsid w:val="00E2038B"/>
    <w:rsid w:val="00E2062B"/>
    <w:rsid w:val="00E234AE"/>
    <w:rsid w:val="00E32B76"/>
    <w:rsid w:val="00E3483D"/>
    <w:rsid w:val="00E370E2"/>
    <w:rsid w:val="00E41AC5"/>
    <w:rsid w:val="00E50D0D"/>
    <w:rsid w:val="00E57098"/>
    <w:rsid w:val="00E57B1A"/>
    <w:rsid w:val="00E608CF"/>
    <w:rsid w:val="00E61895"/>
    <w:rsid w:val="00E64021"/>
    <w:rsid w:val="00E648C9"/>
    <w:rsid w:val="00E64E85"/>
    <w:rsid w:val="00E7730E"/>
    <w:rsid w:val="00E87677"/>
    <w:rsid w:val="00E87F6B"/>
    <w:rsid w:val="00E945FA"/>
    <w:rsid w:val="00E95054"/>
    <w:rsid w:val="00E9786C"/>
    <w:rsid w:val="00EA095E"/>
    <w:rsid w:val="00EA3C44"/>
    <w:rsid w:val="00EA6593"/>
    <w:rsid w:val="00EB32A9"/>
    <w:rsid w:val="00EB68B8"/>
    <w:rsid w:val="00EC5F8C"/>
    <w:rsid w:val="00ED66C3"/>
    <w:rsid w:val="00ED7558"/>
    <w:rsid w:val="00ED7EB3"/>
    <w:rsid w:val="00F02766"/>
    <w:rsid w:val="00F03051"/>
    <w:rsid w:val="00F13A00"/>
    <w:rsid w:val="00F13F90"/>
    <w:rsid w:val="00F14E77"/>
    <w:rsid w:val="00F40C20"/>
    <w:rsid w:val="00F4180A"/>
    <w:rsid w:val="00F43C9E"/>
    <w:rsid w:val="00F43EBE"/>
    <w:rsid w:val="00F513A9"/>
    <w:rsid w:val="00F644E5"/>
    <w:rsid w:val="00F64694"/>
    <w:rsid w:val="00F64E4C"/>
    <w:rsid w:val="00F65102"/>
    <w:rsid w:val="00F67BEE"/>
    <w:rsid w:val="00F73601"/>
    <w:rsid w:val="00F83A0A"/>
    <w:rsid w:val="00F85EE4"/>
    <w:rsid w:val="00F9262F"/>
    <w:rsid w:val="00FA2E84"/>
    <w:rsid w:val="00FA3DF0"/>
    <w:rsid w:val="00FA5D90"/>
    <w:rsid w:val="00FB4A35"/>
    <w:rsid w:val="00FB7D05"/>
    <w:rsid w:val="00FC0A4C"/>
    <w:rsid w:val="00FC4A34"/>
    <w:rsid w:val="00FD3768"/>
    <w:rsid w:val="00FF1CC0"/>
    <w:rsid w:val="01371FF9"/>
    <w:rsid w:val="02617081"/>
    <w:rsid w:val="036B5288"/>
    <w:rsid w:val="03E17652"/>
    <w:rsid w:val="03FC449E"/>
    <w:rsid w:val="04741B8C"/>
    <w:rsid w:val="04B421F2"/>
    <w:rsid w:val="056A2923"/>
    <w:rsid w:val="065A1D10"/>
    <w:rsid w:val="06744454"/>
    <w:rsid w:val="06A04C65"/>
    <w:rsid w:val="07121CFD"/>
    <w:rsid w:val="07994E0C"/>
    <w:rsid w:val="0803752B"/>
    <w:rsid w:val="08844B03"/>
    <w:rsid w:val="089E4F28"/>
    <w:rsid w:val="08C02611"/>
    <w:rsid w:val="0B6D66ED"/>
    <w:rsid w:val="0B6F49AF"/>
    <w:rsid w:val="0BF9739D"/>
    <w:rsid w:val="0CD562F0"/>
    <w:rsid w:val="0D0C48FD"/>
    <w:rsid w:val="0D867CAC"/>
    <w:rsid w:val="0DC46366"/>
    <w:rsid w:val="0F1962F1"/>
    <w:rsid w:val="103367C2"/>
    <w:rsid w:val="10F73077"/>
    <w:rsid w:val="11D1347A"/>
    <w:rsid w:val="120B3EBE"/>
    <w:rsid w:val="12AF5D4C"/>
    <w:rsid w:val="130B6440"/>
    <w:rsid w:val="1340524F"/>
    <w:rsid w:val="13662AE4"/>
    <w:rsid w:val="13C85741"/>
    <w:rsid w:val="141334FE"/>
    <w:rsid w:val="14DC6328"/>
    <w:rsid w:val="161C79B5"/>
    <w:rsid w:val="18046079"/>
    <w:rsid w:val="189F5479"/>
    <w:rsid w:val="18A12CF5"/>
    <w:rsid w:val="18E448D3"/>
    <w:rsid w:val="19C95789"/>
    <w:rsid w:val="1B414DF5"/>
    <w:rsid w:val="1BFA3E7C"/>
    <w:rsid w:val="1C9614A0"/>
    <w:rsid w:val="1D215750"/>
    <w:rsid w:val="1DEC20C9"/>
    <w:rsid w:val="1DFB15B6"/>
    <w:rsid w:val="1E4A2212"/>
    <w:rsid w:val="1FC8637D"/>
    <w:rsid w:val="2156314D"/>
    <w:rsid w:val="225E0254"/>
    <w:rsid w:val="23FE7D27"/>
    <w:rsid w:val="240D3C99"/>
    <w:rsid w:val="2429158A"/>
    <w:rsid w:val="24E3784B"/>
    <w:rsid w:val="257F61D9"/>
    <w:rsid w:val="26164DAA"/>
    <w:rsid w:val="271C1977"/>
    <w:rsid w:val="28F461D4"/>
    <w:rsid w:val="29F3411B"/>
    <w:rsid w:val="2A152C1B"/>
    <w:rsid w:val="2B127D03"/>
    <w:rsid w:val="2B4B625D"/>
    <w:rsid w:val="2C216088"/>
    <w:rsid w:val="2DCA0C7A"/>
    <w:rsid w:val="2F86087B"/>
    <w:rsid w:val="2FE447CD"/>
    <w:rsid w:val="31A146F2"/>
    <w:rsid w:val="340F739D"/>
    <w:rsid w:val="342A71FD"/>
    <w:rsid w:val="342F6DF4"/>
    <w:rsid w:val="345F6D8C"/>
    <w:rsid w:val="3543197D"/>
    <w:rsid w:val="3565748D"/>
    <w:rsid w:val="3590396D"/>
    <w:rsid w:val="35A34A7C"/>
    <w:rsid w:val="372E4B49"/>
    <w:rsid w:val="38435163"/>
    <w:rsid w:val="38CE18A5"/>
    <w:rsid w:val="3AA65C90"/>
    <w:rsid w:val="3ADE3FB6"/>
    <w:rsid w:val="3CDB239B"/>
    <w:rsid w:val="3E5B6389"/>
    <w:rsid w:val="402B3515"/>
    <w:rsid w:val="406063DD"/>
    <w:rsid w:val="40D24A7A"/>
    <w:rsid w:val="41783E29"/>
    <w:rsid w:val="41B668CB"/>
    <w:rsid w:val="41CA08AC"/>
    <w:rsid w:val="420C5DE9"/>
    <w:rsid w:val="423E48AF"/>
    <w:rsid w:val="42700FCB"/>
    <w:rsid w:val="4319583F"/>
    <w:rsid w:val="43A22025"/>
    <w:rsid w:val="4481137E"/>
    <w:rsid w:val="459562F1"/>
    <w:rsid w:val="4674757D"/>
    <w:rsid w:val="468D1B33"/>
    <w:rsid w:val="46B41957"/>
    <w:rsid w:val="47747B0D"/>
    <w:rsid w:val="47FB61A8"/>
    <w:rsid w:val="49123AC6"/>
    <w:rsid w:val="4B9245DA"/>
    <w:rsid w:val="4BA51724"/>
    <w:rsid w:val="4C1C049B"/>
    <w:rsid w:val="4C721C8A"/>
    <w:rsid w:val="4D112B8C"/>
    <w:rsid w:val="4D82020B"/>
    <w:rsid w:val="4DD626F3"/>
    <w:rsid w:val="4E712D20"/>
    <w:rsid w:val="4F284D26"/>
    <w:rsid w:val="5053004E"/>
    <w:rsid w:val="52AB141A"/>
    <w:rsid w:val="534F4670"/>
    <w:rsid w:val="535429BF"/>
    <w:rsid w:val="549E5220"/>
    <w:rsid w:val="56392F5A"/>
    <w:rsid w:val="58070251"/>
    <w:rsid w:val="581B2DAE"/>
    <w:rsid w:val="59284923"/>
    <w:rsid w:val="592E21DE"/>
    <w:rsid w:val="59883613"/>
    <w:rsid w:val="5ACD449C"/>
    <w:rsid w:val="5AD16471"/>
    <w:rsid w:val="5B1433B1"/>
    <w:rsid w:val="5B5A5333"/>
    <w:rsid w:val="5D355860"/>
    <w:rsid w:val="5E8A1807"/>
    <w:rsid w:val="5F120AB8"/>
    <w:rsid w:val="5F463D55"/>
    <w:rsid w:val="5FC21368"/>
    <w:rsid w:val="60874174"/>
    <w:rsid w:val="62061EB4"/>
    <w:rsid w:val="62F355D2"/>
    <w:rsid w:val="631B72A6"/>
    <w:rsid w:val="642B6B39"/>
    <w:rsid w:val="643A6AE1"/>
    <w:rsid w:val="64D12C77"/>
    <w:rsid w:val="64D37E39"/>
    <w:rsid w:val="66F855C5"/>
    <w:rsid w:val="67670EE5"/>
    <w:rsid w:val="67B04461"/>
    <w:rsid w:val="68703BF0"/>
    <w:rsid w:val="69AE49D0"/>
    <w:rsid w:val="69ED08AC"/>
    <w:rsid w:val="6AD2649C"/>
    <w:rsid w:val="6BFA050D"/>
    <w:rsid w:val="6C327500"/>
    <w:rsid w:val="6C4C63DE"/>
    <w:rsid w:val="6CDD58B4"/>
    <w:rsid w:val="6DF46A82"/>
    <w:rsid w:val="6E782DDD"/>
    <w:rsid w:val="6FC34F4E"/>
    <w:rsid w:val="71B15F62"/>
    <w:rsid w:val="72562BC4"/>
    <w:rsid w:val="73312628"/>
    <w:rsid w:val="7384064C"/>
    <w:rsid w:val="747034A4"/>
    <w:rsid w:val="76355310"/>
    <w:rsid w:val="775C1F10"/>
    <w:rsid w:val="78076B93"/>
    <w:rsid w:val="78BD2653"/>
    <w:rsid w:val="78F148D9"/>
    <w:rsid w:val="7B171A02"/>
    <w:rsid w:val="7B271EE5"/>
    <w:rsid w:val="7BE64F04"/>
    <w:rsid w:val="7C221915"/>
    <w:rsid w:val="7EE36F91"/>
    <w:rsid w:val="7FE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C9F2"/>
  <w15:docId w15:val="{BD574046-2380-43C3-80DE-7F3B646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rsid w:val="001C5D8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C5D85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005">
    <w:name w:val="005正文"/>
    <w:basedOn w:val="a"/>
    <w:link w:val="005Char"/>
    <w:qFormat/>
    <w:pPr>
      <w:widowControl w:val="0"/>
      <w:spacing w:beforeLines="50" w:after="0" w:line="360" w:lineRule="auto"/>
      <w:ind w:firstLineChars="200" w:firstLine="200"/>
      <w:jc w:val="both"/>
    </w:pPr>
    <w:rPr>
      <w:rFonts w:ascii="Arial" w:eastAsia="宋体" w:hAnsi="Arial" w:cs="Times New Roman"/>
      <w:color w:val="auto"/>
      <w:sz w:val="24"/>
    </w:rPr>
  </w:style>
  <w:style w:type="character" w:customStyle="1" w:styleId="005Char">
    <w:name w:val="005正文 Char"/>
    <w:link w:val="005"/>
    <w:qFormat/>
    <w:rPr>
      <w:rFonts w:ascii="Arial" w:eastAsia="宋体" w:hAnsi="Arial" w:cs="Times New Roman"/>
      <w:kern w:val="2"/>
      <w:sz w:val="24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text-only">
    <w:name w:val="text-only"/>
    <w:basedOn w:val="a0"/>
    <w:rsid w:val="00CE1603"/>
  </w:style>
  <w:style w:type="character" w:styleId="aa">
    <w:name w:val="annotation reference"/>
    <w:basedOn w:val="a0"/>
    <w:uiPriority w:val="99"/>
    <w:semiHidden/>
    <w:unhideWhenUsed/>
    <w:rsid w:val="00727AF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7AF7"/>
  </w:style>
  <w:style w:type="character" w:customStyle="1" w:styleId="ac">
    <w:name w:val="批注文字 字符"/>
    <w:basedOn w:val="a0"/>
    <w:link w:val="ab"/>
    <w:uiPriority w:val="99"/>
    <w:semiHidden/>
    <w:rsid w:val="00727AF7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7AF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27AF7"/>
    <w:rPr>
      <w:rFonts w:ascii="Calibri" w:eastAsia="Calibri" w:hAnsi="Calibri" w:cs="Calibri"/>
      <w:b/>
      <w:bCs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408</Words>
  <Characters>2331</Characters>
  <Application>Microsoft Office Word</Application>
  <DocSecurity>0</DocSecurity>
  <Lines>19</Lines>
  <Paragraphs>5</Paragraphs>
  <ScaleCrop>false</ScaleCrop>
  <Company>QN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王博</cp:lastModifiedBy>
  <cp:revision>105</cp:revision>
  <cp:lastPrinted>2019-11-05T02:06:00Z</cp:lastPrinted>
  <dcterms:created xsi:type="dcterms:W3CDTF">2024-11-01T06:53:00Z</dcterms:created>
  <dcterms:modified xsi:type="dcterms:W3CDTF">2024-11-01T11:59:00Z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4864E9ABF8F74916A2F7D084C9864C8B_13</vt:lpwstr>
  </property>
</Properties>
</file>