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B4C8">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8F4CB14">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6DD9BB40">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40D651E">
      <w:pPr>
        <w:spacing w:line="400" w:lineRule="exact"/>
        <w:jc w:val="right"/>
        <w:rPr>
          <w:rFonts w:hint="default" w:eastAsia="宋体"/>
          <w:bCs/>
          <w:iCs/>
          <w:color w:val="000000"/>
          <w:sz w:val="24"/>
          <w:lang w:val="en-US" w:eastAsia="zh-CN"/>
        </w:rPr>
      </w:pPr>
      <w:r>
        <w:rPr>
          <w:rFonts w:hint="eastAsia"/>
          <w:bCs/>
          <w:iCs/>
          <w:color w:val="000000"/>
          <w:sz w:val="24"/>
        </w:rPr>
        <w:t>编号：</w:t>
      </w:r>
      <w:r>
        <w:rPr>
          <w:rFonts w:hint="eastAsia"/>
          <w:bCs/>
          <w:iCs/>
          <w:sz w:val="24"/>
        </w:rPr>
        <w:t>202</w:t>
      </w:r>
      <w:r>
        <w:rPr>
          <w:rFonts w:hint="eastAsia"/>
          <w:bCs/>
          <w:iCs/>
          <w:sz w:val="24"/>
          <w:lang w:val="en-US" w:eastAsia="zh-CN"/>
        </w:rPr>
        <w:t>4</w:t>
      </w:r>
      <w:r>
        <w:rPr>
          <w:rFonts w:hint="eastAsia"/>
          <w:bCs/>
          <w:iCs/>
          <w:sz w:val="24"/>
        </w:rPr>
        <w:t>-0</w:t>
      </w:r>
      <w:r>
        <w:rPr>
          <w:rFonts w:hint="eastAsia"/>
          <w:bCs/>
          <w:iCs/>
          <w:sz w:val="24"/>
          <w:lang w:val="en-US" w:eastAsia="zh-CN"/>
        </w:rPr>
        <w:t>07</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515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3412EBE">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2B40DCF4">
            <w:pPr>
              <w:spacing w:line="360" w:lineRule="auto"/>
              <w:rPr>
                <w:bCs/>
                <w:iCs/>
                <w:color w:val="000000"/>
                <w:sz w:val="24"/>
              </w:rPr>
            </w:pPr>
            <w:r>
              <w:rPr>
                <w:rFonts w:hint="eastAsia"/>
                <w:bCs/>
                <w:iCs/>
                <w:color w:val="000000"/>
                <w:sz w:val="24"/>
              </w:rPr>
              <w:sym w:font="Wingdings 2" w:char="0052"/>
            </w:r>
            <w:r>
              <w:rPr>
                <w:rFonts w:hint="eastAsia"/>
                <w:sz w:val="24"/>
              </w:rPr>
              <w:t xml:space="preserve">特定对象调研  </w:t>
            </w:r>
            <w:r>
              <w:rPr>
                <w:rFonts w:hint="eastAsia"/>
                <w:bCs/>
                <w:iCs/>
                <w:color w:val="000000"/>
                <w:sz w:val="24"/>
              </w:rPr>
              <w:sym w:font="Wingdings 2" w:char="00A3"/>
            </w:r>
            <w:r>
              <w:rPr>
                <w:rFonts w:hint="eastAsia"/>
                <w:sz w:val="24"/>
              </w:rPr>
              <w:t>分析师会议</w:t>
            </w:r>
          </w:p>
          <w:p w14:paraId="00529208">
            <w:pPr>
              <w:spacing w:line="360" w:lineRule="auto"/>
              <w:rPr>
                <w:rFonts w:hint="eastAsia"/>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A3"/>
            </w:r>
            <w:r>
              <w:rPr>
                <w:rFonts w:hint="eastAsia"/>
                <w:sz w:val="24"/>
              </w:rPr>
              <w:t>业绩说明会</w:t>
            </w:r>
          </w:p>
          <w:p w14:paraId="4BA9A8C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18B86F02">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572D2AE9">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03D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00AC7443">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6272A4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eastAsia" w:ascii="宋体" w:hAnsi="宋体" w:cs="宋体"/>
                <w:kern w:val="0"/>
                <w:sz w:val="24"/>
                <w:lang w:val="en-US" w:eastAsia="zh-CN"/>
              </w:rPr>
              <w:t>中信建投证券</w:t>
            </w:r>
          </w:p>
        </w:tc>
      </w:tr>
      <w:tr w14:paraId="6EBB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CA20187">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68663331">
            <w:pPr>
              <w:spacing w:line="360" w:lineRule="auto"/>
              <w:rPr>
                <w:rFonts w:hint="default" w:ascii="宋体" w:hAnsi="宋体" w:eastAsia="宋体" w:cs="宋体"/>
                <w:bCs/>
                <w:iCs/>
                <w:color w:val="000000"/>
                <w:sz w:val="24"/>
                <w:lang w:val="en-US" w:eastAsia="zh-CN"/>
              </w:rPr>
            </w:pPr>
            <w:r>
              <w:rPr>
                <w:rFonts w:hint="eastAsia" w:ascii="宋体" w:hAnsi="宋体" w:eastAsia="宋体" w:cs="宋体"/>
                <w:bCs/>
                <w:iCs/>
                <w:color w:val="000000"/>
                <w:sz w:val="24"/>
                <w:lang w:val="en-US" w:eastAsia="zh-CN"/>
              </w:rPr>
              <w:t>202</w:t>
            </w:r>
            <w:r>
              <w:rPr>
                <w:rFonts w:hint="eastAsia" w:ascii="宋体" w:hAnsi="宋体" w:cs="宋体"/>
                <w:bCs/>
                <w:iCs/>
                <w:color w:val="000000"/>
                <w:sz w:val="24"/>
                <w:lang w:val="en-US" w:eastAsia="zh-CN"/>
              </w:rPr>
              <w:t>4</w:t>
            </w:r>
            <w:r>
              <w:rPr>
                <w:rFonts w:hint="eastAsia" w:ascii="宋体" w:hAnsi="宋体" w:eastAsia="宋体" w:cs="宋体"/>
                <w:bCs/>
                <w:iCs/>
                <w:color w:val="000000"/>
                <w:sz w:val="24"/>
                <w:lang w:val="en-US" w:eastAsia="zh-CN"/>
              </w:rPr>
              <w:t>年</w:t>
            </w:r>
            <w:r>
              <w:rPr>
                <w:rFonts w:hint="eastAsia" w:ascii="宋体" w:hAnsi="宋体" w:cs="宋体"/>
                <w:bCs/>
                <w:iCs/>
                <w:color w:val="000000"/>
                <w:sz w:val="24"/>
                <w:lang w:val="en-US" w:eastAsia="zh-CN"/>
              </w:rPr>
              <w:t>11</w:t>
            </w:r>
            <w:r>
              <w:rPr>
                <w:rFonts w:hint="eastAsia" w:ascii="宋体" w:hAnsi="宋体" w:eastAsia="宋体" w:cs="宋体"/>
                <w:bCs/>
                <w:iCs/>
                <w:color w:val="000000"/>
                <w:sz w:val="24"/>
                <w:lang w:val="en-US" w:eastAsia="zh-CN"/>
              </w:rPr>
              <w:t>月</w:t>
            </w:r>
            <w:r>
              <w:rPr>
                <w:rFonts w:hint="eastAsia" w:ascii="宋体" w:hAnsi="宋体" w:cs="宋体"/>
                <w:bCs/>
                <w:iCs/>
                <w:color w:val="000000"/>
                <w:sz w:val="24"/>
                <w:lang w:val="en-US" w:eastAsia="zh-CN"/>
              </w:rPr>
              <w:t>4</w:t>
            </w:r>
            <w:r>
              <w:rPr>
                <w:rFonts w:hint="eastAsia" w:ascii="宋体" w:hAnsi="宋体" w:eastAsia="宋体" w:cs="宋体"/>
                <w:bCs/>
                <w:iCs/>
                <w:color w:val="000000"/>
                <w:sz w:val="24"/>
                <w:lang w:val="en-US" w:eastAsia="zh-CN"/>
              </w:rPr>
              <w:t xml:space="preserve">日   </w:t>
            </w:r>
            <w:r>
              <w:rPr>
                <w:rFonts w:hint="eastAsia" w:ascii="宋体" w:hAnsi="宋体" w:cs="宋体"/>
                <w:bCs/>
                <w:iCs/>
                <w:color w:val="000000"/>
                <w:sz w:val="24"/>
                <w:lang w:val="en-US" w:eastAsia="zh-CN"/>
              </w:rPr>
              <w:t>11</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00</w:t>
            </w:r>
            <w:r>
              <w:rPr>
                <w:rFonts w:hint="eastAsia" w:ascii="宋体" w:hAnsi="宋体" w:eastAsia="宋体" w:cs="宋体"/>
                <w:bCs/>
                <w:iCs/>
                <w:color w:val="000000"/>
                <w:sz w:val="24"/>
                <w:lang w:val="en-US" w:eastAsia="zh-CN"/>
              </w:rPr>
              <w:t>-1</w:t>
            </w:r>
            <w:r>
              <w:rPr>
                <w:rFonts w:hint="eastAsia" w:ascii="宋体" w:hAnsi="宋体" w:cs="宋体"/>
                <w:bCs/>
                <w:iCs/>
                <w:color w:val="000000"/>
                <w:sz w:val="24"/>
                <w:lang w:val="en-US" w:eastAsia="zh-CN"/>
              </w:rPr>
              <w:t>2</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3</w:t>
            </w:r>
            <w:r>
              <w:rPr>
                <w:rFonts w:hint="eastAsia" w:ascii="宋体" w:hAnsi="宋体" w:eastAsia="宋体" w:cs="宋体"/>
                <w:bCs/>
                <w:iCs/>
                <w:color w:val="000000"/>
                <w:sz w:val="24"/>
                <w:lang w:val="en-US" w:eastAsia="zh-CN"/>
              </w:rPr>
              <w:t>0</w:t>
            </w:r>
          </w:p>
        </w:tc>
      </w:tr>
      <w:tr w14:paraId="0AE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7C85EF90">
            <w:pPr>
              <w:jc w:val="center"/>
              <w:rPr>
                <w:bCs/>
                <w:iCs/>
                <w:color w:val="000000"/>
                <w:sz w:val="24"/>
              </w:rPr>
            </w:pPr>
            <w:r>
              <w:rPr>
                <w:rFonts w:hint="eastAsia"/>
                <w:bCs/>
                <w:iCs/>
                <w:color w:val="000000"/>
                <w:sz w:val="24"/>
              </w:rPr>
              <w:t>上市公司接待</w:t>
            </w:r>
          </w:p>
          <w:p w14:paraId="36291AB1">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4DDC0CBE">
            <w:pPr>
              <w:spacing w:line="360" w:lineRule="auto"/>
              <w:jc w:val="left"/>
              <w:rPr>
                <w:rFonts w:hint="default" w:eastAsia="宋体"/>
                <w:bCs/>
                <w:iCs/>
                <w:color w:val="000000"/>
                <w:sz w:val="24"/>
                <w:lang w:val="en-US" w:eastAsia="zh-CN"/>
              </w:rPr>
            </w:pPr>
            <w:r>
              <w:rPr>
                <w:rFonts w:hint="eastAsia"/>
                <w:bCs/>
                <w:iCs/>
                <w:color w:val="000000"/>
                <w:sz w:val="24"/>
                <w:lang w:val="en-US" w:eastAsia="zh-CN"/>
              </w:rPr>
              <w:t>李小燕（常务副总经理、董事会秘书）、袁一侨（证券事务代表）、陈柯帆（证券事务助理）</w:t>
            </w:r>
          </w:p>
        </w:tc>
      </w:tr>
      <w:tr w14:paraId="520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1FD53D7">
            <w:pPr>
              <w:jc w:val="center"/>
              <w:rPr>
                <w:bCs/>
                <w:iCs/>
                <w:color w:val="000000"/>
                <w:sz w:val="24"/>
              </w:rPr>
            </w:pPr>
            <w:r>
              <w:rPr>
                <w:rFonts w:hint="eastAsia"/>
                <w:bCs/>
                <w:iCs/>
                <w:color w:val="000000"/>
                <w:sz w:val="24"/>
              </w:rPr>
              <w:t>投资者关系活动主要内容</w:t>
            </w:r>
          </w:p>
          <w:p w14:paraId="7F6F90DE">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50C91BE9">
            <w:pPr>
              <w:numPr>
                <w:ilvl w:val="0"/>
                <w:numId w:val="0"/>
              </w:numPr>
              <w:spacing w:line="360" w:lineRule="auto"/>
              <w:rPr>
                <w:rFonts w:hint="eastAsia"/>
                <w:sz w:val="24"/>
              </w:rPr>
            </w:pPr>
            <w:r>
              <w:rPr>
                <w:rFonts w:hint="eastAsia"/>
                <w:sz w:val="24"/>
                <w:lang w:val="en-US" w:eastAsia="zh-CN"/>
              </w:rPr>
              <w:t>1、常务副总经理、董事会秘书李小燕简单就进行公司基本情况介绍，包括公司经营情况、行业概况等。</w:t>
            </w:r>
          </w:p>
          <w:p w14:paraId="425797F9">
            <w:pPr>
              <w:numPr>
                <w:ilvl w:val="0"/>
                <w:numId w:val="0"/>
              </w:numPr>
              <w:spacing w:line="360" w:lineRule="auto"/>
              <w:rPr>
                <w:rFonts w:hint="eastAsia"/>
                <w:sz w:val="24"/>
              </w:rPr>
            </w:pPr>
            <w:r>
              <w:rPr>
                <w:rFonts w:hint="eastAsia"/>
                <w:sz w:val="24"/>
                <w:lang w:val="en-US" w:eastAsia="zh-CN"/>
              </w:rPr>
              <w:t>2、参会</w:t>
            </w:r>
            <w:r>
              <w:rPr>
                <w:rFonts w:hint="eastAsia"/>
                <w:sz w:val="24"/>
              </w:rPr>
              <w:t>人员询问了公司行业发展状况、经营情况和业务开展情况</w:t>
            </w:r>
          </w:p>
          <w:p w14:paraId="2ACAB1C5">
            <w:pPr>
              <w:numPr>
                <w:ilvl w:val="0"/>
                <w:numId w:val="0"/>
              </w:numPr>
              <w:spacing w:line="360" w:lineRule="auto"/>
              <w:rPr>
                <w:rFonts w:hint="eastAsia" w:ascii="宋体" w:hAnsi="宋体" w:eastAsia="宋体" w:cs="宋体"/>
                <w:i w:val="0"/>
                <w:iCs w:val="0"/>
                <w:caps w:val="0"/>
                <w:spacing w:val="0"/>
                <w:sz w:val="24"/>
                <w:szCs w:val="24"/>
                <w:shd w:val="clear" w:fill="FFFFFF"/>
                <w:vertAlign w:val="baseline"/>
                <w:lang w:val="en-US" w:eastAsia="zh-CN"/>
              </w:rPr>
            </w:pPr>
            <w:r>
              <w:rPr>
                <w:rFonts w:hint="eastAsia"/>
                <w:sz w:val="24"/>
              </w:rPr>
              <w:t>等方面内容。主要问题及回复如下：</w:t>
            </w:r>
          </w:p>
          <w:p w14:paraId="315B39B8">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（1）公司目前对外销售主力机型?</w:t>
            </w:r>
          </w:p>
          <w:p w14:paraId="48B07DF4">
            <w:pPr>
              <w:widowControl w:val="0"/>
              <w:numPr>
                <w:ilvl w:val="0"/>
                <w:numId w:val="0"/>
              </w:numPr>
              <w:autoSpaceDE w:val="0"/>
              <w:autoSpaceDN w:val="0"/>
              <w:adjustRightInd w:val="0"/>
              <w:spacing w:line="360" w:lineRule="auto"/>
              <w:ind w:firstLine="480" w:firstLineChars="200"/>
              <w:jc w:val="both"/>
              <w:rPr>
                <w:rFonts w:hint="default" w:ascii="宋体" w:hAnsi="宋体" w:eastAsia="宋体" w:cs="宋体"/>
                <w:i w:val="0"/>
                <w:iCs w:val="0"/>
                <w:caps w:val="0"/>
                <w:spacing w:val="0"/>
                <w:sz w:val="24"/>
                <w:szCs w:val="24"/>
                <w:shd w:val="clear" w:fill="FFFFFF"/>
                <w:vertAlign w:val="baseline"/>
                <w:lang w:val="en-US" w:eastAsia="zh-CN"/>
              </w:rPr>
            </w:pPr>
            <w:r>
              <w:rPr>
                <w:rFonts w:hint="default" w:ascii="宋体" w:hAnsi="宋体" w:eastAsia="宋体" w:cs="宋体"/>
                <w:i w:val="0"/>
                <w:iCs w:val="0"/>
                <w:caps w:val="0"/>
                <w:spacing w:val="0"/>
                <w:sz w:val="24"/>
                <w:szCs w:val="24"/>
                <w:shd w:val="clear" w:fill="FFFFFF"/>
                <w:vertAlign w:val="baseline"/>
                <w:lang w:val="en-US" w:eastAsia="zh-CN"/>
              </w:rPr>
              <w:t>公司当前的重点销售机型为CW-15、CW-25E、CW-40、CW-100等产品。其中：CW-15垂直起降固定翼为纯电动无人机，通过主动安全技术保障飞机从起飞到降落的全部过程，大幅提升无人机的安全保障能力</w:t>
            </w:r>
            <w:r>
              <w:rPr>
                <w:rFonts w:hint="eastAsia" w:ascii="宋体" w:hAnsi="宋体" w:cs="宋体"/>
                <w:i w:val="0"/>
                <w:iCs w:val="0"/>
                <w:caps w:val="0"/>
                <w:spacing w:val="0"/>
                <w:sz w:val="24"/>
                <w:szCs w:val="24"/>
                <w:shd w:val="clear" w:fill="FFFFFF"/>
                <w:vertAlign w:val="baseline"/>
                <w:lang w:val="en-US" w:eastAsia="zh-CN"/>
              </w:rPr>
              <w:t>；CW-25E无人机为纯电动长航时垂直起降固定翼无人机，是一款载荷能力达6kg的大载重、长航时、多元化任务设备集成的电动无人机平台；CW-40无人机为长航时油电混动垂直起降固定翼无人机，为双尾撑布局，具备垂直起降、全自主起飞、RTK定点起降、精准导航等功能；CW-100无人机为超长航时垂直起降油电混合固定翼无人机，飞行时间可达10小时，有效载荷能力达25kg，能够同时搭载遥感传感器、稳定云台、光电吊舱、定位定姿系统等多种任务设备。</w:t>
            </w:r>
          </w:p>
          <w:p w14:paraId="4F6822FD">
            <w:pPr>
              <w:autoSpaceDE w:val="0"/>
              <w:autoSpaceDN w:val="0"/>
              <w:adjustRightInd w:val="0"/>
              <w:spacing w:line="360" w:lineRule="auto"/>
              <w:ind w:firstLine="482" w:firstLineChars="200"/>
              <w:rPr>
                <w:rFonts w:hint="eastAsia"/>
                <w:b/>
                <w:sz w:val="24"/>
                <w:lang w:val="en-US" w:eastAsia="zh-CN"/>
              </w:rPr>
            </w:pPr>
          </w:p>
          <w:p w14:paraId="1E27740C">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（2）公司PH系列多旋翼无人机目前研发情况？是否对外大批量销售？</w:t>
            </w:r>
          </w:p>
          <w:p w14:paraId="263702B8">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r>
              <w:rPr>
                <w:rFonts w:hint="eastAsia" w:asciiTheme="minorEastAsia" w:hAnsiTheme="minorEastAsia" w:cstheme="minorEastAsia"/>
                <w:sz w:val="24"/>
                <w:lang w:val="en-US" w:eastAsia="zh-CN"/>
              </w:rPr>
              <w:t>公司PH系列工业级多旋翼无人机为公司配套现有垂直起降固定翼无人机应用场景而开发的产品，其高度集成无人机飞行平台与载荷，高效协同公司固定翼平台、地面站系统而实施任务作业。公司现有产品包括PH-007、PH-X、PH-20三款旋翼无人机产品，公司以下游用户需求为牵引，开展多型多旋翼无人机产品研发，其中一型取得重大突破。目前，公司多旋翼产品主要面向总体单位进行定制开发，尚未直接面向市场规模化销售</w:t>
            </w:r>
          </w:p>
          <w:p w14:paraId="15BC5394">
            <w:pPr>
              <w:widowControl w:val="0"/>
              <w:numPr>
                <w:ilvl w:val="0"/>
                <w:numId w:val="0"/>
              </w:numPr>
              <w:autoSpaceDE w:val="0"/>
              <w:autoSpaceDN w:val="0"/>
              <w:adjustRightInd w:val="0"/>
              <w:spacing w:line="360" w:lineRule="auto"/>
              <w:jc w:val="both"/>
              <w:rPr>
                <w:rFonts w:hint="default" w:ascii="宋体" w:hAnsi="宋体" w:eastAsia="宋体" w:cs="宋体"/>
                <w:i w:val="0"/>
                <w:iCs w:val="0"/>
                <w:caps w:val="0"/>
                <w:spacing w:val="0"/>
                <w:sz w:val="24"/>
                <w:szCs w:val="24"/>
                <w:shd w:val="clear" w:fill="FFFFFF"/>
                <w:vertAlign w:val="baseline"/>
                <w:lang w:val="en-US" w:eastAsia="zh-CN"/>
              </w:rPr>
            </w:pPr>
          </w:p>
          <w:p w14:paraId="7954B98B">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（3）公司最近研发亮点？</w:t>
            </w:r>
          </w:p>
          <w:p w14:paraId="27700929">
            <w:pPr>
              <w:autoSpaceDE w:val="0"/>
              <w:autoSpaceDN w:val="0"/>
              <w:adjustRightInd w:val="0"/>
              <w:spacing w:line="360" w:lineRule="auto"/>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2024年前三季度，公司研发投入为6,926.82万元，同比增长31.46%，主要系公司在无人值守系统及运营解决方案、大载重无人机产品研发等方面加大了研发投入力度。5月公司新发布的纵横昆仑JOS-C800全新一代无人值守系统，从无人机产品、机库等全新一体化设计，在保证产品性能的同时体积与重量较上一代分别下降40%和60%，全新设计配套的CW-15V无人机实现可搭载多类任务载荷配置，通过新一代纵横云的指挥调度，实现可达披露部署应用，高频次采集时空大数据赋能社会治理，通过“纵横大鹏无人机+无人值守+纵横云+AI”模式，提供了高效低空数字经济解决方案。公司完成新型航电系统研发，开展高精度定位系统及视觉导航等相关技术研发；开展新型复合翼无人机产品研发，完成两型多旋翼平台的设计与优化设计；完成一型无人直升机的原理样机平原性能试验；软件方面进一步完成纵横云等相关软件的版本迭代更新，支撑低空数字经济运营等相关业务。</w:t>
            </w:r>
          </w:p>
          <w:p w14:paraId="7B39CEC6">
            <w:pPr>
              <w:autoSpaceDE w:val="0"/>
              <w:autoSpaceDN w:val="0"/>
              <w:adjustRightInd w:val="0"/>
              <w:spacing w:line="360" w:lineRule="auto"/>
              <w:ind w:firstLine="480" w:firstLineChars="200"/>
              <w:rPr>
                <w:rFonts w:hint="eastAsia" w:asciiTheme="minorEastAsia" w:hAnsiTheme="minorEastAsia" w:cstheme="minorEastAsia"/>
                <w:sz w:val="24"/>
                <w:lang w:val="en-US" w:eastAsia="zh-CN"/>
              </w:rPr>
            </w:pPr>
          </w:p>
          <w:p w14:paraId="08DC8426">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（4）公司的下游应用市场开拓情况？</w:t>
            </w:r>
          </w:p>
          <w:p w14:paraId="4D46A879">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公司抓住“航空应急”相关中型无人机专项采购机会，通过直接投标与渠道伙伴投标等方式，公司纵横大鹏CW-100应急通信侦察无人机获得领先的中标数量，相关项目预计在2024年下半年陆续开始交付，对2024年业绩改善作出积极贡献。但与此同时，受宏观经济形势影响，上半年面临下游用户紧张等不利影响，测绘、安防、能源巡检等增速未达预期，在低空经济相关政策发展支持下，下游政务场景相关用户开始从分散设备采购模式逐步向“集中建设，统一运营，共享服务”的业务需求模式发展，公司相关低空数字经济解决方案顺应行业需求变化，开始对接多地进行示范场景打造，为后续大规模复制推广奠定基础。</w:t>
            </w:r>
          </w:p>
          <w:p w14:paraId="542D6DB4">
            <w:pPr>
              <w:widowControl w:val="0"/>
              <w:numPr>
                <w:ilvl w:val="0"/>
                <w:numId w:val="0"/>
              </w:numPr>
              <w:autoSpaceDE w:val="0"/>
              <w:autoSpaceDN w:val="0"/>
              <w:adjustRightInd w:val="0"/>
              <w:spacing w:line="360" w:lineRule="auto"/>
              <w:ind w:firstLine="480" w:firstLineChars="200"/>
              <w:jc w:val="both"/>
              <w:rPr>
                <w:rFonts w:hint="default" w:asciiTheme="minorEastAsia" w:hAnsiTheme="minorEastAsia" w:cstheme="minorEastAsia"/>
                <w:sz w:val="24"/>
                <w:lang w:val="en-US" w:eastAsia="zh-CN"/>
              </w:rPr>
            </w:pPr>
          </w:p>
          <w:p w14:paraId="4648B805">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（5）公司有计划近期进军低空载人交通吗？</w:t>
            </w:r>
          </w:p>
          <w:p w14:paraId="16728B59">
            <w:pPr>
              <w:spacing w:line="360" w:lineRule="auto"/>
              <w:ind w:firstLine="480" w:firstLineChars="200"/>
              <w:jc w:val="both"/>
              <w:rPr>
                <w:rFonts w:hint="eastAsia" w:asciiTheme="minorEastAsia" w:hAnsiTheme="minorEastAsia" w:cstheme="minorEastAsia"/>
                <w:sz w:val="24"/>
              </w:rPr>
            </w:pPr>
            <w:r>
              <w:rPr>
                <w:rFonts w:hint="eastAsia" w:asciiTheme="minorEastAsia" w:hAnsiTheme="minorEastAsia" w:cstheme="minorEastAsia"/>
                <w:sz w:val="24"/>
                <w:lang w:val="en-US" w:eastAsia="zh-CN"/>
              </w:rPr>
              <w:t>公司目前认为</w:t>
            </w:r>
            <w:r>
              <w:rPr>
                <w:rFonts w:hint="eastAsia" w:asciiTheme="minorEastAsia" w:hAnsiTheme="minorEastAsia" w:cstheme="minorEastAsia"/>
                <w:sz w:val="24"/>
              </w:rPr>
              <w:t>低空载人交通当前处于行业发展早期，受制于技术成熟、运行成本、法律法规、市场接受度等诸多限制，相关产品当前仅在少数部分场景进行试验、示范性的应用，预计</w:t>
            </w:r>
            <w:r>
              <w:rPr>
                <w:rFonts w:hint="eastAsia" w:asciiTheme="minorEastAsia" w:hAnsiTheme="minorEastAsia" w:cstheme="minorEastAsia"/>
                <w:sz w:val="24"/>
                <w:lang w:eastAsia="zh-CN"/>
              </w:rPr>
              <w:t>需要</w:t>
            </w:r>
            <w:r>
              <w:rPr>
                <w:rFonts w:hint="eastAsia" w:asciiTheme="minorEastAsia" w:hAnsiTheme="minorEastAsia" w:cstheme="minorEastAsia"/>
                <w:sz w:val="24"/>
                <w:lang w:val="en-US" w:eastAsia="zh-CN"/>
              </w:rPr>
              <w:t>很</w:t>
            </w:r>
            <w:r>
              <w:rPr>
                <w:rFonts w:hint="eastAsia" w:asciiTheme="minorEastAsia" w:hAnsiTheme="minorEastAsia" w:cstheme="minorEastAsia"/>
                <w:sz w:val="24"/>
              </w:rPr>
              <w:t>长的培育发展周期。</w:t>
            </w:r>
          </w:p>
          <w:p w14:paraId="111FC5DB">
            <w:pPr>
              <w:spacing w:line="360" w:lineRule="auto"/>
              <w:ind w:firstLine="480" w:firstLineChars="200"/>
              <w:jc w:val="both"/>
              <w:rPr>
                <w:rFonts w:hint="default" w:eastAsia="宋体" w:asciiTheme="minorEastAsia" w:hAnsiTheme="minorEastAsia" w:cstheme="minorEastAsia"/>
                <w:sz w:val="24"/>
                <w:lang w:val="en-US" w:eastAsia="zh-CN"/>
              </w:rPr>
            </w:pPr>
            <w:r>
              <w:rPr>
                <w:rFonts w:hint="eastAsia" w:asciiTheme="minorEastAsia" w:hAnsiTheme="minorEastAsia" w:cstheme="minorEastAsia"/>
                <w:sz w:val="24"/>
                <w:lang w:val="en-US" w:eastAsia="zh-CN"/>
              </w:rPr>
              <w:t>公司目暂无进军低空载人交通</w:t>
            </w:r>
            <w:bookmarkStart w:id="0" w:name="_GoBack"/>
            <w:bookmarkEnd w:id="0"/>
            <w:r>
              <w:rPr>
                <w:rFonts w:hint="eastAsia" w:asciiTheme="minorEastAsia" w:hAnsiTheme="minorEastAsia" w:cstheme="minorEastAsia"/>
                <w:sz w:val="24"/>
                <w:lang w:val="en-US" w:eastAsia="zh-CN"/>
              </w:rPr>
              <w:t xml:space="preserve">的计划，但公司将利用已有的人才和技术积累，积极论证无人机低空交通，前瞻规划未来相关业务布局。 </w:t>
            </w:r>
          </w:p>
          <w:p w14:paraId="23023F8A">
            <w:pPr>
              <w:widowControl w:val="0"/>
              <w:numPr>
                <w:ilvl w:val="0"/>
                <w:numId w:val="0"/>
              </w:numPr>
              <w:autoSpaceDE w:val="0"/>
              <w:autoSpaceDN w:val="0"/>
              <w:adjustRightInd w:val="0"/>
              <w:spacing w:line="360" w:lineRule="auto"/>
              <w:jc w:val="both"/>
              <w:rPr>
                <w:rFonts w:hint="default" w:ascii="宋体" w:hAnsi="宋体" w:cs="宋体"/>
                <w:i w:val="0"/>
                <w:iCs w:val="0"/>
                <w:caps w:val="0"/>
                <w:spacing w:val="0"/>
                <w:sz w:val="24"/>
                <w:szCs w:val="24"/>
                <w:shd w:val="clear" w:fill="FFFFFF"/>
                <w:vertAlign w:val="baseline"/>
                <w:lang w:val="en-US" w:eastAsia="zh-CN"/>
              </w:rPr>
            </w:pPr>
          </w:p>
          <w:p w14:paraId="15EC3DE0">
            <w:pPr>
              <w:widowControl w:val="0"/>
              <w:numPr>
                <w:ilvl w:val="0"/>
                <w:numId w:val="0"/>
              </w:numPr>
              <w:autoSpaceDE w:val="0"/>
              <w:autoSpaceDN w:val="0"/>
              <w:adjustRightInd w:val="0"/>
              <w:spacing w:line="360" w:lineRule="auto"/>
              <w:jc w:val="both"/>
              <w:rPr>
                <w:rFonts w:hint="default" w:ascii="宋体" w:hAnsi="宋体" w:cs="宋体"/>
                <w:i w:val="0"/>
                <w:iCs w:val="0"/>
                <w:caps w:val="0"/>
                <w:spacing w:val="0"/>
                <w:sz w:val="24"/>
                <w:szCs w:val="24"/>
                <w:shd w:val="clear" w:fill="FFFFFF"/>
                <w:vertAlign w:val="baseline"/>
                <w:lang w:val="en-US" w:eastAsia="zh-CN"/>
              </w:rPr>
            </w:pPr>
          </w:p>
        </w:tc>
      </w:tr>
      <w:tr w14:paraId="1B6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293A7114">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75E99A2D">
            <w:pPr>
              <w:rPr>
                <w:bCs/>
                <w:iCs/>
                <w:color w:val="000000"/>
                <w:sz w:val="24"/>
              </w:rPr>
            </w:pPr>
            <w:r>
              <w:rPr>
                <w:rFonts w:hint="eastAsia"/>
                <w:bCs/>
                <w:iCs/>
                <w:color w:val="000000"/>
                <w:sz w:val="24"/>
              </w:rPr>
              <w:t>无</w:t>
            </w:r>
          </w:p>
        </w:tc>
      </w:tr>
      <w:tr w14:paraId="75E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3D442D44">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67A5D3E8">
            <w:pPr>
              <w:rPr>
                <w:rFonts w:hint="default" w:eastAsia="宋体"/>
                <w:bCs/>
                <w:iCs/>
                <w:color w:val="000000"/>
                <w:sz w:val="24"/>
                <w:lang w:val="en-US" w:eastAsia="zh-CN"/>
              </w:rPr>
            </w:pPr>
            <w:r>
              <w:rPr>
                <w:rFonts w:hint="eastAsia"/>
                <w:bCs/>
                <w:iCs/>
                <w:color w:val="000000"/>
                <w:sz w:val="24"/>
                <w:lang w:val="en-US" w:eastAsia="zh-CN"/>
              </w:rPr>
              <w:t>2024年11月4日</w:t>
            </w:r>
          </w:p>
        </w:tc>
      </w:tr>
    </w:tbl>
    <w:p w14:paraId="7830270E"/>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AA9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ZTk4OGI0N2M0MmZmMjRjOTgxNDc4MWRiODBmZGM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2CB1CF7"/>
    <w:rsid w:val="02CE22A3"/>
    <w:rsid w:val="02DC2156"/>
    <w:rsid w:val="031A4584"/>
    <w:rsid w:val="035F182D"/>
    <w:rsid w:val="036575FB"/>
    <w:rsid w:val="036752BC"/>
    <w:rsid w:val="03DF3F5A"/>
    <w:rsid w:val="04877EA0"/>
    <w:rsid w:val="04BE04FB"/>
    <w:rsid w:val="05656960"/>
    <w:rsid w:val="05847389"/>
    <w:rsid w:val="05A51120"/>
    <w:rsid w:val="05E51A21"/>
    <w:rsid w:val="0674266B"/>
    <w:rsid w:val="067B3492"/>
    <w:rsid w:val="06C500AE"/>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22535A"/>
    <w:rsid w:val="0C5C65DD"/>
    <w:rsid w:val="0C601702"/>
    <w:rsid w:val="0C6D3AF8"/>
    <w:rsid w:val="0C8D6F10"/>
    <w:rsid w:val="0CA5180B"/>
    <w:rsid w:val="0CD82CC3"/>
    <w:rsid w:val="0CDD242C"/>
    <w:rsid w:val="0CE33428"/>
    <w:rsid w:val="0D2469F8"/>
    <w:rsid w:val="0D39767D"/>
    <w:rsid w:val="0E255633"/>
    <w:rsid w:val="0E5C33C0"/>
    <w:rsid w:val="0EB87F0A"/>
    <w:rsid w:val="0F893070"/>
    <w:rsid w:val="0FB14D3F"/>
    <w:rsid w:val="100878EC"/>
    <w:rsid w:val="1010382D"/>
    <w:rsid w:val="101F3C57"/>
    <w:rsid w:val="10FC2F38"/>
    <w:rsid w:val="112C24FB"/>
    <w:rsid w:val="119C0B98"/>
    <w:rsid w:val="11A7619A"/>
    <w:rsid w:val="126708B4"/>
    <w:rsid w:val="12BE6A1A"/>
    <w:rsid w:val="12D7098C"/>
    <w:rsid w:val="13244ABA"/>
    <w:rsid w:val="13517FF7"/>
    <w:rsid w:val="13D94BA2"/>
    <w:rsid w:val="144C328F"/>
    <w:rsid w:val="14D15073"/>
    <w:rsid w:val="156E6792"/>
    <w:rsid w:val="15A87B0F"/>
    <w:rsid w:val="15C549F4"/>
    <w:rsid w:val="16126BCA"/>
    <w:rsid w:val="161554AD"/>
    <w:rsid w:val="16194273"/>
    <w:rsid w:val="16DE3023"/>
    <w:rsid w:val="17322C22"/>
    <w:rsid w:val="17A50638"/>
    <w:rsid w:val="182140FD"/>
    <w:rsid w:val="182C5DE6"/>
    <w:rsid w:val="18B70B60"/>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D050F2C"/>
    <w:rsid w:val="3D3632D2"/>
    <w:rsid w:val="3DFA4C63"/>
    <w:rsid w:val="3E16066F"/>
    <w:rsid w:val="3E8C63A3"/>
    <w:rsid w:val="3EDD4196"/>
    <w:rsid w:val="3F30708D"/>
    <w:rsid w:val="3FA7442C"/>
    <w:rsid w:val="400843F1"/>
    <w:rsid w:val="404F0BA3"/>
    <w:rsid w:val="4074264A"/>
    <w:rsid w:val="40C34B9C"/>
    <w:rsid w:val="40C357E1"/>
    <w:rsid w:val="412E0D4B"/>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A1672C9"/>
    <w:rsid w:val="4A334488"/>
    <w:rsid w:val="4A5D7178"/>
    <w:rsid w:val="4A6E00FD"/>
    <w:rsid w:val="4B391307"/>
    <w:rsid w:val="4BFC5DDD"/>
    <w:rsid w:val="4C7402C4"/>
    <w:rsid w:val="4D07506B"/>
    <w:rsid w:val="4D2E492A"/>
    <w:rsid w:val="4D3637DE"/>
    <w:rsid w:val="4D3D1907"/>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3D45D2"/>
    <w:rsid w:val="65531F4C"/>
    <w:rsid w:val="656714E2"/>
    <w:rsid w:val="658F652C"/>
    <w:rsid w:val="65BA3C91"/>
    <w:rsid w:val="6668056C"/>
    <w:rsid w:val="669B4E58"/>
    <w:rsid w:val="67770541"/>
    <w:rsid w:val="67A96EE5"/>
    <w:rsid w:val="683159BA"/>
    <w:rsid w:val="687F12FD"/>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E6623C"/>
    <w:rsid w:val="75F419BD"/>
    <w:rsid w:val="75F96FD3"/>
    <w:rsid w:val="7601232C"/>
    <w:rsid w:val="760C1AB7"/>
    <w:rsid w:val="76307EED"/>
    <w:rsid w:val="766B3669"/>
    <w:rsid w:val="77324F2B"/>
    <w:rsid w:val="7737158B"/>
    <w:rsid w:val="77701B80"/>
    <w:rsid w:val="7792494C"/>
    <w:rsid w:val="78160310"/>
    <w:rsid w:val="78442CE6"/>
    <w:rsid w:val="78771016"/>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Char"/>
    <w:link w:val="3"/>
    <w:autoRedefine/>
    <w:semiHidden/>
    <w:qFormat/>
    <w:uiPriority w:val="99"/>
    <w:rPr>
      <w:rFonts w:ascii="宋体" w:hAnsi="Times New Roman" w:eastAsia="宋体" w:cs="Times New Roman"/>
      <w:sz w:val="18"/>
      <w:szCs w:val="18"/>
    </w:rPr>
  </w:style>
  <w:style w:type="character" w:customStyle="1" w:styleId="25">
    <w:name w:val="页眉 Char"/>
    <w:link w:val="7"/>
    <w:autoRedefine/>
    <w:qFormat/>
    <w:uiPriority w:val="99"/>
    <w:rPr>
      <w:rFonts w:ascii="Times New Roman" w:hAnsi="Times New Roman"/>
      <w:kern w:val="2"/>
      <w:sz w:val="18"/>
      <w:szCs w:val="18"/>
    </w:rPr>
  </w:style>
  <w:style w:type="character" w:customStyle="1" w:styleId="26">
    <w:name w:val="页脚 Char"/>
    <w:link w:val="6"/>
    <w:autoRedefine/>
    <w:qFormat/>
    <w:uiPriority w:val="99"/>
    <w:rPr>
      <w:rFonts w:ascii="Times New Roman" w:hAnsi="Times New Roman"/>
      <w:kern w:val="2"/>
      <w:sz w:val="18"/>
      <w:szCs w:val="18"/>
    </w:rPr>
  </w:style>
  <w:style w:type="character" w:customStyle="1" w:styleId="27">
    <w:name w:val="批注框文本 Char"/>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Char"/>
    <w:link w:val="4"/>
    <w:autoRedefine/>
    <w:semiHidden/>
    <w:qFormat/>
    <w:uiPriority w:val="99"/>
    <w:rPr>
      <w:rFonts w:ascii="Times New Roman" w:hAnsi="Times New Roman"/>
      <w:kern w:val="2"/>
      <w:sz w:val="21"/>
      <w:szCs w:val="24"/>
    </w:rPr>
  </w:style>
  <w:style w:type="character" w:customStyle="1" w:styleId="30">
    <w:name w:val="批注主题 Char"/>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Char"/>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jc w:val="both"/>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1632</Words>
  <Characters>1768</Characters>
  <Lines>25</Lines>
  <Paragraphs>7</Paragraphs>
  <TotalTime>2</TotalTime>
  <ScaleCrop>false</ScaleCrop>
  <LinksUpToDate>false</LinksUpToDate>
  <CharactersWithSpaces>1812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afan</cp:lastModifiedBy>
  <cp:lastPrinted>2021-01-08T06:47:00Z</cp:lastPrinted>
  <dcterms:modified xsi:type="dcterms:W3CDTF">2024-11-04T09:53:41Z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FC8EAC4E723C40099BC5168A18BB6D1C_13</vt:lpwstr>
  </property>
</Properties>
</file>