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eastAsia" w:ascii="宋体" w:hAnsi="宋体"/>
          <w:b/>
          <w:bCs/>
          <w:iCs/>
          <w:sz w:val="24"/>
          <w:szCs w:val="24"/>
        </w:rPr>
      </w:pPr>
      <w:r>
        <w:rPr>
          <w:rFonts w:hint="eastAsia" w:ascii="宋体" w:hAnsi="宋体"/>
          <w:b/>
          <w:bCs/>
          <w:iCs/>
          <w:sz w:val="24"/>
          <w:szCs w:val="24"/>
        </w:rPr>
        <w:t>证券代码：688621                                证券简称：阳光诺和</w:t>
      </w:r>
    </w:p>
    <w:p w14:paraId="193C9A26">
      <w:pPr>
        <w:keepNext/>
        <w:keepLines/>
        <w:spacing w:before="20" w:after="20"/>
        <w:jc w:val="center"/>
        <w:outlineLvl w:val="1"/>
        <w:rPr>
          <w:rFonts w:hint="eastAsia" w:ascii="宋体" w:hAnsi="宋体"/>
          <w:b/>
          <w:bCs/>
          <w:sz w:val="36"/>
          <w:szCs w:val="36"/>
        </w:rPr>
      </w:pPr>
      <w:r>
        <w:rPr>
          <w:rFonts w:hint="eastAsia" w:ascii="宋体" w:hAnsi="宋体"/>
          <w:b/>
          <w:sz w:val="36"/>
          <w:szCs w:val="36"/>
        </w:rPr>
        <w:t>北京阳光诺和药物研究</w:t>
      </w:r>
      <w:r>
        <w:rPr>
          <w:rFonts w:hint="eastAsia" w:ascii="宋体" w:hAnsi="宋体"/>
          <w:b/>
          <w:bCs/>
          <w:sz w:val="36"/>
          <w:szCs w:val="36"/>
        </w:rPr>
        <w:t>股份有限公司</w:t>
      </w:r>
    </w:p>
    <w:p w14:paraId="1DE76FD4">
      <w:pPr>
        <w:keepNext/>
        <w:keepLines/>
        <w:spacing w:before="20" w:after="20"/>
        <w:jc w:val="center"/>
        <w:outlineLvl w:val="1"/>
        <w:rPr>
          <w:rFonts w:hint="eastAsia" w:ascii="宋体" w:hAnsi="宋体"/>
          <w:b/>
          <w:bCs/>
          <w:sz w:val="36"/>
          <w:szCs w:val="36"/>
        </w:rPr>
      </w:pPr>
      <w:r>
        <w:rPr>
          <w:rFonts w:hint="eastAsia" w:ascii="宋体" w:hAnsi="宋体"/>
          <w:b/>
          <w:bCs/>
          <w:sz w:val="36"/>
          <w:szCs w:val="36"/>
        </w:rPr>
        <w:t>投资者关系活动记录表</w:t>
      </w:r>
    </w:p>
    <w:p w14:paraId="1D3EAABF">
      <w:pPr>
        <w:spacing w:line="360" w:lineRule="auto"/>
        <w:jc w:val="center"/>
        <w:rPr>
          <w:rFonts w:hint="eastAsia" w:ascii="宋体" w:hAnsi="宋体"/>
          <w:b/>
          <w:iCs/>
          <w:sz w:val="24"/>
          <w:szCs w:val="24"/>
        </w:rPr>
      </w:pPr>
      <w:r>
        <w:rPr>
          <w:rFonts w:hint="eastAsia" w:ascii="宋体" w:hAnsi="宋体"/>
          <w:b/>
          <w:iCs/>
          <w:sz w:val="24"/>
          <w:szCs w:val="24"/>
        </w:rPr>
        <w:t>（20</w:t>
      </w:r>
      <w:r>
        <w:rPr>
          <w:rFonts w:ascii="宋体" w:hAnsi="宋体"/>
          <w:b/>
          <w:iCs/>
          <w:sz w:val="24"/>
          <w:szCs w:val="24"/>
        </w:rPr>
        <w:t>2</w:t>
      </w:r>
      <w:r>
        <w:rPr>
          <w:rFonts w:hint="eastAsia" w:ascii="宋体" w:hAnsi="宋体"/>
          <w:b/>
          <w:iCs/>
          <w:sz w:val="24"/>
          <w:szCs w:val="24"/>
        </w:rPr>
        <w:t>4年</w:t>
      </w:r>
      <w:r>
        <w:rPr>
          <w:rFonts w:hint="eastAsia" w:ascii="宋体" w:hAnsi="宋体"/>
          <w:b/>
          <w:iCs/>
          <w:sz w:val="24"/>
          <w:szCs w:val="24"/>
          <w:lang w:val="en-US" w:eastAsia="zh-CN"/>
        </w:rPr>
        <w:t>11</w:t>
      </w:r>
      <w:r>
        <w:rPr>
          <w:rFonts w:hint="eastAsia" w:ascii="宋体" w:hAnsi="宋体"/>
          <w:b/>
          <w:iCs/>
          <w:sz w:val="24"/>
          <w:szCs w:val="24"/>
        </w:rPr>
        <w:t>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203"/>
      </w:tblGrid>
      <w:tr w14:paraId="2F9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99D38DD">
            <w:pPr>
              <w:spacing w:line="360" w:lineRule="auto"/>
              <w:jc w:val="center"/>
              <w:rPr>
                <w:rFonts w:hint="eastAsia" w:ascii="宋体" w:hAnsi="宋体"/>
                <w:b/>
                <w:bCs/>
                <w:iCs/>
                <w:sz w:val="24"/>
                <w:szCs w:val="24"/>
              </w:rPr>
            </w:pPr>
            <w:r>
              <w:rPr>
                <w:rFonts w:hint="eastAsia" w:ascii="宋体" w:hAnsi="宋体"/>
                <w:b/>
                <w:bCs/>
                <w:iCs/>
                <w:sz w:val="24"/>
                <w:szCs w:val="24"/>
              </w:rPr>
              <w:t>投资者关系活动类别</w:t>
            </w:r>
          </w:p>
        </w:tc>
        <w:tc>
          <w:tcPr>
            <w:tcW w:w="6203" w:type="dxa"/>
            <w:vAlign w:val="center"/>
          </w:tcPr>
          <w:p w14:paraId="4936C92A">
            <w:pPr>
              <w:spacing w:line="360" w:lineRule="auto"/>
              <w:rPr>
                <w:rFonts w:hint="eastAsia" w:ascii="宋体" w:hAnsi="宋体"/>
                <w:bCs/>
                <w:iCs/>
                <w:sz w:val="24"/>
                <w:szCs w:val="24"/>
              </w:rPr>
            </w:pPr>
            <w:r>
              <w:rPr>
                <w:rFonts w:hint="eastAsia" w:ascii="宋体" w:hAnsi="宋体"/>
                <w:bCs/>
                <w:iCs/>
                <w:sz w:val="24"/>
                <w:szCs w:val="24"/>
              </w:rPr>
              <w:sym w:font="Wingdings 2" w:char="0052"/>
            </w:r>
            <w:r>
              <w:rPr>
                <w:rFonts w:hint="eastAsia" w:ascii="宋体" w:hAnsi="宋体"/>
                <w:sz w:val="24"/>
                <w:szCs w:val="24"/>
              </w:rPr>
              <w:t xml:space="preserve">特定对象调研        </w:t>
            </w:r>
            <w:r>
              <w:rPr>
                <w:rFonts w:hint="eastAsia" w:ascii="宋体" w:hAnsi="宋体"/>
                <w:bCs/>
                <w:iCs/>
                <w:sz w:val="24"/>
                <w:szCs w:val="24"/>
              </w:rPr>
              <w:sym w:font="Wingdings 2" w:char="00A3"/>
            </w:r>
            <w:r>
              <w:rPr>
                <w:rFonts w:hint="eastAsia" w:ascii="宋体" w:hAnsi="宋体"/>
                <w:sz w:val="24"/>
                <w:szCs w:val="24"/>
              </w:rPr>
              <w:t>分析师会议</w:t>
            </w:r>
          </w:p>
          <w:p w14:paraId="39B80EF3">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sym w:font="Wingdings 2" w:char="00A3"/>
            </w:r>
            <w:r>
              <w:rPr>
                <w:rFonts w:hint="eastAsia" w:ascii="宋体" w:hAnsi="宋体"/>
                <w:sz w:val="24"/>
                <w:szCs w:val="24"/>
              </w:rPr>
              <w:t>业绩说明会</w:t>
            </w:r>
          </w:p>
          <w:p w14:paraId="7EBD013F">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51719483">
            <w:pPr>
              <w:tabs>
                <w:tab w:val="left" w:pos="3045"/>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F0A3"/>
            </w:r>
            <w:r>
              <w:rPr>
                <w:rFonts w:hint="eastAsia" w:ascii="宋体" w:hAnsi="宋体"/>
                <w:sz w:val="24"/>
                <w:szCs w:val="24"/>
              </w:rPr>
              <w:t>现场参观</w:t>
            </w:r>
            <w:r>
              <w:rPr>
                <w:rFonts w:ascii="宋体" w:hAnsi="宋体"/>
                <w:bCs/>
                <w:iCs/>
                <w:sz w:val="24"/>
                <w:szCs w:val="24"/>
              </w:rPr>
              <w:tab/>
            </w:r>
          </w:p>
          <w:p w14:paraId="232496E4">
            <w:pPr>
              <w:tabs>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其他（电话会议）</w:t>
            </w:r>
          </w:p>
        </w:tc>
      </w:tr>
      <w:tr w14:paraId="622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2B2D1EE">
            <w:pPr>
              <w:spacing w:line="360" w:lineRule="auto"/>
              <w:jc w:val="center"/>
              <w:rPr>
                <w:rFonts w:hint="eastAsia" w:ascii="宋体" w:hAnsi="宋体"/>
                <w:b/>
                <w:bCs/>
                <w:iCs/>
                <w:sz w:val="24"/>
                <w:szCs w:val="24"/>
              </w:rPr>
            </w:pPr>
            <w:r>
              <w:rPr>
                <w:rFonts w:hint="eastAsia" w:ascii="宋体" w:hAnsi="宋体"/>
                <w:b/>
                <w:bCs/>
                <w:iCs/>
                <w:sz w:val="24"/>
                <w:szCs w:val="24"/>
              </w:rPr>
              <w:t>参与单位名称</w:t>
            </w:r>
          </w:p>
        </w:tc>
        <w:tc>
          <w:tcPr>
            <w:tcW w:w="6203" w:type="dxa"/>
          </w:tcPr>
          <w:p w14:paraId="7CE61A69">
            <w:pPr>
              <w:spacing w:line="360" w:lineRule="auto"/>
              <w:rPr>
                <w:rFonts w:hint="eastAsia" w:ascii="宋体" w:hAnsi="宋体" w:eastAsia="宋体" w:cs="宋体"/>
                <w:sz w:val="24"/>
                <w:szCs w:val="24"/>
                <w:lang w:eastAsia="zh-CN"/>
              </w:rPr>
            </w:pPr>
            <w:r>
              <w:rPr>
                <w:rFonts w:hint="eastAsia" w:ascii="宋体" w:hAnsi="宋体"/>
                <w:bCs/>
                <w:iCs/>
                <w:sz w:val="24"/>
                <w:szCs w:val="24"/>
              </w:rPr>
              <w:t>国新证券</w:t>
            </w:r>
            <w:r>
              <w:rPr>
                <w:rFonts w:hint="eastAsia" w:ascii="宋体" w:hAnsi="宋体"/>
                <w:bCs/>
                <w:iCs/>
                <w:sz w:val="24"/>
                <w:szCs w:val="24"/>
                <w:lang w:eastAsia="zh-CN"/>
              </w:rPr>
              <w:t>、华能贵诚信托、</w:t>
            </w:r>
            <w:r>
              <w:rPr>
                <w:rFonts w:hint="eastAsia" w:ascii="宋体" w:hAnsi="宋体"/>
                <w:bCs/>
                <w:iCs/>
                <w:sz w:val="24"/>
                <w:szCs w:val="24"/>
                <w:lang w:val="en-US" w:eastAsia="zh-CN"/>
              </w:rPr>
              <w:t>中华联合保险、合众资产、华夏久盈</w:t>
            </w:r>
          </w:p>
        </w:tc>
      </w:tr>
      <w:tr w14:paraId="63BC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A8094E6">
            <w:pPr>
              <w:spacing w:line="360" w:lineRule="auto"/>
              <w:jc w:val="center"/>
              <w:rPr>
                <w:rFonts w:hint="eastAsia" w:ascii="宋体" w:hAnsi="宋体"/>
                <w:b/>
                <w:bCs/>
                <w:iCs/>
                <w:sz w:val="24"/>
                <w:szCs w:val="24"/>
              </w:rPr>
            </w:pPr>
            <w:r>
              <w:rPr>
                <w:rFonts w:hint="eastAsia" w:ascii="宋体" w:hAnsi="宋体"/>
                <w:b/>
                <w:bCs/>
                <w:iCs/>
                <w:sz w:val="24"/>
                <w:szCs w:val="24"/>
              </w:rPr>
              <w:t>时间</w:t>
            </w:r>
          </w:p>
        </w:tc>
        <w:tc>
          <w:tcPr>
            <w:tcW w:w="6203" w:type="dxa"/>
          </w:tcPr>
          <w:p w14:paraId="326BC5A2">
            <w:pPr>
              <w:spacing w:line="360" w:lineRule="auto"/>
              <w:rPr>
                <w:rFonts w:hint="eastAsia" w:ascii="宋体" w:hAnsi="宋体"/>
                <w:bCs/>
                <w:iCs/>
                <w:sz w:val="24"/>
                <w:szCs w:val="24"/>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rPr>
              <w:t>4年</w:t>
            </w:r>
            <w:r>
              <w:rPr>
                <w:rFonts w:hint="eastAsia" w:ascii="宋体" w:hAnsi="宋体"/>
                <w:bCs/>
                <w:iCs/>
                <w:sz w:val="24"/>
                <w:szCs w:val="24"/>
                <w:lang w:val="en-US" w:eastAsia="zh-CN"/>
              </w:rPr>
              <w:t>11</w:t>
            </w:r>
            <w:r>
              <w:rPr>
                <w:rFonts w:hint="eastAsia" w:ascii="宋体" w:hAnsi="宋体"/>
                <w:bCs/>
                <w:iCs/>
                <w:sz w:val="24"/>
                <w:szCs w:val="24"/>
              </w:rPr>
              <w:t>月</w:t>
            </w:r>
            <w:r>
              <w:rPr>
                <w:rFonts w:hint="eastAsia" w:ascii="宋体" w:hAnsi="宋体"/>
                <w:bCs/>
                <w:iCs/>
                <w:sz w:val="24"/>
                <w:szCs w:val="24"/>
                <w:lang w:val="en-US" w:eastAsia="zh-CN"/>
              </w:rPr>
              <w:t>1</w:t>
            </w:r>
            <w:r>
              <w:rPr>
                <w:rFonts w:hint="eastAsia" w:ascii="宋体" w:hAnsi="宋体"/>
                <w:bCs/>
                <w:iCs/>
                <w:sz w:val="24"/>
                <w:szCs w:val="24"/>
              </w:rPr>
              <w:t>日</w:t>
            </w:r>
          </w:p>
        </w:tc>
      </w:tr>
      <w:tr w14:paraId="2448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FEB7A8D">
            <w:pPr>
              <w:spacing w:line="360" w:lineRule="auto"/>
              <w:jc w:val="center"/>
              <w:rPr>
                <w:rFonts w:hint="eastAsia" w:ascii="宋体" w:hAnsi="宋体"/>
                <w:b/>
                <w:bCs/>
                <w:iCs/>
                <w:sz w:val="24"/>
                <w:szCs w:val="24"/>
              </w:rPr>
            </w:pPr>
            <w:r>
              <w:rPr>
                <w:rFonts w:hint="eastAsia" w:ascii="宋体" w:hAnsi="宋体"/>
                <w:b/>
                <w:bCs/>
                <w:iCs/>
                <w:sz w:val="24"/>
                <w:szCs w:val="24"/>
              </w:rPr>
              <w:t>参会方式</w:t>
            </w:r>
          </w:p>
        </w:tc>
        <w:tc>
          <w:tcPr>
            <w:tcW w:w="6203" w:type="dxa"/>
          </w:tcPr>
          <w:p w14:paraId="4C5F5090">
            <w:pPr>
              <w:spacing w:line="360" w:lineRule="auto"/>
              <w:rPr>
                <w:rFonts w:hint="eastAsia" w:ascii="宋体" w:hAnsi="宋体"/>
                <w:bCs/>
                <w:iCs/>
                <w:sz w:val="24"/>
                <w:szCs w:val="24"/>
              </w:rPr>
            </w:pPr>
            <w:r>
              <w:rPr>
                <w:rFonts w:hint="eastAsia" w:ascii="宋体" w:hAnsi="宋体"/>
                <w:bCs/>
                <w:iCs/>
                <w:sz w:val="24"/>
                <w:szCs w:val="24"/>
              </w:rPr>
              <w:t>线</w:t>
            </w:r>
            <w:r>
              <w:rPr>
                <w:rFonts w:hint="eastAsia" w:ascii="宋体" w:hAnsi="宋体"/>
                <w:bCs/>
                <w:iCs/>
                <w:sz w:val="24"/>
                <w:szCs w:val="24"/>
                <w:lang w:val="en-US" w:eastAsia="zh-CN"/>
              </w:rPr>
              <w:t>下</w:t>
            </w:r>
            <w:r>
              <w:rPr>
                <w:rFonts w:hint="eastAsia" w:ascii="宋体" w:hAnsi="宋体"/>
                <w:bCs/>
                <w:iCs/>
                <w:sz w:val="24"/>
                <w:szCs w:val="24"/>
              </w:rPr>
              <w:t>会议</w:t>
            </w:r>
          </w:p>
        </w:tc>
      </w:tr>
      <w:tr w14:paraId="220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5249036">
            <w:pPr>
              <w:spacing w:line="360" w:lineRule="auto"/>
              <w:jc w:val="center"/>
              <w:rPr>
                <w:rFonts w:hint="eastAsia" w:ascii="宋体" w:hAnsi="宋体"/>
                <w:b/>
                <w:bCs/>
                <w:iCs/>
                <w:sz w:val="24"/>
                <w:szCs w:val="24"/>
              </w:rPr>
            </w:pPr>
            <w:r>
              <w:rPr>
                <w:rFonts w:hint="eastAsia" w:ascii="宋体" w:hAnsi="宋体"/>
                <w:b/>
                <w:bCs/>
                <w:iCs/>
                <w:sz w:val="24"/>
                <w:szCs w:val="24"/>
              </w:rPr>
              <w:t>上市公司接待人员姓名</w:t>
            </w:r>
          </w:p>
        </w:tc>
        <w:tc>
          <w:tcPr>
            <w:tcW w:w="6203" w:type="dxa"/>
            <w:vAlign w:val="center"/>
          </w:tcPr>
          <w:p w14:paraId="4AA6AA19">
            <w:pPr>
              <w:spacing w:line="360" w:lineRule="auto"/>
              <w:rPr>
                <w:rFonts w:hint="eastAsia" w:ascii="宋体" w:hAnsi="宋体"/>
                <w:bCs/>
                <w:iCs/>
                <w:sz w:val="24"/>
                <w:szCs w:val="24"/>
              </w:rPr>
            </w:pPr>
            <w:r>
              <w:rPr>
                <w:rFonts w:hint="eastAsia" w:ascii="宋体" w:hAnsi="宋体"/>
                <w:bCs/>
                <w:iCs/>
                <w:sz w:val="24"/>
                <w:szCs w:val="24"/>
              </w:rPr>
              <w:t>董事会秘书：魏丽萍女士</w:t>
            </w:r>
          </w:p>
          <w:p w14:paraId="009AA96B">
            <w:pPr>
              <w:spacing w:line="360" w:lineRule="auto"/>
              <w:rPr>
                <w:rFonts w:hint="eastAsia" w:ascii="宋体" w:hAnsi="宋体"/>
                <w:bCs/>
                <w:iCs/>
                <w:sz w:val="24"/>
                <w:szCs w:val="24"/>
              </w:rPr>
            </w:pPr>
            <w:r>
              <w:rPr>
                <w:rFonts w:hint="eastAsia" w:ascii="宋体" w:hAnsi="宋体"/>
                <w:bCs/>
                <w:iCs/>
                <w:sz w:val="24"/>
                <w:szCs w:val="24"/>
              </w:rPr>
              <w:t>财务</w:t>
            </w:r>
            <w:r>
              <w:rPr>
                <w:rFonts w:hint="eastAsia" w:ascii="宋体" w:hAnsi="宋体"/>
                <w:bCs/>
                <w:iCs/>
                <w:sz w:val="24"/>
                <w:szCs w:val="24"/>
                <w:lang w:val="en-US" w:eastAsia="zh-CN"/>
              </w:rPr>
              <w:t>副</w:t>
            </w:r>
            <w:r>
              <w:rPr>
                <w:rFonts w:hint="eastAsia" w:ascii="宋体" w:hAnsi="宋体"/>
                <w:bCs/>
                <w:iCs/>
                <w:sz w:val="24"/>
                <w:szCs w:val="24"/>
              </w:rPr>
              <w:t>总监：</w:t>
            </w:r>
            <w:r>
              <w:rPr>
                <w:rFonts w:hint="eastAsia" w:ascii="宋体" w:hAnsi="宋体"/>
                <w:bCs/>
                <w:iCs/>
                <w:sz w:val="24"/>
                <w:szCs w:val="24"/>
                <w:lang w:val="en-US" w:eastAsia="zh-CN"/>
              </w:rPr>
              <w:t>陈浩</w:t>
            </w:r>
            <w:r>
              <w:rPr>
                <w:rFonts w:hint="eastAsia" w:ascii="宋体" w:hAnsi="宋体"/>
                <w:bCs/>
                <w:iCs/>
                <w:sz w:val="24"/>
                <w:szCs w:val="24"/>
              </w:rPr>
              <w:t>先生</w:t>
            </w:r>
          </w:p>
        </w:tc>
      </w:tr>
      <w:tr w14:paraId="276D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394FAC4">
            <w:pPr>
              <w:spacing w:line="360" w:lineRule="auto"/>
              <w:jc w:val="center"/>
              <w:rPr>
                <w:rFonts w:hint="eastAsia" w:ascii="宋体" w:hAnsi="宋体"/>
                <w:b/>
                <w:bCs/>
                <w:iCs/>
                <w:sz w:val="24"/>
                <w:szCs w:val="24"/>
              </w:rPr>
            </w:pPr>
            <w:r>
              <w:rPr>
                <w:rFonts w:hint="eastAsia" w:ascii="宋体" w:hAnsi="宋体"/>
                <w:b/>
                <w:bCs/>
                <w:iCs/>
                <w:sz w:val="24"/>
                <w:szCs w:val="24"/>
              </w:rPr>
              <w:t>投资者关系活动主要内容介绍</w:t>
            </w:r>
          </w:p>
        </w:tc>
        <w:tc>
          <w:tcPr>
            <w:tcW w:w="6203" w:type="dxa"/>
          </w:tcPr>
          <w:p w14:paraId="4D36C545">
            <w:pPr>
              <w:numPr>
                <w:ilvl w:val="255"/>
                <w:numId w:val="0"/>
              </w:numPr>
              <w:spacing w:before="156" w:beforeLines="50" w:line="360" w:lineRule="auto"/>
              <w:ind w:firstLine="480" w:firstLineChars="200"/>
              <w:rPr>
                <w:sz w:val="24"/>
              </w:rPr>
            </w:pPr>
            <w:r>
              <w:rPr>
                <w:rFonts w:hint="eastAsia"/>
                <w:sz w:val="24"/>
              </w:rPr>
              <w:t>一、公司介绍环节</w:t>
            </w:r>
          </w:p>
          <w:p w14:paraId="0BC77868">
            <w:pPr>
              <w:numPr>
                <w:ilvl w:val="255"/>
                <w:numId w:val="0"/>
              </w:numPr>
              <w:spacing w:before="156" w:beforeLines="50" w:line="360" w:lineRule="auto"/>
              <w:ind w:firstLine="480" w:firstLineChars="200"/>
              <w:rPr>
                <w:sz w:val="24"/>
              </w:rPr>
            </w:pPr>
            <w:r>
              <w:rPr>
                <w:rFonts w:hint="eastAsia"/>
                <w:sz w:val="24"/>
              </w:rPr>
              <w:t>公司是一家专业的药物临床前及临床综合研发服务 CRO，为国内医药企业和科研机构提供全方位的一站式药物研发服务，致力于协助国内医药制造企业加速实现进口替代和自主创新。服务内容主要包括药物发现、药理药效、药学研究、临床研究和生物分析。</w:t>
            </w:r>
          </w:p>
          <w:p w14:paraId="589DDFD0">
            <w:pPr>
              <w:numPr>
                <w:ilvl w:val="255"/>
                <w:numId w:val="0"/>
              </w:numPr>
              <w:spacing w:before="156" w:beforeLines="50" w:line="360" w:lineRule="auto"/>
              <w:ind w:firstLine="480" w:firstLineChars="200"/>
              <w:rPr>
                <w:sz w:val="24"/>
              </w:rPr>
            </w:pPr>
            <w:r>
              <w:rPr>
                <w:rFonts w:hint="eastAsia"/>
                <w:sz w:val="24"/>
              </w:rPr>
              <w:t>公司2024年前三季度业绩稳定增长，实现营业收入9.17亿元，同比增长32.47%。实现归属于上市公司股东的净利润为2.08亿元，同比增长21.40%，实现归属于上市公司股东的扣除非经常性损益的净利润2.02亿元，同比增长20.19%。2024年第三季度实现营业收入3.54亿元，同比增长53.20%。实现归属于上市公司股东的净利润为5911.73万元，同比增长11.37%。</w:t>
            </w:r>
            <w:r>
              <w:rPr>
                <w:rFonts w:hint="eastAsia"/>
                <w:sz w:val="24"/>
                <w:lang w:val="en-US" w:eastAsia="zh-CN"/>
              </w:rPr>
              <w:t>2024前三季度研发投入1.20亿元，同比增长</w:t>
            </w:r>
            <w:r>
              <w:rPr>
                <w:rFonts w:hint="eastAsia"/>
                <w:sz w:val="24"/>
              </w:rPr>
              <w:t>43.76</w:t>
            </w:r>
            <w:r>
              <w:rPr>
                <w:rFonts w:hint="eastAsia"/>
                <w:sz w:val="24"/>
                <w:lang w:val="en-US" w:eastAsia="zh-CN"/>
              </w:rPr>
              <w:t>%，</w:t>
            </w:r>
            <w:r>
              <w:rPr>
                <w:rFonts w:hint="eastAsia"/>
                <w:sz w:val="24"/>
              </w:rPr>
              <w:t>本期研发费用</w:t>
            </w:r>
            <w:r>
              <w:rPr>
                <w:rFonts w:hint="eastAsia"/>
                <w:sz w:val="24"/>
                <w:lang w:val="en-US" w:eastAsia="zh-CN"/>
              </w:rPr>
              <w:t>5041.19万元，</w:t>
            </w:r>
            <w:r>
              <w:rPr>
                <w:rFonts w:hint="eastAsia"/>
                <w:sz w:val="24"/>
              </w:rPr>
              <w:t>较上年同期增</w:t>
            </w:r>
            <w:r>
              <w:rPr>
                <w:rFonts w:hint="eastAsia"/>
                <w:sz w:val="24"/>
                <w:lang w:val="en-US" w:eastAsia="zh-CN"/>
              </w:rPr>
              <w:t>长</w:t>
            </w:r>
            <w:r>
              <w:rPr>
                <w:rFonts w:hint="eastAsia"/>
                <w:sz w:val="24"/>
              </w:rPr>
              <w:t>69.38%</w:t>
            </w:r>
          </w:p>
          <w:p w14:paraId="5242BECC">
            <w:pPr>
              <w:numPr>
                <w:ilvl w:val="255"/>
                <w:numId w:val="0"/>
              </w:numPr>
              <w:spacing w:before="156" w:beforeLines="50" w:line="360" w:lineRule="auto"/>
              <w:ind w:firstLine="482" w:firstLineChars="200"/>
              <w:rPr>
                <w:rFonts w:hint="eastAsia" w:ascii="宋体" w:hAnsi="宋体"/>
                <w:b/>
                <w:iCs/>
                <w:sz w:val="24"/>
                <w:szCs w:val="24"/>
              </w:rPr>
            </w:pPr>
            <w:r>
              <w:rPr>
                <w:rFonts w:hint="eastAsia" w:ascii="宋体" w:hAnsi="宋体"/>
                <w:b/>
                <w:iCs/>
                <w:sz w:val="24"/>
                <w:szCs w:val="24"/>
              </w:rPr>
              <w:t>二、问答环节</w:t>
            </w:r>
          </w:p>
          <w:p w14:paraId="1A3ECF88">
            <w:pPr>
              <w:numPr>
                <w:ilvl w:val="255"/>
                <w:numId w:val="0"/>
              </w:numPr>
              <w:spacing w:before="156" w:beforeLines="50" w:line="360" w:lineRule="auto"/>
              <w:ind w:firstLine="482" w:firstLineChars="200"/>
              <w:rPr>
                <w:rFonts w:hint="eastAsia" w:ascii="宋体" w:hAnsi="宋体"/>
                <w:b/>
                <w:iCs/>
                <w:sz w:val="24"/>
                <w:szCs w:val="24"/>
              </w:rPr>
            </w:pPr>
            <w:r>
              <w:rPr>
                <w:rFonts w:hint="eastAsia" w:ascii="宋体" w:hAnsi="宋体"/>
                <w:b/>
                <w:iCs/>
                <w:sz w:val="24"/>
                <w:szCs w:val="24"/>
              </w:rPr>
              <w:t>1.公司在</w:t>
            </w:r>
            <w:r>
              <w:rPr>
                <w:rFonts w:hint="eastAsia" w:ascii="宋体" w:hAnsi="宋体"/>
                <w:b/>
                <w:iCs/>
                <w:sz w:val="24"/>
                <w:szCs w:val="24"/>
                <w:lang w:val="en-US" w:eastAsia="zh-CN"/>
              </w:rPr>
              <w:t>产品</w:t>
            </w:r>
            <w:r>
              <w:rPr>
                <w:rFonts w:hint="eastAsia" w:ascii="宋体" w:hAnsi="宋体"/>
                <w:b/>
                <w:iCs/>
                <w:sz w:val="24"/>
                <w:szCs w:val="24"/>
              </w:rPr>
              <w:t>BD或</w:t>
            </w:r>
            <w:r>
              <w:rPr>
                <w:rFonts w:hint="eastAsia" w:ascii="宋体" w:hAnsi="宋体"/>
                <w:b/>
                <w:iCs/>
                <w:sz w:val="24"/>
                <w:szCs w:val="24"/>
                <w:lang w:val="en-US" w:eastAsia="zh-CN"/>
              </w:rPr>
              <w:t>联合开发</w:t>
            </w:r>
            <w:r>
              <w:rPr>
                <w:rFonts w:hint="eastAsia" w:ascii="宋体" w:hAnsi="宋体"/>
                <w:b/>
                <w:iCs/>
                <w:sz w:val="24"/>
                <w:szCs w:val="24"/>
              </w:rPr>
              <w:t>方面是否有规划？</w:t>
            </w:r>
          </w:p>
          <w:p w14:paraId="7F03E4FF">
            <w:pPr>
              <w:numPr>
                <w:ilvl w:val="255"/>
                <w:numId w:val="0"/>
              </w:numPr>
              <w:spacing w:before="156" w:beforeLines="50" w:line="360" w:lineRule="auto"/>
              <w:ind w:firstLine="480" w:firstLineChars="200"/>
              <w:rPr>
                <w:rFonts w:hint="default" w:ascii="Times New Roman" w:hAnsi="Times New Roman"/>
                <w:bCs/>
                <w:iCs/>
                <w:color w:val="auto"/>
                <w:sz w:val="24"/>
                <w:szCs w:val="24"/>
              </w:rPr>
            </w:pPr>
            <w:r>
              <w:rPr>
                <w:rFonts w:hint="default"/>
                <w:bCs/>
                <w:iCs/>
                <w:sz w:val="24"/>
                <w:szCs w:val="24"/>
              </w:rPr>
              <w:t>目前公司产业布局主要围绕</w:t>
            </w:r>
            <w:r>
              <w:rPr>
                <w:rFonts w:hint="eastAsia"/>
                <w:bCs/>
                <w:iCs/>
                <w:sz w:val="24"/>
                <w:szCs w:val="24"/>
                <w:lang w:val="en-US" w:eastAsia="zh-CN"/>
              </w:rPr>
              <w:t>医药健康</w:t>
            </w:r>
            <w:r>
              <w:rPr>
                <w:rFonts w:hint="default"/>
                <w:bCs/>
                <w:iCs/>
                <w:sz w:val="24"/>
                <w:szCs w:val="24"/>
              </w:rPr>
              <w:t>产业，聚焦在行业细分赛道具有独特优势的领域和产品。除自主研发外，公司积极拓展产品获取渠道，如</w:t>
            </w:r>
            <w:r>
              <w:rPr>
                <w:rFonts w:hint="eastAsia"/>
                <w:bCs/>
                <w:iCs/>
                <w:sz w:val="24"/>
                <w:szCs w:val="24"/>
                <w:lang w:val="en-US" w:eastAsia="zh-CN"/>
              </w:rPr>
              <w:t>2023年5月，公司与日本上市企业</w:t>
            </w:r>
            <w:r>
              <w:rPr>
                <w:rFonts w:hint="eastAsia"/>
                <w:bCs/>
                <w:iCs/>
                <w:sz w:val="24"/>
                <w:szCs w:val="24"/>
              </w:rPr>
              <w:t>KANEKA CORPORATION就SN001（一种用于神经性疾病治疗的透皮贴剂）和SN002（一种用于治疗精神疾病的透皮贴剂）签署了</w:t>
            </w:r>
            <w:r>
              <w:rPr>
                <w:rFonts w:hint="eastAsia"/>
                <w:bCs/>
                <w:iCs/>
                <w:sz w:val="24"/>
                <w:szCs w:val="24"/>
                <w:lang w:val="en-US" w:eastAsia="zh-CN"/>
              </w:rPr>
              <w:t>独家</w:t>
            </w:r>
            <w:r>
              <w:rPr>
                <w:rFonts w:hint="eastAsia"/>
                <w:bCs/>
                <w:iCs/>
                <w:sz w:val="24"/>
                <w:szCs w:val="24"/>
              </w:rPr>
              <w:t>许可协议</w:t>
            </w:r>
            <w:r>
              <w:rPr>
                <w:rFonts w:hint="eastAsia"/>
                <w:bCs/>
                <w:iCs/>
                <w:sz w:val="24"/>
                <w:szCs w:val="24"/>
                <w:lang w:eastAsia="zh-CN"/>
              </w:rPr>
              <w:t>，</w:t>
            </w:r>
            <w:r>
              <w:rPr>
                <w:rFonts w:hint="eastAsia"/>
                <w:bCs/>
                <w:iCs/>
                <w:sz w:val="24"/>
                <w:szCs w:val="24"/>
                <w:lang w:val="en-US" w:eastAsia="zh-CN"/>
              </w:rPr>
              <w:t>可以</w:t>
            </w:r>
            <w:r>
              <w:rPr>
                <w:rFonts w:hint="eastAsia"/>
                <w:bCs/>
                <w:iCs/>
                <w:sz w:val="24"/>
                <w:szCs w:val="24"/>
              </w:rPr>
              <w:t>运用KNK拥有的经皮吸收制剂的技术专利和技术诀窍</w:t>
            </w:r>
            <w:r>
              <w:rPr>
                <w:rFonts w:hint="eastAsia"/>
                <w:bCs/>
                <w:iCs/>
                <w:sz w:val="24"/>
                <w:szCs w:val="24"/>
                <w:lang w:val="en-US" w:eastAsia="zh-CN"/>
              </w:rPr>
              <w:t>研发有优势的</w:t>
            </w:r>
            <w:r>
              <w:rPr>
                <w:rFonts w:hint="eastAsia"/>
                <w:bCs/>
                <w:iCs/>
                <w:sz w:val="24"/>
                <w:szCs w:val="24"/>
              </w:rPr>
              <w:t>透皮吸收制剂</w:t>
            </w:r>
            <w:r>
              <w:rPr>
                <w:rFonts w:hint="eastAsia"/>
                <w:bCs/>
                <w:iCs/>
                <w:sz w:val="24"/>
                <w:szCs w:val="24"/>
                <w:lang w:eastAsia="zh-CN"/>
              </w:rPr>
              <w:t>；2</w:t>
            </w:r>
            <w:r>
              <w:rPr>
                <w:rFonts w:hint="eastAsia"/>
                <w:bCs/>
                <w:iCs/>
                <w:sz w:val="24"/>
                <w:szCs w:val="24"/>
                <w:lang w:val="en-US" w:eastAsia="zh-CN"/>
              </w:rPr>
              <w:t>023</w:t>
            </w:r>
            <w:r>
              <w:rPr>
                <w:rFonts w:hint="default"/>
                <w:bCs/>
                <w:iCs/>
                <w:sz w:val="24"/>
                <w:szCs w:val="24"/>
              </w:rPr>
              <w:t>年</w:t>
            </w:r>
            <w:r>
              <w:rPr>
                <w:rFonts w:hint="eastAsia"/>
                <w:bCs/>
                <w:iCs/>
                <w:sz w:val="24"/>
                <w:szCs w:val="24"/>
                <w:lang w:val="en-US" w:eastAsia="zh-CN"/>
              </w:rPr>
              <w:t>6</w:t>
            </w:r>
            <w:r>
              <w:rPr>
                <w:rFonts w:hint="default"/>
                <w:bCs/>
                <w:iCs/>
                <w:sz w:val="24"/>
                <w:szCs w:val="24"/>
              </w:rPr>
              <w:t>月，公司披露的与浙江昂利康制药股份有限公司签署《技术开发合同》，就共同开发NHKC-1项目技术开发事宜达成合作意向</w:t>
            </w:r>
            <w:r>
              <w:rPr>
                <w:rFonts w:hint="eastAsia"/>
                <w:bCs/>
                <w:iCs/>
                <w:sz w:val="24"/>
                <w:szCs w:val="24"/>
                <w:lang w:eastAsia="zh-CN"/>
              </w:rPr>
              <w:t>，</w:t>
            </w:r>
            <w:r>
              <w:rPr>
                <w:rFonts w:hint="eastAsia"/>
                <w:bCs/>
                <w:iCs/>
                <w:sz w:val="24"/>
                <w:szCs w:val="24"/>
              </w:rPr>
              <w:t>项目整体估值为1.5亿元</w:t>
            </w:r>
            <w:r>
              <w:rPr>
                <w:rFonts w:hint="eastAsia"/>
                <w:bCs/>
                <w:iCs/>
                <w:sz w:val="24"/>
                <w:szCs w:val="24"/>
                <w:lang w:eastAsia="zh-CN"/>
              </w:rPr>
              <w:t>，</w:t>
            </w:r>
            <w:r>
              <w:rPr>
                <w:rFonts w:hint="eastAsia"/>
                <w:bCs/>
                <w:iCs/>
                <w:sz w:val="24"/>
                <w:szCs w:val="24"/>
              </w:rPr>
              <w:t>研发合作费用</w:t>
            </w:r>
            <w:r>
              <w:rPr>
                <w:rFonts w:hint="eastAsia"/>
                <w:bCs/>
                <w:iCs/>
                <w:sz w:val="24"/>
                <w:szCs w:val="24"/>
                <w:lang w:val="en-US" w:eastAsia="zh-CN"/>
              </w:rPr>
              <w:t>共计7500万元，公司分别在首期款、</w:t>
            </w:r>
            <w:r>
              <w:rPr>
                <w:rFonts w:hint="eastAsia"/>
                <w:bCs/>
                <w:iCs/>
                <w:sz w:val="24"/>
                <w:szCs w:val="24"/>
              </w:rPr>
              <w:t>完成临床研究并取得申报生产受理号</w:t>
            </w:r>
            <w:r>
              <w:rPr>
                <w:rFonts w:hint="eastAsia"/>
                <w:bCs/>
                <w:iCs/>
                <w:sz w:val="24"/>
                <w:szCs w:val="24"/>
                <w:lang w:eastAsia="zh-CN"/>
              </w:rPr>
              <w:t>、</w:t>
            </w:r>
            <w:r>
              <w:rPr>
                <w:rFonts w:hint="eastAsia"/>
                <w:bCs/>
                <w:iCs/>
                <w:sz w:val="24"/>
                <w:szCs w:val="24"/>
              </w:rPr>
              <w:t>获得生产批件</w:t>
            </w:r>
            <w:r>
              <w:rPr>
                <w:rFonts w:hint="eastAsia"/>
                <w:bCs/>
                <w:iCs/>
                <w:sz w:val="24"/>
                <w:szCs w:val="24"/>
                <w:lang w:val="en-US" w:eastAsia="zh-CN"/>
              </w:rPr>
              <w:t>和完成医保谈判后收取阶段性费用。</w:t>
            </w:r>
            <w:r>
              <w:rPr>
                <w:rFonts w:hint="eastAsia"/>
                <w:bCs/>
                <w:iCs/>
                <w:sz w:val="24"/>
                <w:szCs w:val="24"/>
              </w:rPr>
              <w:t>2024年6月公司与北京艺妙神州医药科技有限公司及其全资子公司厦门再妙生物科技有限公司签署《合作开发协议》</w:t>
            </w:r>
            <w:r>
              <w:rPr>
                <w:rFonts w:hint="eastAsia"/>
                <w:bCs/>
                <w:iCs/>
                <w:sz w:val="24"/>
                <w:szCs w:val="24"/>
                <w:lang w:eastAsia="zh-CN"/>
              </w:rPr>
              <w:t>，</w:t>
            </w:r>
            <w:r>
              <w:rPr>
                <w:rFonts w:hint="eastAsia"/>
                <w:bCs/>
                <w:iCs/>
                <w:sz w:val="24"/>
                <w:szCs w:val="24"/>
                <w:lang w:val="en-US" w:eastAsia="zh-CN"/>
              </w:rPr>
              <w:t>双方共同投资合作的治疗系统性红斑狼疮的CAR-T药物已于近日取得药物临床试验审批，标志着公司</w:t>
            </w:r>
            <w:r>
              <w:rPr>
                <w:rFonts w:hint="eastAsia"/>
                <w:bCs/>
                <w:iCs/>
                <w:sz w:val="24"/>
                <w:szCs w:val="24"/>
              </w:rPr>
              <w:t>正式进入生物创新药领域</w:t>
            </w:r>
            <w:r>
              <w:rPr>
                <w:rFonts w:hint="eastAsia"/>
                <w:bCs/>
                <w:iCs/>
                <w:sz w:val="24"/>
                <w:szCs w:val="24"/>
                <w:lang w:eastAsia="zh-CN"/>
              </w:rPr>
              <w:t>，公司</w:t>
            </w:r>
            <w:r>
              <w:rPr>
                <w:rFonts w:hint="eastAsia"/>
                <w:bCs/>
                <w:iCs/>
                <w:sz w:val="24"/>
                <w:szCs w:val="24"/>
              </w:rPr>
              <w:t>为本次获批的ZM001系统性红斑狼疮（SLE）适应症的独家合作方，再妙生物为合作产品中的开发实施主体以及药品上市许可持有人(“MAH”)。</w:t>
            </w:r>
            <w:bookmarkStart w:id="0" w:name="_GoBack"/>
            <w:r>
              <w:rPr>
                <w:rFonts w:hint="eastAsia"/>
                <w:bCs/>
                <w:iCs/>
                <w:color w:val="auto"/>
                <w:sz w:val="24"/>
                <w:szCs w:val="24"/>
              </w:rPr>
              <w:t>在药品成功获得批准并正式上市之后，双方将根据事先约定好的比例来分配由此产生的所有收益。</w:t>
            </w:r>
          </w:p>
          <w:bookmarkEnd w:id="0"/>
          <w:p w14:paraId="1E187CB5">
            <w:pPr>
              <w:numPr>
                <w:ilvl w:val="255"/>
                <w:numId w:val="0"/>
              </w:numPr>
              <w:spacing w:before="156" w:beforeLines="50" w:line="360" w:lineRule="auto"/>
              <w:ind w:firstLine="482" w:firstLineChars="200"/>
              <w:rPr>
                <w:b/>
                <w:sz w:val="24"/>
              </w:rPr>
            </w:pPr>
            <w:r>
              <w:rPr>
                <w:rFonts w:hint="eastAsia"/>
                <w:b/>
                <w:iCs/>
                <w:sz w:val="24"/>
                <w:szCs w:val="24"/>
              </w:rPr>
              <w:t>2</w:t>
            </w:r>
            <w:r>
              <w:rPr>
                <w:b/>
                <w:iCs/>
                <w:sz w:val="24"/>
                <w:szCs w:val="24"/>
              </w:rPr>
              <w:t>.</w:t>
            </w:r>
            <w:r>
              <w:rPr>
                <w:rFonts w:hint="eastAsia"/>
                <w:b/>
                <w:iCs/>
                <w:sz w:val="24"/>
                <w:szCs w:val="24"/>
              </w:rPr>
              <w:t>公司</w:t>
            </w:r>
            <w:r>
              <w:rPr>
                <w:rFonts w:hint="eastAsia"/>
                <w:b/>
                <w:iCs/>
                <w:sz w:val="24"/>
                <w:szCs w:val="24"/>
                <w:lang w:val="en-US" w:eastAsia="zh-CN"/>
              </w:rPr>
              <w:t>未来发展的展望</w:t>
            </w:r>
            <w:r>
              <w:rPr>
                <w:rFonts w:hint="eastAsia"/>
                <w:b/>
                <w:sz w:val="24"/>
              </w:rPr>
              <w:t>？</w:t>
            </w:r>
          </w:p>
          <w:p w14:paraId="354FB2FC">
            <w:pPr>
              <w:numPr>
                <w:ilvl w:val="255"/>
                <w:numId w:val="0"/>
              </w:numPr>
              <w:spacing w:before="156" w:beforeLines="50" w:line="360" w:lineRule="auto"/>
              <w:ind w:firstLine="480" w:firstLineChars="200"/>
              <w:rPr>
                <w:rFonts w:hint="eastAsia" w:eastAsia="宋体"/>
                <w:bCs/>
                <w:sz w:val="24"/>
                <w:lang w:val="en-US" w:eastAsia="zh-CN"/>
              </w:rPr>
            </w:pPr>
            <w:r>
              <w:rPr>
                <w:rFonts w:hint="eastAsia"/>
                <w:bCs/>
                <w:sz w:val="24"/>
              </w:rPr>
              <w:t>目前公司</w:t>
            </w:r>
            <w:r>
              <w:rPr>
                <w:rFonts w:hint="eastAsia"/>
                <w:bCs/>
                <w:sz w:val="24"/>
                <w:lang w:val="en-US" w:eastAsia="zh-CN"/>
              </w:rPr>
              <w:t>自研储备项目超过450项，通过与客户转化合作的方式可以锁定后续的临床服务，创新药大临床的快速增长为公司带来新的增长空间，随着权益品种进入集采带来的市场机会，以及每年新增加几个权益品种</w:t>
            </w:r>
            <w:r>
              <w:rPr>
                <w:rFonts w:hint="eastAsia"/>
                <w:bCs/>
                <w:sz w:val="24"/>
              </w:rPr>
              <w:t>的陆续上市销售，将会为公司带来更多增量空间</w:t>
            </w:r>
            <w:r>
              <w:rPr>
                <w:rFonts w:hint="eastAsia"/>
                <w:bCs/>
                <w:sz w:val="24"/>
                <w:lang w:val="en-US" w:eastAsia="zh-CN"/>
              </w:rPr>
              <w:t>，这部分产生的收入每年会滚动增长，且基本是没有成本费用的。</w:t>
            </w:r>
            <w:r>
              <w:rPr>
                <w:rFonts w:hint="eastAsia"/>
                <w:bCs/>
                <w:sz w:val="24"/>
              </w:rPr>
              <w:t>公司坚持创新驱动战略，持续加大研发投入力度，优化产品立项布局和结构，持续</w:t>
            </w:r>
            <w:r>
              <w:rPr>
                <w:rFonts w:hint="eastAsia"/>
                <w:bCs/>
                <w:sz w:val="24"/>
                <w:lang w:val="en-US" w:eastAsia="zh-CN"/>
              </w:rPr>
              <w:t>夯实优势领域技术实力</w:t>
            </w:r>
            <w:r>
              <w:rPr>
                <w:rFonts w:hint="eastAsia"/>
                <w:bCs/>
                <w:sz w:val="24"/>
              </w:rPr>
              <w:t>，不断开发具有自主知识产权的新产品。公司将紧跟行业发展趋势，进一步加大市场开拓，</w:t>
            </w:r>
            <w:r>
              <w:rPr>
                <w:rFonts w:hint="eastAsia"/>
                <w:bCs/>
                <w:sz w:val="24"/>
                <w:lang w:val="en-US" w:eastAsia="zh-CN"/>
              </w:rPr>
              <w:t>通过BD、共同投资等方式扩充公司产品管线</w:t>
            </w:r>
            <w:r>
              <w:rPr>
                <w:rFonts w:hint="eastAsia"/>
                <w:bCs/>
                <w:sz w:val="24"/>
              </w:rPr>
              <w:t>，推动公司进入新的发展阶段。</w:t>
            </w:r>
            <w:r>
              <w:rPr>
                <w:rFonts w:hint="eastAsia"/>
                <w:bCs/>
                <w:sz w:val="24"/>
                <w:lang w:val="en-US" w:eastAsia="zh-CN"/>
              </w:rPr>
              <w:t>公司</w:t>
            </w:r>
            <w:r>
              <w:rPr>
                <w:rFonts w:hint="eastAsia"/>
                <w:bCs/>
                <w:sz w:val="24"/>
              </w:rPr>
              <w:t>将紧紧抓住国内医药研发服务行业的发展机遇，全面加强在化学药、生物药、中药和医疗器械领域的专业服务能力</w:t>
            </w:r>
            <w:r>
              <w:rPr>
                <w:rFonts w:hint="eastAsia"/>
                <w:bCs/>
                <w:sz w:val="24"/>
                <w:lang w:eastAsia="zh-CN"/>
              </w:rPr>
              <w:t>，</w:t>
            </w:r>
            <w:r>
              <w:rPr>
                <w:rFonts w:hint="eastAsia"/>
                <w:bCs/>
                <w:sz w:val="24"/>
              </w:rPr>
              <w:t>积极探索并拓展新的业务领域</w:t>
            </w:r>
            <w:r>
              <w:rPr>
                <w:rFonts w:hint="eastAsia"/>
                <w:bCs/>
                <w:sz w:val="24"/>
                <w:lang w:eastAsia="zh-CN"/>
              </w:rPr>
              <w:t>，</w:t>
            </w:r>
            <w:r>
              <w:rPr>
                <w:rFonts w:hint="eastAsia"/>
                <w:bCs/>
                <w:sz w:val="24"/>
                <w:lang w:val="en-US" w:eastAsia="zh-CN"/>
              </w:rPr>
              <w:t>比如中药、宠物药、TDDS等领域</w:t>
            </w:r>
            <w:r>
              <w:rPr>
                <w:rFonts w:hint="eastAsia"/>
                <w:bCs/>
                <w:sz w:val="24"/>
              </w:rPr>
              <w:t>。</w:t>
            </w:r>
          </w:p>
          <w:p w14:paraId="139D4F80">
            <w:pPr>
              <w:numPr>
                <w:ilvl w:val="0"/>
                <w:numId w:val="1"/>
              </w:numPr>
              <w:spacing w:before="156" w:beforeLines="50" w:line="360" w:lineRule="auto"/>
              <w:ind w:firstLine="482" w:firstLineChars="200"/>
              <w:rPr>
                <w:rFonts w:hint="eastAsia"/>
                <w:b/>
                <w:sz w:val="24"/>
              </w:rPr>
            </w:pPr>
            <w:r>
              <w:rPr>
                <w:rFonts w:hint="eastAsia"/>
                <w:b/>
                <w:sz w:val="24"/>
                <w:lang w:val="en-US" w:eastAsia="zh-CN"/>
              </w:rPr>
              <w:t>商务</w:t>
            </w:r>
            <w:r>
              <w:rPr>
                <w:rFonts w:hint="eastAsia"/>
                <w:b/>
                <w:sz w:val="24"/>
              </w:rPr>
              <w:t>团队体量</w:t>
            </w:r>
            <w:r>
              <w:rPr>
                <w:rFonts w:hint="eastAsia"/>
                <w:b/>
                <w:sz w:val="24"/>
                <w:lang w:val="en-US" w:eastAsia="zh-CN"/>
              </w:rPr>
              <w:t>，主要获客途径是什么，公司商务费用增长原因</w:t>
            </w:r>
            <w:r>
              <w:rPr>
                <w:rFonts w:hint="eastAsia"/>
                <w:b/>
                <w:sz w:val="24"/>
              </w:rPr>
              <w:t>？</w:t>
            </w:r>
          </w:p>
          <w:p w14:paraId="35A30202">
            <w:pPr>
              <w:numPr>
                <w:ilvl w:val="255"/>
                <w:numId w:val="0"/>
              </w:numPr>
              <w:spacing w:before="156" w:beforeLines="50" w:line="360" w:lineRule="auto"/>
              <w:ind w:firstLine="480" w:firstLineChars="200"/>
              <w:rPr>
                <w:b/>
                <w:sz w:val="24"/>
                <w:highlight w:val="yellow"/>
              </w:rPr>
            </w:pPr>
            <w:r>
              <w:rPr>
                <w:rFonts w:hint="eastAsia"/>
                <w:bCs/>
                <w:sz w:val="24"/>
              </w:rPr>
              <w:t xml:space="preserve"> 公司整体销售人员体量不大，会</w:t>
            </w:r>
            <w:r>
              <w:rPr>
                <w:rFonts w:hint="eastAsia"/>
                <w:bCs/>
                <w:sz w:val="24"/>
                <w:lang w:val="en-US" w:eastAsia="zh-CN"/>
              </w:rPr>
              <w:t>根据公司业务需求有序</w:t>
            </w:r>
            <w:r>
              <w:rPr>
                <w:rFonts w:hint="eastAsia"/>
                <w:bCs/>
                <w:sz w:val="24"/>
              </w:rPr>
              <w:t>扩张安排，公司通过多种方式寻求业务合作机会。项目进入与客户洽谈阶段时，商务信息中心人员与潜在客户进一步接触，了解客户的研发需求，必要时由研发部门协助洽谈，为客户提供定制化解决预案；项目进入方案制定及报价阶段时，公司通过商务信息中心、项目执行部门和技术支持部门的协同工作，以满足客户的定制化需求。销售费用增长可控，和营收形成正比例增长。</w:t>
            </w:r>
          </w:p>
          <w:p w14:paraId="19A803EE">
            <w:pPr>
              <w:numPr>
                <w:ilvl w:val="0"/>
                <w:numId w:val="2"/>
              </w:numPr>
              <w:spacing w:before="156" w:beforeLines="50" w:line="360" w:lineRule="auto"/>
              <w:ind w:firstLine="482" w:firstLineChars="200"/>
              <w:rPr>
                <w:b/>
                <w:sz w:val="24"/>
              </w:rPr>
            </w:pPr>
            <w:r>
              <w:rPr>
                <w:rFonts w:hint="eastAsia"/>
                <w:b/>
                <w:sz w:val="24"/>
              </w:rPr>
              <w:t>公司</w:t>
            </w:r>
            <w:r>
              <w:rPr>
                <w:rFonts w:hint="eastAsia"/>
                <w:b/>
                <w:sz w:val="24"/>
                <w:lang w:val="en-US" w:eastAsia="zh-CN"/>
              </w:rPr>
              <w:t>如何实现自研项目立项及成功转化</w:t>
            </w:r>
            <w:r>
              <w:rPr>
                <w:rFonts w:hint="default"/>
                <w:b/>
                <w:sz w:val="24"/>
              </w:rPr>
              <w:t>？</w:t>
            </w:r>
          </w:p>
          <w:p w14:paraId="79FD8FB7">
            <w:pPr>
              <w:numPr>
                <w:ilvl w:val="255"/>
                <w:numId w:val="0"/>
              </w:numPr>
              <w:spacing w:before="156" w:beforeLines="50" w:line="360" w:lineRule="auto"/>
              <w:ind w:firstLine="480" w:firstLineChars="200"/>
              <w:rPr>
                <w:bCs/>
                <w:sz w:val="24"/>
              </w:rPr>
            </w:pPr>
            <w:r>
              <w:rPr>
                <w:rFonts w:hint="eastAsia"/>
                <w:bCs/>
                <w:sz w:val="24"/>
              </w:rPr>
              <w:t>公司内部设有立项委员会，从临床前到临床及审评申报都有丰富的专家资源对项目的市场前景、临床价值、技术可及性及政策风险进行评估及把控</w:t>
            </w:r>
            <w:r>
              <w:rPr>
                <w:rFonts w:hint="eastAsia"/>
                <w:bCs/>
                <w:sz w:val="24"/>
                <w:lang w:eastAsia="zh-CN"/>
              </w:rPr>
              <w:t>，传统的产品选择主要关注品种的市场前景、临床能否实现、技术是否可行、政策是否支持。</w:t>
            </w:r>
            <w:r>
              <w:rPr>
                <w:rFonts w:hint="eastAsia"/>
                <w:bCs/>
                <w:sz w:val="24"/>
              </w:rPr>
              <w:t>同时，公司拥有数百家客户资源，熟悉国内医药市场发展及趋势，为品种立项提供有力支持。</w:t>
            </w:r>
            <w:r>
              <w:rPr>
                <w:rFonts w:hint="eastAsia"/>
                <w:bCs/>
                <w:sz w:val="24"/>
                <w:lang w:eastAsia="zh-CN"/>
              </w:rPr>
              <w:t>目前，公司在传统立项逻辑的基础上更加注重合作方筛选，合适的合作方将对品种后期的技术成果转化定价、权益分成金额有积极影响。</w:t>
            </w:r>
            <w:r>
              <w:rPr>
                <w:rFonts w:hint="eastAsia"/>
                <w:bCs/>
                <w:sz w:val="24"/>
              </w:rPr>
              <w:t>公司在产品结构和研发方向已开始全面加速转型，今年以来，普通仿制和集采风险高的品种逐步减少立项及压缩研发投入，更加聚焦创新药、专利药</w:t>
            </w:r>
            <w:r>
              <w:rPr>
                <w:rFonts w:hint="eastAsia"/>
                <w:bCs/>
                <w:sz w:val="24"/>
                <w:lang w:eastAsia="zh-CN"/>
              </w:rPr>
              <w:t>、</w:t>
            </w:r>
            <w:r>
              <w:rPr>
                <w:rFonts w:hint="eastAsia"/>
                <w:bCs/>
                <w:sz w:val="24"/>
                <w:lang w:val="en-US" w:eastAsia="zh-CN"/>
              </w:rPr>
              <w:t>特殊制剂</w:t>
            </w:r>
            <w:r>
              <w:rPr>
                <w:rFonts w:hint="eastAsia"/>
                <w:bCs/>
                <w:sz w:val="24"/>
              </w:rPr>
              <w:t>加速布局与加大研发投入，尤其加快引进更多具有较长专利保护期的产品与项目</w:t>
            </w:r>
            <w:r>
              <w:rPr>
                <w:rFonts w:hint="eastAsia"/>
                <w:bCs/>
                <w:sz w:val="24"/>
                <w:lang w:eastAsia="zh-CN"/>
              </w:rPr>
              <w:t>。</w:t>
            </w:r>
          </w:p>
          <w:p w14:paraId="05F83E06">
            <w:pPr>
              <w:numPr>
                <w:ilvl w:val="0"/>
                <w:numId w:val="2"/>
              </w:numPr>
              <w:spacing w:before="156" w:beforeLines="50" w:line="360" w:lineRule="auto"/>
              <w:ind w:firstLine="482" w:firstLineChars="200"/>
              <w:rPr>
                <w:b/>
                <w:sz w:val="24"/>
              </w:rPr>
            </w:pPr>
            <w:r>
              <w:rPr>
                <w:rFonts w:hint="eastAsia"/>
                <w:b/>
                <w:sz w:val="24"/>
              </w:rPr>
              <w:t>公司的客户增长情况如何？</w:t>
            </w:r>
          </w:p>
          <w:p w14:paraId="37707B2E">
            <w:pPr>
              <w:numPr>
                <w:ilvl w:val="255"/>
                <w:numId w:val="0"/>
              </w:numPr>
              <w:spacing w:before="156" w:beforeLines="50" w:line="360" w:lineRule="auto"/>
              <w:ind w:firstLine="480" w:firstLineChars="200"/>
              <w:rPr>
                <w:rFonts w:hint="default" w:eastAsia="宋体"/>
                <w:bCs/>
                <w:sz w:val="24"/>
                <w:lang w:val="en-US" w:eastAsia="zh-CN"/>
              </w:rPr>
            </w:pPr>
            <w:r>
              <w:rPr>
                <w:rFonts w:hint="eastAsia"/>
                <w:bCs/>
                <w:sz w:val="24"/>
              </w:rPr>
              <w:t>得益于公司提供的一体化药物研发服务以及在医药研发服务领域长期的项目经验积累，目前公司已经成为国内药物研发服务主要提供商之一</w:t>
            </w:r>
            <w:r>
              <w:rPr>
                <w:rFonts w:hint="eastAsia"/>
                <w:bCs/>
                <w:sz w:val="24"/>
                <w:lang w:eastAsia="zh-CN"/>
              </w:rPr>
              <w:t>，</w:t>
            </w:r>
            <w:r>
              <w:rPr>
                <w:rFonts w:hint="eastAsia"/>
                <w:bCs/>
                <w:sz w:val="24"/>
                <w:lang w:val="en-US" w:eastAsia="zh-CN"/>
              </w:rPr>
              <w:t>2024年上半年公司新签订单和存量在手订单稳定增长。截止2024年6月末，</w:t>
            </w:r>
            <w:r>
              <w:rPr>
                <w:rFonts w:hint="eastAsia"/>
                <w:bCs/>
                <w:sz w:val="24"/>
              </w:rPr>
              <w:t>公司累计为约900家医药企业提供药物研发服务，其中多数为国内大中型医药制造企业。</w:t>
            </w:r>
            <w:r>
              <w:rPr>
                <w:rFonts w:hint="eastAsia"/>
                <w:bCs/>
                <w:sz w:val="24"/>
                <w:lang w:val="en-US" w:eastAsia="zh-CN"/>
              </w:rPr>
              <w:t>2024上半年公司</w:t>
            </w:r>
            <w:r>
              <w:rPr>
                <w:rFonts w:hint="eastAsia"/>
                <w:bCs/>
                <w:sz w:val="24"/>
              </w:rPr>
              <w:t>参与研发和自主立项研发的项目中</w:t>
            </w:r>
            <w:r>
              <w:rPr>
                <w:rFonts w:hint="eastAsia"/>
                <w:bCs/>
                <w:sz w:val="24"/>
                <w:lang w:val="en-US" w:eastAsia="zh-CN"/>
              </w:rPr>
              <w:t>,</w:t>
            </w:r>
            <w:r>
              <w:rPr>
                <w:rFonts w:hint="eastAsia"/>
                <w:bCs/>
                <w:sz w:val="24"/>
              </w:rPr>
              <w:t>共8项新药项目已通过NMPA批准进入临床试验，70项药品申报上市注册受理，取得39项药品生产注册批件。公司通过不断提升自身研发能力，增强了客户服务满意度，提升了客户粘性。稳定优质的客户群体为公司未来业务的持续增长提供了保障。</w:t>
            </w:r>
          </w:p>
        </w:tc>
      </w:tr>
      <w:tr w14:paraId="4A6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93" w:type="dxa"/>
            <w:vAlign w:val="center"/>
          </w:tcPr>
          <w:p w14:paraId="49E359F1">
            <w:pPr>
              <w:spacing w:line="360" w:lineRule="auto"/>
              <w:jc w:val="left"/>
              <w:rPr>
                <w:rFonts w:hint="eastAsia" w:ascii="宋体" w:hAnsi="宋体"/>
                <w:b/>
                <w:bCs/>
                <w:iCs/>
                <w:sz w:val="24"/>
                <w:szCs w:val="24"/>
              </w:rPr>
            </w:pPr>
            <w:r>
              <w:rPr>
                <w:rFonts w:hint="eastAsia" w:ascii="宋体" w:hAnsi="宋体"/>
                <w:b/>
                <w:bCs/>
                <w:iCs/>
                <w:sz w:val="24"/>
                <w:szCs w:val="24"/>
              </w:rPr>
              <w:t>附件清单（如有）</w:t>
            </w:r>
          </w:p>
        </w:tc>
        <w:tc>
          <w:tcPr>
            <w:tcW w:w="6203" w:type="dxa"/>
          </w:tcPr>
          <w:p w14:paraId="41A52917">
            <w:pPr>
              <w:spacing w:line="360" w:lineRule="auto"/>
              <w:rPr>
                <w:rFonts w:hint="eastAsia" w:ascii="宋体" w:hAnsi="宋体" w:cs="宋体"/>
                <w:sz w:val="24"/>
                <w:szCs w:val="24"/>
              </w:rPr>
            </w:pPr>
            <w:r>
              <w:rPr>
                <w:rFonts w:hint="eastAsia" w:ascii="宋体" w:hAnsi="宋体"/>
                <w:bCs/>
                <w:iCs/>
                <w:sz w:val="24"/>
                <w:szCs w:val="24"/>
              </w:rPr>
              <w:t>无</w:t>
            </w:r>
          </w:p>
        </w:tc>
      </w:tr>
      <w:tr w14:paraId="5D6C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17A6FD2">
            <w:pPr>
              <w:spacing w:line="360" w:lineRule="auto"/>
              <w:jc w:val="left"/>
              <w:rPr>
                <w:rFonts w:hint="eastAsia" w:ascii="宋体" w:hAnsi="宋体"/>
                <w:b/>
                <w:bCs/>
                <w:iCs/>
                <w:sz w:val="24"/>
                <w:szCs w:val="24"/>
              </w:rPr>
            </w:pPr>
            <w:r>
              <w:rPr>
                <w:rFonts w:hint="eastAsia" w:ascii="宋体" w:hAnsi="宋体"/>
                <w:b/>
                <w:bCs/>
                <w:iCs/>
                <w:sz w:val="24"/>
                <w:szCs w:val="24"/>
              </w:rPr>
              <w:t>日期</w:t>
            </w:r>
          </w:p>
        </w:tc>
        <w:tc>
          <w:tcPr>
            <w:tcW w:w="6203" w:type="dxa"/>
          </w:tcPr>
          <w:p w14:paraId="1087953D">
            <w:pPr>
              <w:spacing w:line="360" w:lineRule="auto"/>
              <w:rPr>
                <w:rFonts w:hint="eastAsia" w:ascii="宋体" w:hAnsi="宋体"/>
                <w:bCs/>
                <w:iCs/>
                <w:sz w:val="24"/>
                <w:szCs w:val="24"/>
              </w:rPr>
            </w:pPr>
            <w:r>
              <w:rPr>
                <w:rFonts w:hint="default" w:ascii="Times New Roman" w:hAnsi="Times New Roman"/>
                <w:bCs/>
                <w:iCs/>
                <w:sz w:val="24"/>
                <w:szCs w:val="24"/>
              </w:rPr>
              <w:t>20</w:t>
            </w:r>
            <w:r>
              <w:rPr>
                <w:rFonts w:ascii="Times New Roman" w:hAnsi="Times New Roman"/>
                <w:bCs/>
                <w:iCs/>
                <w:sz w:val="24"/>
                <w:szCs w:val="24"/>
              </w:rPr>
              <w:t>2</w:t>
            </w:r>
            <w:r>
              <w:rPr>
                <w:rFonts w:hint="default" w:ascii="Times New Roman" w:hAnsi="Times New Roman"/>
                <w:bCs/>
                <w:iCs/>
                <w:sz w:val="24"/>
                <w:szCs w:val="24"/>
              </w:rPr>
              <w:t>4年</w:t>
            </w:r>
            <w:r>
              <w:rPr>
                <w:rFonts w:hint="default" w:ascii="Times New Roman" w:hAnsi="Times New Roman"/>
                <w:bCs/>
                <w:iCs/>
                <w:sz w:val="24"/>
                <w:szCs w:val="24"/>
                <w:lang w:val="en-US" w:eastAsia="zh-CN"/>
              </w:rPr>
              <w:t>1</w:t>
            </w:r>
            <w:r>
              <w:rPr>
                <w:rFonts w:hint="eastAsia"/>
                <w:bCs/>
                <w:iCs/>
                <w:sz w:val="24"/>
                <w:szCs w:val="24"/>
                <w:lang w:val="en-US" w:eastAsia="zh-CN"/>
              </w:rPr>
              <w:t>1</w:t>
            </w:r>
            <w:r>
              <w:rPr>
                <w:rFonts w:hint="default" w:ascii="Times New Roman" w:hAnsi="Times New Roman"/>
                <w:bCs/>
                <w:iCs/>
                <w:sz w:val="24"/>
                <w:szCs w:val="24"/>
              </w:rPr>
              <w:t>月</w:t>
            </w:r>
            <w:r>
              <w:rPr>
                <w:rFonts w:hint="eastAsia"/>
                <w:bCs/>
                <w:iCs/>
                <w:sz w:val="24"/>
                <w:szCs w:val="24"/>
                <w:lang w:val="en-US" w:eastAsia="zh-CN"/>
              </w:rPr>
              <w:t>1</w:t>
            </w:r>
            <w:r>
              <w:rPr>
                <w:rFonts w:hint="default" w:ascii="Times New Roman" w:hAnsi="Times New Roman"/>
                <w:bCs/>
                <w:iCs/>
                <w:sz w:val="24"/>
                <w:szCs w:val="24"/>
              </w:rPr>
              <w:t>日</w:t>
            </w:r>
          </w:p>
        </w:tc>
      </w:tr>
    </w:tbl>
    <w:p w14:paraId="3B62B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6A866"/>
    <w:multiLevelType w:val="singleLevel"/>
    <w:tmpl w:val="B956A866"/>
    <w:lvl w:ilvl="0" w:tentative="0">
      <w:start w:val="4"/>
      <w:numFmt w:val="decimal"/>
      <w:lvlText w:val="%1."/>
      <w:lvlJc w:val="left"/>
      <w:pPr>
        <w:tabs>
          <w:tab w:val="left" w:pos="312"/>
        </w:tabs>
      </w:pPr>
    </w:lvl>
  </w:abstractNum>
  <w:abstractNum w:abstractNumId="1">
    <w:nsid w:val="DC9D47E6"/>
    <w:multiLevelType w:val="singleLevel"/>
    <w:tmpl w:val="DC9D47E6"/>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2MTRlOTE5NzU3Y2FhZmJjMTA4ODAwNjMyZWVhZDcifQ=="/>
  </w:docVars>
  <w:rsids>
    <w:rsidRoot w:val="52FF551A"/>
    <w:rsid w:val="007C7638"/>
    <w:rsid w:val="00A06CDD"/>
    <w:rsid w:val="00BB2E0E"/>
    <w:rsid w:val="00BF064F"/>
    <w:rsid w:val="00E31C19"/>
    <w:rsid w:val="01AC06BF"/>
    <w:rsid w:val="01CC4519"/>
    <w:rsid w:val="02290130"/>
    <w:rsid w:val="0244511A"/>
    <w:rsid w:val="025F5A5E"/>
    <w:rsid w:val="026811C2"/>
    <w:rsid w:val="02BD318C"/>
    <w:rsid w:val="02DB7D7F"/>
    <w:rsid w:val="039A53E7"/>
    <w:rsid w:val="03D87218"/>
    <w:rsid w:val="042E4E66"/>
    <w:rsid w:val="051E3483"/>
    <w:rsid w:val="05537D54"/>
    <w:rsid w:val="05A32FB5"/>
    <w:rsid w:val="05BF4B6E"/>
    <w:rsid w:val="05F444DC"/>
    <w:rsid w:val="077953F5"/>
    <w:rsid w:val="07A52A97"/>
    <w:rsid w:val="08446DEB"/>
    <w:rsid w:val="09FE6266"/>
    <w:rsid w:val="0A414CDC"/>
    <w:rsid w:val="0A6D3DFC"/>
    <w:rsid w:val="0B5E16A9"/>
    <w:rsid w:val="0C1F7BAB"/>
    <w:rsid w:val="0C612D69"/>
    <w:rsid w:val="0D174ABA"/>
    <w:rsid w:val="0DBE3551"/>
    <w:rsid w:val="0DCC4700"/>
    <w:rsid w:val="0E086001"/>
    <w:rsid w:val="0EB77202"/>
    <w:rsid w:val="0F824FAF"/>
    <w:rsid w:val="0FE77118"/>
    <w:rsid w:val="11866453"/>
    <w:rsid w:val="11FF5668"/>
    <w:rsid w:val="122E5DAC"/>
    <w:rsid w:val="12527029"/>
    <w:rsid w:val="12B62932"/>
    <w:rsid w:val="12DB5893"/>
    <w:rsid w:val="134A000D"/>
    <w:rsid w:val="13CF5910"/>
    <w:rsid w:val="144F54F1"/>
    <w:rsid w:val="14EC5248"/>
    <w:rsid w:val="14ED4281"/>
    <w:rsid w:val="15930D03"/>
    <w:rsid w:val="15AA2CEE"/>
    <w:rsid w:val="15B14D16"/>
    <w:rsid w:val="16DA51E9"/>
    <w:rsid w:val="17345A11"/>
    <w:rsid w:val="17FB3086"/>
    <w:rsid w:val="1839393F"/>
    <w:rsid w:val="190E77ED"/>
    <w:rsid w:val="1A0F1E47"/>
    <w:rsid w:val="1A2C70A7"/>
    <w:rsid w:val="1A547590"/>
    <w:rsid w:val="1B2D550F"/>
    <w:rsid w:val="1C524E00"/>
    <w:rsid w:val="1D0C17E5"/>
    <w:rsid w:val="1D74016F"/>
    <w:rsid w:val="1E121C15"/>
    <w:rsid w:val="1EBC241A"/>
    <w:rsid w:val="1F792F8D"/>
    <w:rsid w:val="1F983F69"/>
    <w:rsid w:val="1FAE3E0B"/>
    <w:rsid w:val="20BE1BE1"/>
    <w:rsid w:val="210274BB"/>
    <w:rsid w:val="216347EC"/>
    <w:rsid w:val="22F83CD2"/>
    <w:rsid w:val="2362320E"/>
    <w:rsid w:val="23910C76"/>
    <w:rsid w:val="23D01B44"/>
    <w:rsid w:val="23D06D2E"/>
    <w:rsid w:val="23EB5621"/>
    <w:rsid w:val="241427AF"/>
    <w:rsid w:val="249D14E3"/>
    <w:rsid w:val="24BB0950"/>
    <w:rsid w:val="256D51A0"/>
    <w:rsid w:val="26A5400D"/>
    <w:rsid w:val="26D51ECB"/>
    <w:rsid w:val="271625E5"/>
    <w:rsid w:val="273725B6"/>
    <w:rsid w:val="27452AA5"/>
    <w:rsid w:val="29093405"/>
    <w:rsid w:val="29706363"/>
    <w:rsid w:val="29DE4401"/>
    <w:rsid w:val="2AC65169"/>
    <w:rsid w:val="2AD401BA"/>
    <w:rsid w:val="2B061EFA"/>
    <w:rsid w:val="2B9F7FE4"/>
    <w:rsid w:val="2C535356"/>
    <w:rsid w:val="2CA85D23"/>
    <w:rsid w:val="2CB67043"/>
    <w:rsid w:val="2CE05AC2"/>
    <w:rsid w:val="2DCD4D3B"/>
    <w:rsid w:val="2E6F33D5"/>
    <w:rsid w:val="2EA00B62"/>
    <w:rsid w:val="2EA9018A"/>
    <w:rsid w:val="2F4F0EF9"/>
    <w:rsid w:val="2FA368BA"/>
    <w:rsid w:val="303D276E"/>
    <w:rsid w:val="308E0410"/>
    <w:rsid w:val="30A2064A"/>
    <w:rsid w:val="31060FA7"/>
    <w:rsid w:val="31093612"/>
    <w:rsid w:val="31BF300D"/>
    <w:rsid w:val="32A42B73"/>
    <w:rsid w:val="32D27F68"/>
    <w:rsid w:val="33231F8D"/>
    <w:rsid w:val="33260499"/>
    <w:rsid w:val="332F655B"/>
    <w:rsid w:val="33687BF4"/>
    <w:rsid w:val="337942D4"/>
    <w:rsid w:val="34E872B4"/>
    <w:rsid w:val="350D634B"/>
    <w:rsid w:val="36952F4E"/>
    <w:rsid w:val="36B70E22"/>
    <w:rsid w:val="36D92FB2"/>
    <w:rsid w:val="37467413"/>
    <w:rsid w:val="37787510"/>
    <w:rsid w:val="381776BB"/>
    <w:rsid w:val="387520F0"/>
    <w:rsid w:val="39D2147A"/>
    <w:rsid w:val="3A8D04C3"/>
    <w:rsid w:val="3A9F5F2A"/>
    <w:rsid w:val="3B237CC2"/>
    <w:rsid w:val="3B3C7B22"/>
    <w:rsid w:val="3B7403CD"/>
    <w:rsid w:val="3B91445B"/>
    <w:rsid w:val="3C1E2FE5"/>
    <w:rsid w:val="3D3C6638"/>
    <w:rsid w:val="3D437946"/>
    <w:rsid w:val="3D81311B"/>
    <w:rsid w:val="3DFE4CB6"/>
    <w:rsid w:val="3E0B24F7"/>
    <w:rsid w:val="3E5C41A0"/>
    <w:rsid w:val="3EA2315F"/>
    <w:rsid w:val="3F135AFA"/>
    <w:rsid w:val="4224131E"/>
    <w:rsid w:val="422D34A0"/>
    <w:rsid w:val="441B0C05"/>
    <w:rsid w:val="459C63BF"/>
    <w:rsid w:val="45A55001"/>
    <w:rsid w:val="45E072A7"/>
    <w:rsid w:val="462A01A0"/>
    <w:rsid w:val="46333934"/>
    <w:rsid w:val="46A169FF"/>
    <w:rsid w:val="46F34D6A"/>
    <w:rsid w:val="480B4BB5"/>
    <w:rsid w:val="487D4171"/>
    <w:rsid w:val="488851C9"/>
    <w:rsid w:val="489D1235"/>
    <w:rsid w:val="48E21AEF"/>
    <w:rsid w:val="4A717AA0"/>
    <w:rsid w:val="4A830B91"/>
    <w:rsid w:val="4AAF5236"/>
    <w:rsid w:val="4AB212D8"/>
    <w:rsid w:val="4B1A52D2"/>
    <w:rsid w:val="4B265D22"/>
    <w:rsid w:val="4BB85758"/>
    <w:rsid w:val="4C014C57"/>
    <w:rsid w:val="4C020555"/>
    <w:rsid w:val="4C1E0FC8"/>
    <w:rsid w:val="4C556F25"/>
    <w:rsid w:val="4C84793E"/>
    <w:rsid w:val="4D0E2637"/>
    <w:rsid w:val="4D6024B5"/>
    <w:rsid w:val="4D6378A0"/>
    <w:rsid w:val="4D9C101F"/>
    <w:rsid w:val="4DF658A7"/>
    <w:rsid w:val="4EDF2A9B"/>
    <w:rsid w:val="4EF8205F"/>
    <w:rsid w:val="4F444544"/>
    <w:rsid w:val="4FE37D9E"/>
    <w:rsid w:val="50410483"/>
    <w:rsid w:val="509818E5"/>
    <w:rsid w:val="51547108"/>
    <w:rsid w:val="51EF5E19"/>
    <w:rsid w:val="527A22D9"/>
    <w:rsid w:val="5289164F"/>
    <w:rsid w:val="52FF551A"/>
    <w:rsid w:val="53672784"/>
    <w:rsid w:val="539E26C0"/>
    <w:rsid w:val="53A91257"/>
    <w:rsid w:val="53F3326E"/>
    <w:rsid w:val="549878D9"/>
    <w:rsid w:val="54A06C67"/>
    <w:rsid w:val="54CC1D57"/>
    <w:rsid w:val="54EB364E"/>
    <w:rsid w:val="55CA28F1"/>
    <w:rsid w:val="55D26B9E"/>
    <w:rsid w:val="561D32CE"/>
    <w:rsid w:val="56AC67D2"/>
    <w:rsid w:val="5718013A"/>
    <w:rsid w:val="573622C3"/>
    <w:rsid w:val="576D5BCE"/>
    <w:rsid w:val="57A634A8"/>
    <w:rsid w:val="58836DC8"/>
    <w:rsid w:val="58BA5B76"/>
    <w:rsid w:val="599C16F8"/>
    <w:rsid w:val="5A2A67F5"/>
    <w:rsid w:val="5A4F27F0"/>
    <w:rsid w:val="5A880128"/>
    <w:rsid w:val="5AAE4583"/>
    <w:rsid w:val="5B1D47FA"/>
    <w:rsid w:val="5D012421"/>
    <w:rsid w:val="5DD427BF"/>
    <w:rsid w:val="5DDC2CA3"/>
    <w:rsid w:val="5DEC4365"/>
    <w:rsid w:val="5E7435BA"/>
    <w:rsid w:val="5E932ED8"/>
    <w:rsid w:val="60760873"/>
    <w:rsid w:val="60C214BD"/>
    <w:rsid w:val="60C265CF"/>
    <w:rsid w:val="617862AC"/>
    <w:rsid w:val="62A30EA1"/>
    <w:rsid w:val="62F60387"/>
    <w:rsid w:val="63181F99"/>
    <w:rsid w:val="6320789A"/>
    <w:rsid w:val="63D1618C"/>
    <w:rsid w:val="64661261"/>
    <w:rsid w:val="64932BAD"/>
    <w:rsid w:val="649B4982"/>
    <w:rsid w:val="64BC0286"/>
    <w:rsid w:val="650C2A2C"/>
    <w:rsid w:val="65CA54AC"/>
    <w:rsid w:val="669A3582"/>
    <w:rsid w:val="66F23252"/>
    <w:rsid w:val="67920D68"/>
    <w:rsid w:val="67E47875"/>
    <w:rsid w:val="681F4C63"/>
    <w:rsid w:val="68E055B0"/>
    <w:rsid w:val="69961E22"/>
    <w:rsid w:val="6A23123C"/>
    <w:rsid w:val="6A2842F5"/>
    <w:rsid w:val="6A6547A8"/>
    <w:rsid w:val="6A6B5660"/>
    <w:rsid w:val="6B685571"/>
    <w:rsid w:val="6C3309C1"/>
    <w:rsid w:val="6D1E32A1"/>
    <w:rsid w:val="6D322B1C"/>
    <w:rsid w:val="6D9B2F52"/>
    <w:rsid w:val="6E2576AE"/>
    <w:rsid w:val="6E290AB7"/>
    <w:rsid w:val="6E4B77F4"/>
    <w:rsid w:val="6EA45979"/>
    <w:rsid w:val="6EEB2130"/>
    <w:rsid w:val="6FAD1A1F"/>
    <w:rsid w:val="700B2EC6"/>
    <w:rsid w:val="70754AA5"/>
    <w:rsid w:val="70B8083E"/>
    <w:rsid w:val="714D6AE5"/>
    <w:rsid w:val="7171086E"/>
    <w:rsid w:val="719510A4"/>
    <w:rsid w:val="71A66548"/>
    <w:rsid w:val="71FA4772"/>
    <w:rsid w:val="71FC4DEA"/>
    <w:rsid w:val="728671BF"/>
    <w:rsid w:val="72C2568A"/>
    <w:rsid w:val="72C94CD5"/>
    <w:rsid w:val="73300DA4"/>
    <w:rsid w:val="744616E9"/>
    <w:rsid w:val="745A380B"/>
    <w:rsid w:val="74A02866"/>
    <w:rsid w:val="75580D0F"/>
    <w:rsid w:val="76440F92"/>
    <w:rsid w:val="767A7C68"/>
    <w:rsid w:val="772F3652"/>
    <w:rsid w:val="779F15A2"/>
    <w:rsid w:val="77AE1328"/>
    <w:rsid w:val="77B6383C"/>
    <w:rsid w:val="77B751AF"/>
    <w:rsid w:val="78423920"/>
    <w:rsid w:val="78A45D63"/>
    <w:rsid w:val="794D08AD"/>
    <w:rsid w:val="79661C63"/>
    <w:rsid w:val="79D25FC2"/>
    <w:rsid w:val="79EA2C4D"/>
    <w:rsid w:val="79F90BEF"/>
    <w:rsid w:val="7A4A14CB"/>
    <w:rsid w:val="7A774554"/>
    <w:rsid w:val="7A7F1400"/>
    <w:rsid w:val="7AD051DC"/>
    <w:rsid w:val="7ADB0A5E"/>
    <w:rsid w:val="7AE62B2D"/>
    <w:rsid w:val="7B28387D"/>
    <w:rsid w:val="7BA223D0"/>
    <w:rsid w:val="7C064AE8"/>
    <w:rsid w:val="7C29373A"/>
    <w:rsid w:val="7C6A3054"/>
    <w:rsid w:val="7CE44ECC"/>
    <w:rsid w:val="7CE571C4"/>
    <w:rsid w:val="7D0375F5"/>
    <w:rsid w:val="7D546905"/>
    <w:rsid w:val="7D6D7ABB"/>
    <w:rsid w:val="7D7234FB"/>
    <w:rsid w:val="7E4F6774"/>
    <w:rsid w:val="7F173DB2"/>
    <w:rsid w:val="7F2266A0"/>
    <w:rsid w:val="7F2E17A9"/>
    <w:rsid w:val="7FAD2049"/>
    <w:rsid w:val="7FEE7A90"/>
    <w:rsid w:val="7FF2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qFormat/>
    <w:uiPriority w:val="0"/>
    <w:pPr>
      <w:jc w:val="left"/>
    </w:pPr>
  </w:style>
  <w:style w:type="paragraph" w:styleId="3">
    <w:name w:val="annotation subject"/>
    <w:basedOn w:val="2"/>
    <w:next w:val="2"/>
    <w:link w:val="9"/>
    <w:qFormat/>
    <w:uiPriority w:val="0"/>
    <w:rPr>
      <w:b/>
      <w:bCs/>
    </w:rPr>
  </w:style>
  <w:style w:type="character" w:styleId="6">
    <w:name w:val="annotation reference"/>
    <w:basedOn w:val="5"/>
    <w:qFormat/>
    <w:uiPriority w:val="0"/>
    <w:rPr>
      <w:sz w:val="21"/>
      <w:szCs w:val="21"/>
    </w:rPr>
  </w:style>
  <w:style w:type="paragraph" w:customStyle="1" w:styleId="7">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8">
    <w:name w:val="批注文字 字符"/>
    <w:basedOn w:val="5"/>
    <w:link w:val="2"/>
    <w:qFormat/>
    <w:uiPriority w:val="0"/>
    <w:rPr>
      <w:kern w:val="2"/>
      <w:sz w:val="21"/>
    </w:rPr>
  </w:style>
  <w:style w:type="character" w:customStyle="1" w:styleId="9">
    <w:name w:val="批注主题 字符"/>
    <w:basedOn w:val="8"/>
    <w:link w:val="3"/>
    <w:qFormat/>
    <w:uiPriority w:val="0"/>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2215</Words>
  <Characters>2386</Characters>
  <Lines>18</Lines>
  <Paragraphs>5</Paragraphs>
  <TotalTime>157</TotalTime>
  <ScaleCrop>false</ScaleCrop>
  <LinksUpToDate>false</LinksUpToDate>
  <CharactersWithSpaces>2452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2024-09-26T06:32:00Z</dcterms:created>
  <dc:creator>杨贵娇</dc:creator>
  <cp:lastModifiedBy>杨贵娇</cp:lastModifiedBy>
  <dcterms:modified xsi:type="dcterms:W3CDTF">2024-11-05T07:16:29Z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D9BB9826FEB44536BD44BE1CE96D06B7_13</vt:lpwstr>
  </property>
</Properties>
</file>