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4</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11</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55D85012">
            <w:pPr>
              <w:pStyle w:val="3"/>
              <w:numPr>
                <w:ilvl w:val="-1"/>
                <w:numId w:val="0"/>
              </w:numPr>
              <w:ind w:left="0" w:leftChars="0" w:firstLine="0" w:firstLineChars="0"/>
              <w:rPr>
                <w:rFonts w:hint="default"/>
                <w:lang w:val="en-US" w:eastAsia="zh-CN"/>
              </w:rPr>
            </w:pPr>
            <w:r>
              <w:rPr>
                <w:rFonts w:hint="eastAsia"/>
                <w:lang w:val="en-US" w:eastAsia="zh-CN"/>
              </w:rPr>
              <w:t>参加业绩说明会的网络投资者</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2916CF0C">
            <w:pPr>
              <w:pStyle w:val="3"/>
              <w:ind w:firstLine="0" w:firstLineChars="0"/>
              <w:rPr>
                <w:rFonts w:hint="default"/>
                <w:lang w:val="en-US" w:eastAsia="zh-CN"/>
              </w:rPr>
            </w:pPr>
            <w:r>
              <w:rPr>
                <w:rFonts w:hint="eastAsia"/>
                <w:lang w:val="en-US" w:eastAsia="zh-CN"/>
              </w:rPr>
              <w:t>2024年11月6日10：00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hint="eastAsia" w:ascii="宋体" w:hAnsi="宋体" w:eastAsia="宋体" w:cs="宋体"/>
                <w:color w:val="000000"/>
                <w:kern w:val="0"/>
                <w:szCs w:val="21"/>
                <w:lang w:val="en-US" w:eastAsia="zh-CN"/>
              </w:rPr>
              <w:t>同花顺路演平台</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1C261E42">
            <w:pPr>
              <w:widowControl/>
              <w:ind w:firstLineChars="0"/>
              <w:rPr>
                <w:rFonts w:hint="eastAsia"/>
                <w:lang w:val="en-US" w:eastAsia="zh-CN"/>
              </w:rPr>
            </w:pPr>
            <w:r>
              <w:rPr>
                <w:rFonts w:hint="eastAsia"/>
                <w:lang w:val="en-US" w:eastAsia="zh-CN"/>
              </w:rPr>
              <w:t>董事长：刘国永</w:t>
            </w:r>
          </w:p>
          <w:p w14:paraId="4745CC25">
            <w:pPr>
              <w:widowControl/>
              <w:ind w:firstLineChars="0"/>
              <w:rPr>
                <w:rFonts w:hint="default"/>
                <w:lang w:val="en-US" w:eastAsia="zh-CN"/>
              </w:rPr>
            </w:pPr>
            <w:r>
              <w:rPr>
                <w:rFonts w:hint="eastAsia"/>
                <w:lang w:val="en-US" w:eastAsia="zh-CN"/>
              </w:rPr>
              <w:t>独立董事：谭博学</w:t>
            </w:r>
          </w:p>
          <w:p w14:paraId="6F379D2A">
            <w:pPr>
              <w:widowControl/>
              <w:ind w:firstLineChars="0"/>
              <w:rPr>
                <w:rFonts w:hint="eastAsia"/>
                <w:lang w:val="en-US" w:eastAsia="zh-CN"/>
              </w:rPr>
            </w:pPr>
            <w:r>
              <w:rPr>
                <w:rFonts w:hint="eastAsia"/>
                <w:lang w:val="en-US" w:eastAsia="zh-CN"/>
              </w:rPr>
              <w:t>董事会秘书：刘俊鹏</w:t>
            </w:r>
          </w:p>
          <w:p w14:paraId="4FB58D60">
            <w:pPr>
              <w:widowControl/>
              <w:ind w:firstLineChars="0"/>
              <w:rPr>
                <w:rFonts w:hint="default"/>
                <w:lang w:val="en-US" w:eastAsia="zh-CN"/>
              </w:rPr>
            </w:pPr>
            <w:r>
              <w:rPr>
                <w:rFonts w:hint="eastAsia"/>
                <w:lang w:val="en-US" w:eastAsia="zh-CN"/>
              </w:rPr>
              <w:t>财务总监：胡学海</w:t>
            </w:r>
          </w:p>
          <w:p w14:paraId="2709FD30">
            <w:pPr>
              <w:widowControl/>
              <w:ind w:firstLineChars="0"/>
              <w:rPr>
                <w:rFonts w:hint="eastAsia"/>
                <w:lang w:val="en-US" w:eastAsia="zh-CN"/>
              </w:rPr>
            </w:pPr>
            <w:r>
              <w:rPr>
                <w:rFonts w:hint="eastAsia"/>
                <w:lang w:val="en-US" w:eastAsia="zh-CN"/>
              </w:rPr>
              <w:t>证券事务代表：韩美月</w:t>
            </w:r>
          </w:p>
          <w:p w14:paraId="50B1CC8E">
            <w:pPr>
              <w:widowControl/>
              <w:ind w:firstLineChars="0"/>
              <w:rPr>
                <w:rFonts w:hint="default"/>
                <w:lang w:val="en-US" w:eastAsia="zh-CN"/>
              </w:rPr>
            </w:pP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3D30BD5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lang w:val="en-US" w:eastAsia="zh-CN"/>
              </w:rPr>
            </w:pPr>
            <w:r>
              <w:rPr>
                <w:rFonts w:hint="eastAsia"/>
                <w:b/>
                <w:bCs/>
                <w:lang w:val="en-US" w:eastAsia="zh-CN"/>
              </w:rPr>
              <w:t>1、在电力智能运维领域 和鸿蒙的合作进展如何？未来还有哪些市场拓展计划？</w:t>
            </w:r>
          </w:p>
          <w:p w14:paraId="6168652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rPr>
              <w:t>尊敬的投资者，您好，2024年4月，智洋创新与鸿蒙生态服务（深圳）有限公司达成战略合作，成为鸿蒙生态服务公司电力智能运维领域的首家合作伙伴。目前，公司自主研发的“图像视频监测装置(AI球机)设备”及“图像视频监测装置(枪机)设备”，已通过开放原子基金会OpenHarmony兼容性工作组的XTS测试认证，成功实现鸿蒙操作系统在智能可视化巡检终端上的移植与应用。2024年6月，公司在2024年华为开发者大会上荣获鸿蒙生态先锋伙伴奖。2024年8月，公司受邀出席2024中国国际大数据产业博览会，全方位的呈现了电鸿物联操作系统在输电领域的创新应用成果，并发表《鸿蒙技术在输电智能运维领域的应用》的演讲。</w:t>
            </w:r>
          </w:p>
          <w:p w14:paraId="2703F6FE">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rPr>
              <w:t>未来，公司将积极推动同鸿蒙生态服务公司的战略合作，以及在电力智能运维领域的应用。感谢您对公司的关注。</w:t>
            </w:r>
          </w:p>
          <w:p w14:paraId="040E88C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szCs w:val="21"/>
              </w:rPr>
            </w:pPr>
            <w:r>
              <w:rPr>
                <w:rFonts w:hint="eastAsia"/>
                <w:b/>
                <w:bCs/>
                <w:szCs w:val="21"/>
                <w:lang w:val="en-US" w:eastAsia="zh-CN"/>
              </w:rPr>
              <w:t>2、智洋未来的发展战略请解读一下</w:t>
            </w:r>
            <w:r>
              <w:rPr>
                <w:rFonts w:hint="eastAsia"/>
                <w:b/>
                <w:bCs/>
                <w:szCs w:val="21"/>
              </w:rPr>
              <w:t>？</w:t>
            </w:r>
          </w:p>
          <w:p w14:paraId="53C40DA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rPr>
              <w:t>尊敬的投资者，您好，公司以国家开展“数字中国”建设及“人工智能+”行动为契机，紧握行业智能化、数字化转型升级大机遇，立足自主创新，通过人工智能、大数据、物联网、无人机、数字孪生等多学科技术的行业落地应用，为客户提供专业化、智能化的行业智能运维解决方案，以“人工智能+行业”为整体发展战略，不断推动数字技术在电力、水利、轨道交通及其他领域的深度应用，为人工智能的落地应用开创新格局，赋能行业数字化转型升级。感谢您对公司的关注。</w:t>
            </w:r>
          </w:p>
          <w:p w14:paraId="2FB18880">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rPr>
            </w:pPr>
            <w:r>
              <w:rPr>
                <w:rFonts w:hint="eastAsia"/>
                <w:b/>
                <w:bCs/>
                <w:szCs w:val="21"/>
              </w:rPr>
              <w:t>3、请问第三季度营收增长的主要驱动力是什么？是哪些产品或服务贡献了最大的营收增长？？</w:t>
            </w:r>
          </w:p>
          <w:p w14:paraId="51ADDAF1">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eastAsia="zh-CN"/>
              </w:rPr>
            </w:pPr>
            <w:r>
              <w:rPr>
                <w:rFonts w:hint="eastAsia"/>
                <w:szCs w:val="21"/>
                <w:lang w:eastAsia="zh-CN"/>
              </w:rPr>
              <w:t>尊敬的投资者，您好，公司第三季度实现营业收入24,183.86万元，同比增长29.69%。1-9月实现营业收入67,598.90万元,同比增长20.08%。其中，电力业务实现主营业务收入61,204.61万元，同比增长14.06%；水利业务实现主营业务收入2,016.46万元，同比增长32.20%；轨道交通业务实现主营业务收入4,184.27万元，同比增长283.73%。感谢您的关注。</w:t>
            </w:r>
          </w:p>
          <w:p w14:paraId="4F1CD6AB">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color w:val="auto"/>
                <w:lang w:val="en-US" w:eastAsia="zh-CN"/>
              </w:rPr>
              <w:t>4、关于证监局的《警示函》，公司存在一致行动人未披露的问题，请问刘总对此有何回应和整改措施？</w:t>
            </w:r>
          </w:p>
          <w:p w14:paraId="3E028D0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尊敬的投资者，您好，公司于2024年9月收到监管机构的警示函，主要原因是公司部分公告中实际控制人及其一致行动人的信息披露存在不准确、不完整，相关内容公司已经在相关公告中进行了补充披露。</w:t>
            </w:r>
          </w:p>
          <w:p w14:paraId="0848C2EE">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公司及相关人员、公司股东高度重视警示函中指出的问题并进行了深刻反思。公司及时对控股股东、实际控制人及其一致行动人、全体董事、监事、高级管理人员及相关人员进行了专项培训。在后续的日常管理中，公司也将在内部开展定期和不定期的证券法律法规的培训，提升全员合规意识，强化关键管理岗位的风险控制职责。</w:t>
            </w:r>
          </w:p>
          <w:p w14:paraId="0D00531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公司董事会将持续加强控股股东、实际控制人及其一致行动人、全体董事、监事、高级管理人员及相关人员对《证券法》《上市公司信息披露管理办法》《上市公司收购管理办法》《上海证券交易所科创板股票上市规则》等证券法律法规及规范性文件的学习，强化规范运作意识，切实提高公司的信息披露质量和公司规范运作水平。</w:t>
            </w:r>
          </w:p>
          <w:p w14:paraId="35F3244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本次行政监管措施不会影响公司正常的生产经营管理活动，公司将继续严格按照有关法律法规的规定和相关监管要求履行信息披露义务。感谢您对公司的关注。</w:t>
            </w:r>
          </w:p>
          <w:p w14:paraId="2261279E">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szCs w:val="21"/>
              </w:rPr>
            </w:pPr>
            <w:r>
              <w:rPr>
                <w:rFonts w:hint="eastAsia"/>
                <w:b/>
                <w:bCs/>
                <w:szCs w:val="21"/>
                <w:lang w:val="en-US" w:eastAsia="zh-CN"/>
              </w:rPr>
              <w:t>5、智洋在三季度的经营性现金流是否与营收增长相匹配 是否有现金流紧张的情况？</w:t>
            </w:r>
          </w:p>
          <w:p w14:paraId="311C8EE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eastAsiaTheme="minorEastAsia"/>
                <w:szCs w:val="21"/>
                <w:lang w:val="en-US" w:eastAsia="zh-CN"/>
              </w:rPr>
            </w:pPr>
            <w:r>
              <w:rPr>
                <w:rFonts w:hint="default" w:eastAsiaTheme="minorEastAsia"/>
                <w:szCs w:val="21"/>
                <w:lang w:val="en-US" w:eastAsia="zh-CN"/>
              </w:rPr>
              <w:t>尊敬的投资者，您好，因行业特性影响，公司经营活动净现金流存在较明显的季节性波动。另外公司水利领域、轨道交通处于前期发展阶段，仍需研发及业务费用投入，在报告期内水利领域及轨道交通领域营收虽然取得了较快增长，但整体收入金额较小。目前公司经营现金流情况整体稳健可控，能够满足公司经营需求。感谢您对公司的关注。</w:t>
            </w:r>
          </w:p>
          <w:p w14:paraId="741915C0">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lang w:val="en-US" w:eastAsia="zh-CN"/>
              </w:rPr>
            </w:pPr>
            <w:r>
              <w:rPr>
                <w:rFonts w:hint="eastAsia"/>
                <w:b/>
                <w:bCs/>
                <w:szCs w:val="21"/>
                <w:lang w:val="en-US" w:eastAsia="zh-CN"/>
              </w:rPr>
              <w:t>6、</w:t>
            </w:r>
            <w:r>
              <w:rPr>
                <w:rFonts w:hint="default" w:eastAsiaTheme="minorEastAsia"/>
                <w:b/>
                <w:bCs/>
                <w:szCs w:val="21"/>
                <w:lang w:val="en-US" w:eastAsia="zh-CN"/>
              </w:rPr>
              <w:t>请问能否预测一下贵公司2024年度水利和轨道交通的营业收入和净利润吗</w:t>
            </w:r>
            <w:r>
              <w:rPr>
                <w:rFonts w:hint="eastAsia"/>
                <w:b/>
                <w:bCs/>
                <w:szCs w:val="21"/>
                <w:lang w:val="en-US" w:eastAsia="zh-CN"/>
              </w:rPr>
              <w:t>？</w:t>
            </w:r>
          </w:p>
          <w:p w14:paraId="5E11535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eastAsiaTheme="minorEastAsia"/>
                <w:b w:val="0"/>
                <w:bCs w:val="0"/>
                <w:szCs w:val="21"/>
                <w:lang w:val="en-US" w:eastAsia="zh-CN"/>
              </w:rPr>
              <w:t>尊敬的投资者，您好，根据公司于2024年4月12日在上海证券交易所披露的《2023年年度股东大会资料》，公司水利领域预计实现营业收入7,800万元，轨道交通领域预计实现</w:t>
            </w:r>
            <w:bookmarkStart w:id="0" w:name="_GoBack"/>
            <w:bookmarkEnd w:id="0"/>
            <w:r>
              <w:rPr>
                <w:rFonts w:hint="eastAsia" w:eastAsiaTheme="minorEastAsia"/>
                <w:b w:val="0"/>
                <w:bCs w:val="0"/>
                <w:szCs w:val="21"/>
                <w:lang w:val="en-US" w:eastAsia="zh-CN"/>
              </w:rPr>
              <w:t>营业收入6,900万元，以上金额为公司预估数据，不构成业绩承诺或业绩预测，具体金额请以2024年年度报告为准，感谢您对公司的关注。</w:t>
            </w:r>
          </w:p>
          <w:p w14:paraId="2A140BB2">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szCs w:val="21"/>
                <w:lang w:val="en-US" w:eastAsia="zh-CN"/>
              </w:rPr>
            </w:pPr>
            <w:r>
              <w:rPr>
                <w:rFonts w:hint="eastAsia"/>
                <w:b/>
                <w:bCs/>
                <w:szCs w:val="21"/>
                <w:lang w:val="en-US" w:eastAsia="zh-CN"/>
              </w:rPr>
              <w:t>7、</w:t>
            </w:r>
            <w:r>
              <w:rPr>
                <w:rFonts w:hint="eastAsia" w:eastAsiaTheme="minorEastAsia"/>
                <w:b/>
                <w:bCs/>
                <w:szCs w:val="21"/>
                <w:lang w:val="en-US" w:eastAsia="zh-CN"/>
              </w:rPr>
              <w:t>公司与鸿蒙合作的进展情况？</w:t>
            </w:r>
          </w:p>
          <w:p w14:paraId="1E04DD66">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eastAsiaTheme="minorEastAsia"/>
                <w:b w:val="0"/>
                <w:bCs w:val="0"/>
                <w:szCs w:val="21"/>
                <w:lang w:val="en-US" w:eastAsia="zh-CN"/>
              </w:rPr>
              <w:t>尊敬的投资者，您好，2024年4月，智洋创新与鸿蒙生态服务（深圳）有限公司达成战略合作，成为鸿蒙生态服务公司电力智能运维领域的首家合作伙伴。目前，公司自主研发的“图像视频监测装置(AI球机)设备”及“图像视频监测装置(枪机)设备”，已通过开放原子基金会OpenHarmony兼容性工作组的XTS测试认证，成功实现鸿蒙操作系统在智能可视化巡检终端上的移植与应用。2024年6月，公司在2024年华为开发者大会上荣获鸿蒙生态先锋伙伴奖。2024年8月，公司受邀出席2024中国国际大数据产业博览会，全方位的呈现了电鸿物联操作系统在输电领域的创新应用成果，并发表《鸿蒙技术在输电智能运维领域的应用》的演讲。</w:t>
            </w:r>
          </w:p>
          <w:p w14:paraId="6A48275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eastAsiaTheme="minorEastAsia"/>
                <w:b w:val="0"/>
                <w:bCs w:val="0"/>
                <w:szCs w:val="21"/>
                <w:lang w:val="en-US" w:eastAsia="zh-CN"/>
              </w:rPr>
              <w:t>未来，公司将积极推动同鸿蒙生态服务公司的战略合作，以及在电力智能运维领域的应用。感谢您对公司的关注。</w:t>
            </w:r>
          </w:p>
          <w:p w14:paraId="2C9C72C6">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szCs w:val="21"/>
                <w:lang w:val="en-US" w:eastAsia="zh-CN"/>
              </w:rPr>
              <w:t>8、</w:t>
            </w:r>
            <w:r>
              <w:rPr>
                <w:rFonts w:hint="eastAsia" w:eastAsiaTheme="minorEastAsia"/>
                <w:b/>
                <w:bCs/>
                <w:szCs w:val="21"/>
                <w:lang w:val="en-US" w:eastAsia="zh-CN"/>
              </w:rPr>
              <w:t>公司业务是否存在依赖单一客户的风险？</w:t>
            </w:r>
          </w:p>
          <w:p w14:paraId="3FDD2ED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尊敬的投资者，您好，报告期内，公司的客户仍主要集中在电力行业，主要为国内各级电网公司及其下属企业。报告期内，公司对电网公司及其下属企业客户销售收入占主营业务收入的比例为60%左右。感谢您对公司的关注。</w:t>
            </w: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585547"/>
    <w:rsid w:val="0B64383C"/>
    <w:rsid w:val="0BB3573E"/>
    <w:rsid w:val="0BD62C31"/>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642631D"/>
    <w:rsid w:val="16612B9C"/>
    <w:rsid w:val="169F72CB"/>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F315BA"/>
    <w:rsid w:val="1F54082A"/>
    <w:rsid w:val="1F69641E"/>
    <w:rsid w:val="1F713148"/>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477D41"/>
    <w:rsid w:val="297B7E8B"/>
    <w:rsid w:val="299020A1"/>
    <w:rsid w:val="2A032341"/>
    <w:rsid w:val="2A0E5B0E"/>
    <w:rsid w:val="2A4B1DB7"/>
    <w:rsid w:val="2ABD7C20"/>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D005E4"/>
    <w:rsid w:val="35D1418C"/>
    <w:rsid w:val="35F37400"/>
    <w:rsid w:val="363D3C0F"/>
    <w:rsid w:val="363E1541"/>
    <w:rsid w:val="36573053"/>
    <w:rsid w:val="36A67FA0"/>
    <w:rsid w:val="36BB34B9"/>
    <w:rsid w:val="37464610"/>
    <w:rsid w:val="3798061D"/>
    <w:rsid w:val="37C27B03"/>
    <w:rsid w:val="387A6C7E"/>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4331706"/>
    <w:rsid w:val="444B19CF"/>
    <w:rsid w:val="445642ED"/>
    <w:rsid w:val="446F7A2D"/>
    <w:rsid w:val="447A7409"/>
    <w:rsid w:val="447D0FBB"/>
    <w:rsid w:val="44E15CD4"/>
    <w:rsid w:val="45222596"/>
    <w:rsid w:val="452914D7"/>
    <w:rsid w:val="453136A9"/>
    <w:rsid w:val="45827D99"/>
    <w:rsid w:val="463466FB"/>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81896"/>
    <w:rsid w:val="4F8E345D"/>
    <w:rsid w:val="503E4904"/>
    <w:rsid w:val="50692847"/>
    <w:rsid w:val="508F5DD3"/>
    <w:rsid w:val="509C43C4"/>
    <w:rsid w:val="50D7421A"/>
    <w:rsid w:val="50D744E9"/>
    <w:rsid w:val="50E161BC"/>
    <w:rsid w:val="512111FB"/>
    <w:rsid w:val="5138209E"/>
    <w:rsid w:val="516F18AB"/>
    <w:rsid w:val="523A1E14"/>
    <w:rsid w:val="529E4657"/>
    <w:rsid w:val="52B753C1"/>
    <w:rsid w:val="52DD2E1E"/>
    <w:rsid w:val="534E704F"/>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AC2D14"/>
    <w:rsid w:val="71EE215A"/>
    <w:rsid w:val="720D65E0"/>
    <w:rsid w:val="72360EE8"/>
    <w:rsid w:val="72646CEB"/>
    <w:rsid w:val="72B90FC4"/>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2247</Words>
  <Characters>2412</Characters>
  <Lines>1</Lines>
  <Paragraphs>1</Paragraphs>
  <TotalTime>5</TotalTime>
  <ScaleCrop>false</ScaleCrop>
  <LinksUpToDate>false</LinksUpToDate>
  <CharactersWithSpaces>2470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刘俊鹏</cp:lastModifiedBy>
  <cp:lastPrinted>2022-09-30T10:29:00Z</cp:lastPrinted>
  <dcterms:modified xsi:type="dcterms:W3CDTF">2024-11-08T09:03:41Z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F68E36CE0517490DBEA1DFBD5CD69417_13</vt:lpwstr>
  </property>
</Properties>
</file>