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12D60">
      <w:pPr>
        <w:spacing w:before="156" w:beforeLines="50" w:after="156" w:afterLines="50" w:line="400" w:lineRule="exact"/>
        <w:jc w:val="left"/>
        <w:rPr>
          <w:rFonts w:ascii="宋体" w:hAnsi="宋体"/>
          <w:b/>
          <w:iCs/>
          <w:sz w:val="24"/>
        </w:rPr>
      </w:pPr>
      <w:r>
        <w:rPr>
          <w:rFonts w:hint="eastAsia" w:ascii="宋体" w:hAnsi="宋体"/>
          <w:b/>
          <w:iCs/>
          <w:sz w:val="24"/>
        </w:rPr>
        <w:t xml:space="preserve">股票代码：688519              </w:t>
      </w:r>
      <w:r>
        <w:rPr>
          <w:rFonts w:hint="eastAsia" w:ascii="宋体" w:hAnsi="宋体"/>
          <w:b/>
          <w:iCs/>
          <w:sz w:val="24"/>
        </w:rPr>
        <w:tab/>
      </w:r>
      <w:r>
        <w:rPr>
          <w:rFonts w:hint="eastAsia" w:ascii="宋体" w:hAnsi="宋体"/>
          <w:b/>
          <w:iCs/>
          <w:sz w:val="24"/>
        </w:rPr>
        <w:tab/>
      </w:r>
      <w:r>
        <w:rPr>
          <w:rFonts w:hint="eastAsia" w:ascii="宋体" w:hAnsi="宋体"/>
          <w:b/>
          <w:iCs/>
          <w:sz w:val="24"/>
        </w:rPr>
        <w:t xml:space="preserve">             </w:t>
      </w:r>
      <w:r>
        <w:rPr>
          <w:rFonts w:hint="eastAsia" w:ascii="宋体" w:hAnsi="宋体"/>
          <w:b/>
          <w:iCs/>
          <w:sz w:val="24"/>
        </w:rPr>
        <w:tab/>
      </w:r>
      <w:r>
        <w:rPr>
          <w:rFonts w:hint="eastAsia" w:ascii="宋体" w:hAnsi="宋体"/>
          <w:b/>
          <w:iCs/>
          <w:sz w:val="24"/>
        </w:rPr>
        <w:t>股票简称：南亚新材</w:t>
      </w:r>
    </w:p>
    <w:p w14:paraId="4D19B6F0">
      <w:pPr>
        <w:spacing w:before="156" w:beforeLines="50" w:after="156" w:afterLines="50" w:line="400" w:lineRule="exact"/>
        <w:jc w:val="center"/>
        <w:rPr>
          <w:rFonts w:ascii="宋体" w:hAnsi="宋体"/>
          <w:b/>
          <w:bCs/>
          <w:iCs/>
          <w:sz w:val="28"/>
          <w:szCs w:val="28"/>
        </w:rPr>
      </w:pPr>
    </w:p>
    <w:p w14:paraId="13A67790">
      <w:pPr>
        <w:spacing w:before="156" w:beforeLines="50" w:after="156" w:afterLines="50" w:line="400" w:lineRule="exact"/>
        <w:jc w:val="center"/>
        <w:rPr>
          <w:rFonts w:ascii="宋体" w:hAnsi="宋体"/>
          <w:b/>
          <w:bCs/>
          <w:iCs/>
          <w:sz w:val="28"/>
          <w:szCs w:val="28"/>
        </w:rPr>
      </w:pPr>
      <w:r>
        <w:rPr>
          <w:rFonts w:hint="eastAsia" w:ascii="宋体" w:hAnsi="宋体"/>
          <w:b/>
          <w:bCs/>
          <w:iCs/>
          <w:sz w:val="28"/>
          <w:szCs w:val="28"/>
        </w:rPr>
        <w:t>南亚新材料科技股份有限公司投资者关系活动记录表</w:t>
      </w:r>
    </w:p>
    <w:p w14:paraId="0E490635">
      <w:pPr>
        <w:spacing w:line="400" w:lineRule="exact"/>
        <w:rPr>
          <w:rFonts w:hint="eastAsia" w:ascii="宋体" w:hAnsi="宋体" w:eastAsia="宋体"/>
          <w:bCs/>
          <w:iCs/>
          <w:sz w:val="24"/>
          <w:szCs w:val="24"/>
          <w:highlight w:val="yellow"/>
          <w:lang w:eastAsia="zh-CN"/>
        </w:rPr>
      </w:pPr>
      <w:r>
        <w:rPr>
          <w:rFonts w:hint="eastAsia" w:ascii="宋体" w:hAnsi="宋体"/>
          <w:bCs/>
          <w:iCs/>
          <w:sz w:val="24"/>
          <w:szCs w:val="24"/>
        </w:rPr>
        <w:t xml:space="preserve">                                                      编号：2024-00</w:t>
      </w:r>
      <w:r>
        <w:rPr>
          <w:rFonts w:hint="eastAsia" w:ascii="宋体" w:hAnsi="宋体"/>
          <w:bCs/>
          <w:iCs/>
          <w:sz w:val="24"/>
          <w:szCs w:val="24"/>
          <w:lang w:val="en-US" w:eastAsia="zh-CN"/>
        </w:rPr>
        <w:t>3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3"/>
        <w:gridCol w:w="5973"/>
      </w:tblGrid>
      <w:tr w14:paraId="4B1BD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26A6D1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5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53E56A">
            <w:pPr>
              <w:spacing w:line="480" w:lineRule="atLeas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□特定对象调研       □分析师会议</w:t>
            </w:r>
          </w:p>
          <w:p w14:paraId="05451BE9">
            <w:pPr>
              <w:spacing w:line="480" w:lineRule="atLeas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□媒体采访           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√</w:t>
            </w:r>
            <w:r>
              <w:rPr>
                <w:rFonts w:ascii="宋体" w:hAnsi="宋体"/>
                <w:sz w:val="24"/>
                <w:szCs w:val="24"/>
              </w:rPr>
              <w:t>业绩说明会</w:t>
            </w:r>
          </w:p>
          <w:p w14:paraId="06B9FC69">
            <w:pPr>
              <w:spacing w:line="480" w:lineRule="atLeas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□新闻发布会       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/>
                <w:sz w:val="24"/>
                <w:szCs w:val="24"/>
              </w:rPr>
              <w:t>路演活动</w:t>
            </w:r>
          </w:p>
          <w:p w14:paraId="1D4709C8">
            <w:pPr>
              <w:spacing w:line="480" w:lineRule="atLeast"/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□现场参观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/>
                <w:sz w:val="24"/>
                <w:szCs w:val="24"/>
              </w:rPr>
              <w:t>其他</w:t>
            </w:r>
          </w:p>
        </w:tc>
      </w:tr>
      <w:tr w14:paraId="2A590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135E0D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5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8404ABB">
            <w:pPr>
              <w:spacing w:line="480" w:lineRule="atLeas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线上参与“2024 年上海辖区上市公司三季报集体业绩说明会”活动的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南亚新材料</w:t>
            </w:r>
            <w:r>
              <w:rPr>
                <w:rFonts w:hint="eastAsia" w:ascii="宋体" w:hAnsi="宋体"/>
                <w:sz w:val="24"/>
                <w:szCs w:val="24"/>
              </w:rPr>
              <w:t>科技股份有限公司（以下简称“公司”）投资者。</w:t>
            </w:r>
          </w:p>
        </w:tc>
      </w:tr>
      <w:tr w14:paraId="67739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2BEE12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5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76949">
            <w:pPr>
              <w:spacing w:line="360" w:lineRule="auto"/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2024 年 11 月 13 日 15:00-16:30</w:t>
            </w:r>
          </w:p>
        </w:tc>
      </w:tr>
      <w:tr w14:paraId="2A775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788FDD3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5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504B9D">
            <w:pPr>
              <w:spacing w:line="360" w:lineRule="auto"/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上证路演中心（http://roadshow.sseinfo.com）</w:t>
            </w:r>
          </w:p>
        </w:tc>
      </w:tr>
      <w:tr w14:paraId="7EB50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DF10F0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5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3FD8A25">
            <w:pPr>
              <w:spacing w:line="360" w:lineRule="auto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董事长：包秀银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总经理：包欣洋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董事会秘书：张柳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财务总监：解汝波</w:t>
            </w:r>
          </w:p>
        </w:tc>
      </w:tr>
      <w:tr w14:paraId="7E5A4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0" w:hRule="atLeast"/>
        </w:trPr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3D002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5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78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2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  <w:t>问1：公司在人工智能服务器领域的布局情况是怎样的？在这一领域中，公司取得了哪些显著的成果和进展？</w:t>
            </w:r>
          </w:p>
          <w:p w14:paraId="6EFD2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答：公司积极抓住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人工智能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技术带来的巨大机遇，与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重要终端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建立了紧密的合作关系。通过双方的共同努力，公司成功研发并完成了面向新一代人工智能服务器的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板材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的开发与认证工作。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目前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技术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已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达行业领先水平，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并顺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利进入小批量交付阶段，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且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市场需求呈快速增长的态势。此外，公司还在积极与合作伙伴协作，共同开发面向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下一代AI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服务器板材，这些项目的量产预研工作正在稳步推进。</w:t>
            </w:r>
          </w:p>
          <w:p w14:paraId="6B5C8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2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  <w:t>问</w:t>
            </w:r>
            <w:r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公司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2024年前三季度利润增长的原因？</w:t>
            </w:r>
          </w:p>
          <w:p w14:paraId="72271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2" w:firstLineChars="200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答：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公司前三季度利润增加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主要系公司持续优化产品结构，积极拓展市场与业务，产品销量、营业收入、毛利率较上年同期均存在较大改善，盈利能力提升；同时享受增值税进项税额加计抵减政策增加其他收益及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聚焦研发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项目、优化研发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投入等综合影响所致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 w14:paraId="01397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2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  <w:t>问</w:t>
            </w:r>
            <w:r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年应付账款、应收账款、存货的周转效率是怎样的？</w:t>
            </w:r>
          </w:p>
          <w:p w14:paraId="06867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答：2024年前三季度应付账款、应收账款、存货周转天数分别为71天，136天，57天，与2023年相比应付账款周转天数减少18天，主要系采购规模下降及部分供应商账期调整影响；应收账款周转天数减少23天：主要是受市场回暖影响，客户回款周期逐渐恢复正常及收款效率提升影响；存货周转天数持平。</w:t>
            </w:r>
          </w:p>
          <w:p w14:paraId="3ADCC4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2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  <w:t>问</w:t>
            </w:r>
            <w:r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公司2024年前三季度计提减值准备情况是怎样的？</w:t>
            </w:r>
          </w:p>
          <w:p w14:paraId="78D48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等线" w:hAnsi="等线" w:eastAsia="等线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2024年前三季度确认的信用减值损失和资产减值损失总额为1,307.91万元，其中存货跌价准备计提为1,269.07万元,主要为个别结构性产品市场竞争加剧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导致毛利率收窄影响。</w:t>
            </w:r>
          </w:p>
          <w:p w14:paraId="2F504F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2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问</w:t>
            </w:r>
            <w:r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：封装材料在2024年的主要成绩以及2025年的展望？</w:t>
            </w:r>
          </w:p>
          <w:p w14:paraId="31EBD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截至目前，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公司封装材料已经在Coreless，MiP，eMMC实现小批量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订单；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摄像头模块和指纹识别已获国际手机品牌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的认可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，即将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NPI，并在国内OSAT和Chipmaker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端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逐步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开展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材料认证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工作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，尤其在PC DRAM BOC上获得国内半导体行业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核心客户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的高度认可。初期我司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聚焦在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模块类和Memory芯片上起量，下一步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侧重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高端的mDRAM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NAND Flash和处理器芯片，如LPDDR，UFS，AP等。 </w:t>
            </w:r>
          </w:p>
          <w:p w14:paraId="2C588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2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问</w:t>
            </w:r>
            <w:r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:公司整体稼动率情况？N6厂及南通工厂的建设进度情况如何？</w:t>
            </w:r>
          </w:p>
          <w:p w14:paraId="6BCE1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答：受国际形势和宏观经济环境等因素影响，公司整体稼动率在7成左右。截至目前，N6工厂已释放30万张产能。公司将根据既定战略规划，有序推进N6厂其余产线及南通工厂建设。</w:t>
            </w:r>
            <w:bookmarkStart w:id="0" w:name="_GoBack"/>
            <w:bookmarkEnd w:id="0"/>
          </w:p>
          <w:p w14:paraId="7CE10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2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问</w:t>
            </w:r>
            <w:r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公司在光伏新能源领域，有什么新的进展？</w:t>
            </w:r>
          </w:p>
          <w:p w14:paraId="15CC8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答：光伏逆变器在光伏能源直流和交流的转换中承担着重要的角色，其逆变器的高压、高功率密度化，一直是光伏降本增效的重要革新方向。公司中Tg无铅材料已大批量应用在光伏逆变器1500V高压系统；同时，今年中Tg CTI600材料，已通过光伏龙头企业的测试，具有持久的层间耐高压能力，可适用在新一代2000V高压系统。目前处于小批量应用阶段。</w:t>
            </w:r>
          </w:p>
          <w:p w14:paraId="23AF8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2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问</w:t>
            </w:r>
            <w:r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 xml:space="preserve">：公司车载领域2024 年度同比增长如何？ </w:t>
            </w:r>
          </w:p>
          <w:p w14:paraId="12E1D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答：公司前几年车载领域加大材料推广认证力度，2024Q1-Q3车载产品销售较同期增长明显。主要增长点在新能源汽车电池管理、车载充电机、电控等部件，通过整车厂自研或Tier1，产品最终应用在国内外头部新能源汽车客户上。</w:t>
            </w:r>
          </w:p>
          <w:p w14:paraId="68E6E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2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问</w:t>
            </w:r>
            <w:r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：目前国内快速的推动的智算中心，南亚新材有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哪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些产品布局？</w:t>
            </w:r>
          </w:p>
          <w:p w14:paraId="3F463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答: 南亚新材NY-P1、NY-P3在GPU加速卡及交换板均已经稳定的量产交付。针对112G产品 NY-P4已率先在国内预研的计算产品GPU模组上中批量使用且品质及供货稳定。在接下来的224G产品我司有NY-P5现已开发完成正面向市场推广。</w:t>
            </w:r>
          </w:p>
          <w:p w14:paraId="08A98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2" w:firstLine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问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：由于外部环境的不确定性，目前国内通讯终端都在开发自研芯片，南亚新材针对这一新变化在产品上有没有新的突破去应对？</w:t>
            </w:r>
          </w:p>
          <w:p w14:paraId="4AFFC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答：针对国内大尺寸芯片可能存在的要求PCB尺寸稳定性更高，我司从ML、VLL、ULL、ELL 等级全方面布局了Low CTE材料。目前LL级材料NY6180已在无线 AAU及BBU上大量应用；针对56G及112G 应用，重点推出了NY6666、NY8888、NY8888Q 等高性价比的Low CTE材料，应对后续算力产品对于高可靠性及电性能的高标准要求。</w:t>
            </w:r>
          </w:p>
          <w:p w14:paraId="660B1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2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问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：在消费性领域AI PC/NB方向，南亚新材是否有布局？</w:t>
            </w:r>
          </w:p>
          <w:p w14:paraId="77D61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消费性领域AI PC/NB方向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也是我司重点拓展的业务方向。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公司Mid loss+材料已应用于国内头部品牌AI NB旗舰机型，并持续量产发货；且该类材料已进入头部两家NB ODM产品选材AVL，并多机型NPI+量产中。</w:t>
            </w:r>
          </w:p>
          <w:p w14:paraId="4BCC3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2" w:firstLineChars="20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问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：海外和台湾高速材料市场，南亚新材是否有开拓，进展如何？</w:t>
            </w:r>
          </w:p>
          <w:p w14:paraId="34076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default" w:ascii="宋体" w:hAnsi="宋体" w:cs="宋体"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答：公司已招募本土化人才创建台湾市场开拓团队，并取得部分台湾ODM和北美终端材料认可；且已参与两家芯片公司（AMD、Intel）Gen6项目材料测评。</w:t>
            </w:r>
          </w:p>
        </w:tc>
      </w:tr>
      <w:tr w14:paraId="58A02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DDC04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iCs/>
                <w:sz w:val="24"/>
                <w:szCs w:val="24"/>
              </w:rPr>
              <w:t>附件清单（如有）</w:t>
            </w:r>
          </w:p>
        </w:tc>
        <w:tc>
          <w:tcPr>
            <w:tcW w:w="5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665B9B">
            <w:pPr>
              <w:spacing w:line="360" w:lineRule="auto"/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</w:pPr>
          </w:p>
        </w:tc>
      </w:tr>
      <w:tr w14:paraId="65316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52158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5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4B9EFEB">
            <w:pPr>
              <w:spacing w:line="360" w:lineRule="auto"/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2024年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14:paraId="12FDCED8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98CBC1A">
      <w:pPr>
        <w:jc w:val="both"/>
        <w:rPr>
          <w:b/>
          <w:sz w:val="30"/>
          <w:szCs w:val="30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yNzE2Y2YxNmVhYTBhYjdmN2VjYmEwY2U2NzhlMWUifQ=="/>
  </w:docVars>
  <w:rsids>
    <w:rsidRoot w:val="00000D3A"/>
    <w:rsid w:val="00000D3A"/>
    <w:rsid w:val="00005662"/>
    <w:rsid w:val="000127CC"/>
    <w:rsid w:val="000F10FD"/>
    <w:rsid w:val="00124046"/>
    <w:rsid w:val="001500A6"/>
    <w:rsid w:val="001A3559"/>
    <w:rsid w:val="001B46F3"/>
    <w:rsid w:val="001E7E25"/>
    <w:rsid w:val="002137C4"/>
    <w:rsid w:val="00276D30"/>
    <w:rsid w:val="002D2F34"/>
    <w:rsid w:val="002F41CD"/>
    <w:rsid w:val="002F53E2"/>
    <w:rsid w:val="003152FA"/>
    <w:rsid w:val="0032038B"/>
    <w:rsid w:val="00346C15"/>
    <w:rsid w:val="003571B2"/>
    <w:rsid w:val="003D4542"/>
    <w:rsid w:val="00441D0B"/>
    <w:rsid w:val="00445995"/>
    <w:rsid w:val="0054098C"/>
    <w:rsid w:val="00572701"/>
    <w:rsid w:val="00574281"/>
    <w:rsid w:val="005B600B"/>
    <w:rsid w:val="005E3EE2"/>
    <w:rsid w:val="0062475E"/>
    <w:rsid w:val="006874EA"/>
    <w:rsid w:val="00696ED0"/>
    <w:rsid w:val="006B455B"/>
    <w:rsid w:val="007C5948"/>
    <w:rsid w:val="007E2592"/>
    <w:rsid w:val="007F16D6"/>
    <w:rsid w:val="00835EE1"/>
    <w:rsid w:val="00881C53"/>
    <w:rsid w:val="00884C7C"/>
    <w:rsid w:val="008C2BB5"/>
    <w:rsid w:val="008F2EED"/>
    <w:rsid w:val="008F5347"/>
    <w:rsid w:val="00921591"/>
    <w:rsid w:val="009429B6"/>
    <w:rsid w:val="009759FA"/>
    <w:rsid w:val="00987E2B"/>
    <w:rsid w:val="00992A79"/>
    <w:rsid w:val="009B4C8A"/>
    <w:rsid w:val="009E2B00"/>
    <w:rsid w:val="00A370FD"/>
    <w:rsid w:val="00A43F6C"/>
    <w:rsid w:val="00A46F63"/>
    <w:rsid w:val="00AA2DE4"/>
    <w:rsid w:val="00AE62E1"/>
    <w:rsid w:val="00B013B8"/>
    <w:rsid w:val="00B0604A"/>
    <w:rsid w:val="00B46435"/>
    <w:rsid w:val="00B6013C"/>
    <w:rsid w:val="00BD3C06"/>
    <w:rsid w:val="00C0698E"/>
    <w:rsid w:val="00CC1D8D"/>
    <w:rsid w:val="00CC2661"/>
    <w:rsid w:val="00D254A0"/>
    <w:rsid w:val="00D31B9C"/>
    <w:rsid w:val="00D35117"/>
    <w:rsid w:val="00D41B63"/>
    <w:rsid w:val="00D74802"/>
    <w:rsid w:val="00D869B6"/>
    <w:rsid w:val="00DB6091"/>
    <w:rsid w:val="00DC3348"/>
    <w:rsid w:val="00DD073F"/>
    <w:rsid w:val="00E52725"/>
    <w:rsid w:val="00E55844"/>
    <w:rsid w:val="00E7034A"/>
    <w:rsid w:val="00EF0B66"/>
    <w:rsid w:val="00F0265E"/>
    <w:rsid w:val="00F95A5A"/>
    <w:rsid w:val="00FC55A2"/>
    <w:rsid w:val="00FD0375"/>
    <w:rsid w:val="00FD6735"/>
    <w:rsid w:val="01A71FD9"/>
    <w:rsid w:val="03A54A28"/>
    <w:rsid w:val="044C50BA"/>
    <w:rsid w:val="04B769D7"/>
    <w:rsid w:val="053C5185"/>
    <w:rsid w:val="09D300DC"/>
    <w:rsid w:val="0ACA5ED1"/>
    <w:rsid w:val="0B3D575C"/>
    <w:rsid w:val="0B640F3B"/>
    <w:rsid w:val="0CD914B5"/>
    <w:rsid w:val="0CFF716D"/>
    <w:rsid w:val="0D847672"/>
    <w:rsid w:val="0F6E5462"/>
    <w:rsid w:val="0F711E78"/>
    <w:rsid w:val="0F885383"/>
    <w:rsid w:val="10437371"/>
    <w:rsid w:val="10DC1574"/>
    <w:rsid w:val="116F23E8"/>
    <w:rsid w:val="11ED4BC1"/>
    <w:rsid w:val="1593461C"/>
    <w:rsid w:val="15EA64E1"/>
    <w:rsid w:val="161D2412"/>
    <w:rsid w:val="164369A6"/>
    <w:rsid w:val="19AF3CC9"/>
    <w:rsid w:val="1A0E6C42"/>
    <w:rsid w:val="1A824F3A"/>
    <w:rsid w:val="1B7C36F9"/>
    <w:rsid w:val="1B886580"/>
    <w:rsid w:val="1BC7354C"/>
    <w:rsid w:val="1C5648D0"/>
    <w:rsid w:val="1CE123EB"/>
    <w:rsid w:val="1D6F3E9B"/>
    <w:rsid w:val="1E0D7210"/>
    <w:rsid w:val="1E195BB5"/>
    <w:rsid w:val="2177331E"/>
    <w:rsid w:val="21BA320B"/>
    <w:rsid w:val="22F15022"/>
    <w:rsid w:val="23705807"/>
    <w:rsid w:val="268128EF"/>
    <w:rsid w:val="2AB70C30"/>
    <w:rsid w:val="2B487ADA"/>
    <w:rsid w:val="2CA156F3"/>
    <w:rsid w:val="2CAE4BF5"/>
    <w:rsid w:val="2D263F00"/>
    <w:rsid w:val="2D9A5735"/>
    <w:rsid w:val="2DE27D71"/>
    <w:rsid w:val="2F1228D8"/>
    <w:rsid w:val="33460DA3"/>
    <w:rsid w:val="335F00B6"/>
    <w:rsid w:val="378B2BA5"/>
    <w:rsid w:val="385E093C"/>
    <w:rsid w:val="38832151"/>
    <w:rsid w:val="393778F4"/>
    <w:rsid w:val="39B32F0A"/>
    <w:rsid w:val="39BA6046"/>
    <w:rsid w:val="3C096E11"/>
    <w:rsid w:val="3DB17760"/>
    <w:rsid w:val="3E500D27"/>
    <w:rsid w:val="3F06588A"/>
    <w:rsid w:val="404C1ED7"/>
    <w:rsid w:val="41EE270A"/>
    <w:rsid w:val="43D9356D"/>
    <w:rsid w:val="450308A1"/>
    <w:rsid w:val="45E76415"/>
    <w:rsid w:val="45FB3C6E"/>
    <w:rsid w:val="46603AD2"/>
    <w:rsid w:val="4755133B"/>
    <w:rsid w:val="49687B95"/>
    <w:rsid w:val="49A44BED"/>
    <w:rsid w:val="4B9A7A86"/>
    <w:rsid w:val="4BCB7C3F"/>
    <w:rsid w:val="4BE17463"/>
    <w:rsid w:val="4E1F7FBC"/>
    <w:rsid w:val="4E880069"/>
    <w:rsid w:val="4E974655"/>
    <w:rsid w:val="4FC275AB"/>
    <w:rsid w:val="50083210"/>
    <w:rsid w:val="51024103"/>
    <w:rsid w:val="51C404BD"/>
    <w:rsid w:val="51FC1024"/>
    <w:rsid w:val="522A084B"/>
    <w:rsid w:val="548E3F00"/>
    <w:rsid w:val="55144405"/>
    <w:rsid w:val="570B1838"/>
    <w:rsid w:val="593B28A8"/>
    <w:rsid w:val="596F2552"/>
    <w:rsid w:val="5A897643"/>
    <w:rsid w:val="5B836EDA"/>
    <w:rsid w:val="6247504A"/>
    <w:rsid w:val="62522A10"/>
    <w:rsid w:val="628E5F27"/>
    <w:rsid w:val="63FC70D8"/>
    <w:rsid w:val="64882719"/>
    <w:rsid w:val="67D77C40"/>
    <w:rsid w:val="68802085"/>
    <w:rsid w:val="6B97548F"/>
    <w:rsid w:val="6BFF7765"/>
    <w:rsid w:val="6CE21E1F"/>
    <w:rsid w:val="6EB07C61"/>
    <w:rsid w:val="6FB219DE"/>
    <w:rsid w:val="714A5429"/>
    <w:rsid w:val="738D1AFA"/>
    <w:rsid w:val="7483192D"/>
    <w:rsid w:val="75E63744"/>
    <w:rsid w:val="78395DAD"/>
    <w:rsid w:val="79621333"/>
    <w:rsid w:val="79A951B4"/>
    <w:rsid w:val="7A6D61E2"/>
    <w:rsid w:val="7B1E74DC"/>
    <w:rsid w:val="7B8F446A"/>
    <w:rsid w:val="7BD148EC"/>
    <w:rsid w:val="7C9A0DE4"/>
    <w:rsid w:val="7E99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main-color1"/>
    <w:basedOn w:val="7"/>
    <w:qFormat/>
    <w:uiPriority w:val="0"/>
    <w:rPr>
      <w:color w:val="A4A4A4"/>
    </w:rPr>
  </w:style>
  <w:style w:type="character" w:customStyle="1" w:styleId="13">
    <w:name w:val="标题 1 Char"/>
    <w:basedOn w:val="7"/>
    <w:link w:val="2"/>
    <w:qFormat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2945</Words>
  <Characters>3186</Characters>
  <Lines>26</Lines>
  <Paragraphs>7</Paragraphs>
  <TotalTime>107</TotalTime>
  <ScaleCrop>false</ScaleCrop>
  <LinksUpToDate>false</LinksUpToDate>
  <CharactersWithSpaces>3313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2024-05-10T11:06:00Z</dcterms:created>
  <dc:creator>陈 宏艳</dc:creator>
  <cp:lastModifiedBy>迩雅</cp:lastModifiedBy>
  <dcterms:modified xsi:type="dcterms:W3CDTF">2024-11-14T06:18:22Z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146CAB0AA03249ADB3CB865261597C9F_13</vt:lpwstr>
  </property>
</Properties>
</file>