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260" w:after="260" w:line="360" w:lineRule="auto"/>
        <w:jc w:val="center"/>
        <w:outlineLvl w:val="1"/>
        <w:rPr>
          <w:rFonts w:hint="eastAsia" w:ascii="宋体" w:hAnsi="宋体" w:eastAsia="宋体" w:cs="Times New Roman"/>
          <w:b/>
          <w:bCs/>
          <w:iCs/>
          <w:sz w:val="24"/>
          <w:szCs w:val="24"/>
        </w:rPr>
      </w:pPr>
      <w:r>
        <w:rPr>
          <w:rFonts w:hint="eastAsia" w:ascii="宋体" w:hAnsi="宋体" w:eastAsia="宋体" w:cs="Times New Roman"/>
          <w:b/>
          <w:bCs/>
          <w:iCs/>
          <w:sz w:val="24"/>
          <w:szCs w:val="24"/>
        </w:rPr>
        <w:t>证券代码：688657                                 证券简称：浩辰软件</w:t>
      </w:r>
      <w:r>
        <w:rPr>
          <w:rFonts w:ascii="宋体" w:hAnsi="宋体" w:eastAsia="宋体" w:cs="Times New Roman"/>
          <w:b/>
          <w:bCs/>
          <w:iCs/>
          <w:sz w:val="24"/>
          <w:szCs w:val="24"/>
        </w:rPr>
        <w:t xml:space="preserve"> </w:t>
      </w:r>
    </w:p>
    <w:p>
      <w:pPr>
        <w:keepNext/>
        <w:keepLines/>
        <w:spacing w:before="156" w:beforeLines="50" w:after="156" w:afterLines="50" w:line="360" w:lineRule="auto"/>
        <w:jc w:val="center"/>
        <w:outlineLvl w:val="1"/>
        <w:rPr>
          <w:rFonts w:hint="eastAsia" w:ascii="宋体" w:hAnsi="宋体" w:eastAsia="宋体" w:cs="Times New Roman"/>
          <w:b/>
          <w:bCs/>
          <w:sz w:val="32"/>
          <w:szCs w:val="32"/>
        </w:rPr>
      </w:pPr>
      <w:r>
        <w:rPr>
          <w:rFonts w:hint="eastAsia" w:ascii="宋体" w:hAnsi="宋体" w:eastAsia="宋体" w:cs="Times New Roman"/>
          <w:b/>
          <w:bCs/>
          <w:sz w:val="32"/>
          <w:szCs w:val="32"/>
        </w:rPr>
        <w:t>苏州浩辰软件股份有限公司</w:t>
      </w:r>
    </w:p>
    <w:p>
      <w:pPr>
        <w:keepNext/>
        <w:keepLines/>
        <w:spacing w:before="156" w:beforeLines="50" w:after="156" w:afterLines="50" w:line="360" w:lineRule="auto"/>
        <w:jc w:val="center"/>
        <w:outlineLvl w:val="1"/>
        <w:rPr>
          <w:rFonts w:hint="eastAsia" w:ascii="宋体" w:hAnsi="宋体" w:eastAsia="宋体" w:cs="Times New Roman"/>
          <w:b/>
          <w:bCs/>
          <w:sz w:val="32"/>
          <w:szCs w:val="32"/>
        </w:rPr>
      </w:pPr>
      <w:r>
        <w:rPr>
          <w:rFonts w:hint="eastAsia" w:ascii="宋体" w:hAnsi="宋体" w:eastAsia="宋体" w:cs="Times New Roman"/>
          <w:b/>
          <w:bCs/>
          <w:sz w:val="32"/>
          <w:szCs w:val="32"/>
        </w:rPr>
        <w:t>投资者关系活动记录表</w:t>
      </w:r>
    </w:p>
    <w:p>
      <w:pPr>
        <w:keepNext/>
        <w:keepLines/>
        <w:spacing w:before="260" w:after="260" w:line="360" w:lineRule="auto"/>
        <w:jc w:val="left"/>
        <w:outlineLvl w:val="1"/>
        <w:rPr>
          <w:rFonts w:hint="eastAsia" w:ascii="宋体" w:hAnsi="宋体" w:eastAsia="宋体" w:cs="Times New Roman"/>
          <w:b/>
          <w:bCs/>
          <w:sz w:val="24"/>
          <w:szCs w:val="24"/>
        </w:rPr>
      </w:pPr>
      <w:r>
        <w:rPr>
          <w:rFonts w:hint="eastAsia" w:ascii="宋体" w:hAnsi="宋体" w:eastAsia="宋体" w:cs="Times New Roman"/>
          <w:b/>
          <w:bCs/>
          <w:sz w:val="24"/>
          <w:szCs w:val="24"/>
        </w:rPr>
        <w:t>编号：2024-013</w:t>
      </w:r>
    </w:p>
    <w:tbl>
      <w:tblPr>
        <w:tblStyle w:val="7"/>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8"/>
        <w:gridCol w:w="5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shd w:val="clear" w:color="auto" w:fill="auto"/>
          </w:tcPr>
          <w:p>
            <w:pPr>
              <w:spacing w:line="360" w:lineRule="auto"/>
              <w:rPr>
                <w:rFonts w:hint="eastAsia" w:ascii="宋体" w:hAnsi="宋体" w:eastAsia="宋体" w:cs="Times New Roman"/>
                <w:b/>
                <w:bCs/>
                <w:iCs/>
                <w:sz w:val="24"/>
                <w:szCs w:val="24"/>
              </w:rPr>
            </w:pPr>
            <w:r>
              <w:rPr>
                <w:rFonts w:hint="eastAsia" w:ascii="宋体" w:hAnsi="宋体" w:eastAsia="宋体" w:cs="Times New Roman"/>
                <w:b/>
                <w:bCs/>
                <w:iCs/>
                <w:sz w:val="24"/>
                <w:szCs w:val="24"/>
              </w:rPr>
              <w:t>投资者关系活动类别</w:t>
            </w:r>
          </w:p>
          <w:p>
            <w:pPr>
              <w:spacing w:line="360" w:lineRule="auto"/>
              <w:rPr>
                <w:rFonts w:hint="eastAsia" w:ascii="宋体" w:hAnsi="宋体" w:eastAsia="宋体" w:cs="Times New Roman"/>
                <w:b/>
                <w:bCs/>
                <w:iCs/>
                <w:sz w:val="24"/>
                <w:szCs w:val="24"/>
              </w:rPr>
            </w:pPr>
          </w:p>
        </w:tc>
        <w:tc>
          <w:tcPr>
            <w:tcW w:w="5812" w:type="dxa"/>
            <w:shd w:val="clear" w:color="auto" w:fill="auto"/>
          </w:tcPr>
          <w:p>
            <w:pPr>
              <w:spacing w:line="360" w:lineRule="auto"/>
              <w:rPr>
                <w:rFonts w:hint="eastAsia" w:ascii="宋体" w:hAnsi="宋体" w:eastAsia="宋体" w:cs="Times New Roman"/>
                <w:bCs/>
                <w:iCs/>
                <w:sz w:val="24"/>
                <w:szCs w:val="24"/>
              </w:rPr>
            </w:pPr>
            <w:r>
              <w:rPr>
                <w:rFonts w:hint="eastAsia" w:ascii="宋体" w:hAnsi="宋体" w:eastAsia="宋体" w:cs="Times New Roman"/>
                <w:bCs/>
                <w:iCs/>
                <w:sz w:val="24"/>
                <w:szCs w:val="24"/>
              </w:rPr>
              <w:t>☑</w:t>
            </w:r>
            <w:r>
              <w:rPr>
                <w:rFonts w:hint="eastAsia" w:ascii="宋体" w:hAnsi="宋体" w:eastAsia="宋体" w:cs="Times New Roman"/>
                <w:sz w:val="24"/>
                <w:szCs w:val="24"/>
              </w:rPr>
              <w:t xml:space="preserve">特定对象调研        </w:t>
            </w:r>
            <w:r>
              <w:rPr>
                <w:rFonts w:hint="eastAsia" w:ascii="宋体" w:hAnsi="宋体" w:eastAsia="宋体" w:cs="Times New Roman"/>
                <w:bCs/>
                <w:iCs/>
                <w:sz w:val="24"/>
                <w:szCs w:val="24"/>
              </w:rPr>
              <w:t>□</w:t>
            </w:r>
            <w:r>
              <w:rPr>
                <w:rFonts w:hint="eastAsia" w:ascii="宋体" w:hAnsi="宋体" w:eastAsia="宋体" w:cs="Times New Roman"/>
                <w:sz w:val="24"/>
                <w:szCs w:val="24"/>
              </w:rPr>
              <w:t>分析师会议</w:t>
            </w:r>
          </w:p>
          <w:p>
            <w:pPr>
              <w:spacing w:line="360" w:lineRule="auto"/>
              <w:rPr>
                <w:rFonts w:hint="eastAsia" w:ascii="宋体" w:hAnsi="宋体" w:eastAsia="宋体" w:cs="Times New Roman"/>
                <w:bCs/>
                <w:iCs/>
                <w:sz w:val="24"/>
                <w:szCs w:val="24"/>
              </w:rPr>
            </w:pPr>
            <w:r>
              <w:rPr>
                <w:rFonts w:hint="eastAsia" w:ascii="宋体" w:hAnsi="宋体" w:eastAsia="宋体" w:cs="Times New Roman"/>
                <w:bCs/>
                <w:iCs/>
                <w:sz w:val="24"/>
                <w:szCs w:val="24"/>
              </w:rPr>
              <w:t>□</w:t>
            </w:r>
            <w:r>
              <w:rPr>
                <w:rFonts w:hint="eastAsia" w:ascii="宋体" w:hAnsi="宋体" w:eastAsia="宋体" w:cs="Times New Roman"/>
                <w:sz w:val="24"/>
                <w:szCs w:val="24"/>
              </w:rPr>
              <w:t xml:space="preserve">媒体采访            </w:t>
            </w:r>
            <w:r>
              <w:rPr>
                <w:rFonts w:hint="eastAsia" w:ascii="宋体" w:hAnsi="宋体" w:eastAsia="宋体" w:cs="Times New Roman"/>
                <w:bCs/>
                <w:iCs/>
                <w:sz w:val="24"/>
                <w:szCs w:val="24"/>
              </w:rPr>
              <w:t>□</w:t>
            </w:r>
            <w:r>
              <w:rPr>
                <w:rFonts w:hint="eastAsia" w:ascii="宋体" w:hAnsi="宋体" w:eastAsia="宋体" w:cs="Times New Roman"/>
                <w:sz w:val="24"/>
                <w:szCs w:val="24"/>
              </w:rPr>
              <w:t>业绩说明会</w:t>
            </w:r>
          </w:p>
          <w:p>
            <w:pPr>
              <w:spacing w:line="360" w:lineRule="auto"/>
              <w:rPr>
                <w:rFonts w:hint="eastAsia" w:ascii="宋体" w:hAnsi="宋体" w:eastAsia="宋体" w:cs="Times New Roman"/>
                <w:bCs/>
                <w:iCs/>
                <w:sz w:val="24"/>
                <w:szCs w:val="24"/>
              </w:rPr>
            </w:pPr>
            <w:r>
              <w:rPr>
                <w:rFonts w:hint="eastAsia" w:ascii="宋体" w:hAnsi="宋体" w:eastAsia="宋体" w:cs="Times New Roman"/>
                <w:bCs/>
                <w:iCs/>
                <w:sz w:val="24"/>
                <w:szCs w:val="24"/>
              </w:rPr>
              <w:t>□</w:t>
            </w:r>
            <w:r>
              <w:rPr>
                <w:rFonts w:hint="eastAsia" w:ascii="宋体" w:hAnsi="宋体" w:eastAsia="宋体" w:cs="Times New Roman"/>
                <w:sz w:val="24"/>
                <w:szCs w:val="24"/>
              </w:rPr>
              <w:t xml:space="preserve">新闻发布会          </w:t>
            </w:r>
            <w:r>
              <w:rPr>
                <w:rFonts w:hint="eastAsia" w:ascii="宋体" w:hAnsi="宋体" w:eastAsia="宋体" w:cs="Times New Roman"/>
                <w:bCs/>
                <w:iCs/>
                <w:sz w:val="24"/>
                <w:szCs w:val="24"/>
              </w:rPr>
              <w:t>□</w:t>
            </w:r>
            <w:r>
              <w:rPr>
                <w:rFonts w:hint="eastAsia" w:ascii="宋体" w:hAnsi="宋体" w:eastAsia="宋体" w:cs="Times New Roman"/>
                <w:sz w:val="24"/>
                <w:szCs w:val="24"/>
              </w:rPr>
              <w:t>路演活动</w:t>
            </w:r>
          </w:p>
          <w:p>
            <w:pPr>
              <w:tabs>
                <w:tab w:val="left" w:pos="2690"/>
                <w:tab w:val="center" w:pos="3199"/>
              </w:tabs>
              <w:spacing w:line="360" w:lineRule="auto"/>
              <w:rPr>
                <w:rFonts w:hint="eastAsia" w:ascii="宋体" w:hAnsi="宋体" w:eastAsia="宋体" w:cs="Times New Roman"/>
                <w:bCs/>
                <w:iCs/>
                <w:sz w:val="24"/>
                <w:szCs w:val="24"/>
              </w:rPr>
            </w:pPr>
            <w:r>
              <w:rPr>
                <w:rFonts w:hint="eastAsia" w:ascii="宋体" w:hAnsi="宋体" w:eastAsia="宋体" w:cs="Times New Roman"/>
                <w:bCs/>
                <w:iCs/>
                <w:sz w:val="24"/>
                <w:szCs w:val="24"/>
              </w:rPr>
              <w:t>□</w:t>
            </w:r>
            <w:r>
              <w:rPr>
                <w:rFonts w:hint="eastAsia" w:ascii="宋体" w:hAnsi="宋体" w:eastAsia="宋体" w:cs="Times New Roman"/>
                <w:sz w:val="24"/>
                <w:szCs w:val="24"/>
              </w:rPr>
              <w:t>现场参观□电话会议</w:t>
            </w:r>
          </w:p>
          <w:p>
            <w:pPr>
              <w:tabs>
                <w:tab w:val="center" w:pos="3199"/>
              </w:tabs>
              <w:spacing w:line="360" w:lineRule="auto"/>
              <w:rPr>
                <w:rFonts w:hint="eastAsia" w:ascii="宋体" w:hAnsi="宋体" w:eastAsia="宋体" w:cs="Times New Roman"/>
                <w:bCs/>
                <w:iCs/>
                <w:sz w:val="24"/>
                <w:szCs w:val="24"/>
              </w:rPr>
            </w:pPr>
            <w:r>
              <w:rPr>
                <w:rFonts w:hint="eastAsia" w:ascii="宋体" w:hAnsi="宋体" w:eastAsia="宋体" w:cs="Times New Roman"/>
                <w:bCs/>
                <w:iCs/>
                <w:sz w:val="24"/>
                <w:szCs w:val="24"/>
              </w:rPr>
              <w:t>□</w:t>
            </w:r>
            <w:r>
              <w:rPr>
                <w:rFonts w:hint="eastAsia" w:ascii="宋体" w:hAnsi="宋体" w:eastAsia="宋体" w:cs="Times New Roman"/>
                <w:sz w:val="24"/>
                <w:szCs w:val="24"/>
              </w:rPr>
              <w:t>其他 （</w:t>
            </w:r>
            <w:r>
              <w:rPr>
                <w:rFonts w:hint="eastAsia" w:ascii="宋体" w:hAnsi="宋体" w:eastAsia="宋体" w:cs="Times New Roman"/>
                <w:sz w:val="24"/>
                <w:szCs w:val="24"/>
                <w:u w:val="single"/>
              </w:rPr>
              <w:t>请文字说明其他活动内容）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shd w:val="clear" w:color="auto" w:fill="auto"/>
          </w:tcPr>
          <w:p>
            <w:pPr>
              <w:spacing w:line="360" w:lineRule="auto"/>
              <w:rPr>
                <w:rFonts w:hint="eastAsia" w:ascii="宋体" w:hAnsi="宋体" w:eastAsia="宋体" w:cs="Times New Roman"/>
                <w:b/>
                <w:bCs/>
                <w:iCs/>
                <w:sz w:val="24"/>
                <w:szCs w:val="24"/>
              </w:rPr>
            </w:pPr>
            <w:r>
              <w:rPr>
                <w:rFonts w:hint="eastAsia" w:ascii="宋体" w:hAnsi="宋体" w:eastAsia="宋体" w:cs="Times New Roman"/>
                <w:b/>
                <w:bCs/>
                <w:iCs/>
                <w:sz w:val="24"/>
                <w:szCs w:val="24"/>
              </w:rPr>
              <w:t>参与单位名称及人员姓名</w:t>
            </w:r>
          </w:p>
        </w:tc>
        <w:tc>
          <w:tcPr>
            <w:tcW w:w="5812" w:type="dxa"/>
            <w:shd w:val="clear" w:color="auto" w:fill="auto"/>
          </w:tcPr>
          <w:p>
            <w:pPr>
              <w:tabs>
                <w:tab w:val="center" w:pos="2798"/>
              </w:tabs>
              <w:spacing w:line="360" w:lineRule="auto"/>
              <w:rPr>
                <w:rFonts w:hint="eastAsia" w:ascii="宋体" w:hAnsi="宋体" w:eastAsia="宋体" w:cs="Times New Roman"/>
                <w:bCs/>
                <w:iCs/>
                <w:sz w:val="24"/>
                <w:szCs w:val="24"/>
              </w:rPr>
            </w:pPr>
            <w:r>
              <w:rPr>
                <w:rFonts w:hint="eastAsia" w:ascii="宋体" w:hAnsi="宋体" w:eastAsia="宋体" w:cs="Times New Roman"/>
                <w:bCs/>
                <w:iCs/>
                <w:sz w:val="24"/>
                <w:szCs w:val="24"/>
              </w:rPr>
              <w:t>禾其投资、慧珠投资、万家基金、建投华科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shd w:val="clear" w:color="auto" w:fill="auto"/>
          </w:tcPr>
          <w:p>
            <w:pPr>
              <w:spacing w:line="360" w:lineRule="auto"/>
              <w:rPr>
                <w:rFonts w:hint="eastAsia" w:ascii="宋体" w:hAnsi="宋体" w:eastAsia="宋体" w:cs="Times New Roman"/>
                <w:b/>
                <w:bCs/>
                <w:iCs/>
                <w:sz w:val="24"/>
                <w:szCs w:val="24"/>
              </w:rPr>
            </w:pPr>
            <w:r>
              <w:rPr>
                <w:rFonts w:hint="eastAsia" w:ascii="宋体" w:hAnsi="宋体" w:eastAsia="宋体" w:cs="Times New Roman"/>
                <w:b/>
                <w:bCs/>
                <w:iCs/>
                <w:sz w:val="24"/>
                <w:szCs w:val="24"/>
              </w:rPr>
              <w:t>会议时间</w:t>
            </w:r>
          </w:p>
        </w:tc>
        <w:tc>
          <w:tcPr>
            <w:tcW w:w="5812" w:type="dxa"/>
            <w:shd w:val="clear" w:color="auto" w:fill="auto"/>
          </w:tcPr>
          <w:p>
            <w:pPr>
              <w:spacing w:line="360" w:lineRule="auto"/>
              <w:rPr>
                <w:rFonts w:hint="eastAsia" w:ascii="宋体" w:hAnsi="宋体" w:eastAsia="宋体" w:cs="Times New Roman"/>
                <w:bCs/>
                <w:iCs/>
                <w:sz w:val="24"/>
                <w:szCs w:val="24"/>
              </w:rPr>
            </w:pPr>
            <w:r>
              <w:rPr>
                <w:rFonts w:hint="eastAsia" w:ascii="宋体" w:hAnsi="宋体" w:eastAsia="宋体" w:cs="Times New Roman"/>
                <w:bCs/>
                <w:iCs/>
                <w:sz w:val="24"/>
                <w:szCs w:val="24"/>
              </w:rPr>
              <w:t>2024年11月12日 - 2024年11月13日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shd w:val="clear" w:color="auto" w:fill="auto"/>
          </w:tcPr>
          <w:p>
            <w:pPr>
              <w:spacing w:line="360" w:lineRule="auto"/>
              <w:rPr>
                <w:rFonts w:hint="eastAsia" w:ascii="宋体" w:hAnsi="宋体" w:eastAsia="宋体" w:cs="Times New Roman"/>
                <w:b/>
                <w:bCs/>
                <w:iCs/>
                <w:sz w:val="24"/>
                <w:szCs w:val="24"/>
              </w:rPr>
            </w:pPr>
            <w:r>
              <w:rPr>
                <w:rFonts w:hint="eastAsia" w:ascii="宋体" w:hAnsi="宋体" w:eastAsia="宋体" w:cs="Times New Roman"/>
                <w:b/>
                <w:bCs/>
                <w:iCs/>
                <w:sz w:val="24"/>
                <w:szCs w:val="24"/>
              </w:rPr>
              <w:t>会议地点</w:t>
            </w:r>
          </w:p>
        </w:tc>
        <w:tc>
          <w:tcPr>
            <w:tcW w:w="5812" w:type="dxa"/>
            <w:shd w:val="clear" w:color="auto" w:fill="auto"/>
          </w:tcPr>
          <w:p>
            <w:pPr>
              <w:spacing w:line="360" w:lineRule="auto"/>
              <w:rPr>
                <w:rFonts w:hint="eastAsia" w:ascii="宋体" w:hAnsi="宋体" w:eastAsia="宋体" w:cs="Times New Roman"/>
                <w:bCs/>
                <w:iCs/>
                <w:sz w:val="24"/>
                <w:szCs w:val="24"/>
              </w:rPr>
            </w:pPr>
            <w:r>
              <w:rPr>
                <w:rFonts w:hint="eastAsia" w:ascii="宋体" w:hAnsi="宋体" w:eastAsia="宋体" w:cs="Times New Roman"/>
                <w:bCs/>
                <w:iCs/>
                <w:sz w:val="24"/>
                <w:szCs w:val="24"/>
              </w:rPr>
              <w:t>浩辰软件会议室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shd w:val="clear" w:color="auto" w:fill="auto"/>
          </w:tcPr>
          <w:p>
            <w:pPr>
              <w:spacing w:line="360" w:lineRule="auto"/>
              <w:rPr>
                <w:rFonts w:hint="eastAsia" w:ascii="宋体" w:hAnsi="宋体" w:eastAsia="宋体" w:cs="Times New Roman"/>
                <w:b/>
                <w:bCs/>
                <w:iCs/>
                <w:sz w:val="24"/>
                <w:szCs w:val="24"/>
              </w:rPr>
            </w:pPr>
            <w:r>
              <w:rPr>
                <w:rFonts w:hint="eastAsia" w:ascii="宋体" w:hAnsi="宋体" w:eastAsia="宋体" w:cs="Times New Roman"/>
                <w:b/>
                <w:bCs/>
                <w:iCs/>
                <w:sz w:val="24"/>
                <w:szCs w:val="24"/>
              </w:rPr>
              <w:t>上市公司接待人员姓名</w:t>
            </w:r>
          </w:p>
        </w:tc>
        <w:tc>
          <w:tcPr>
            <w:tcW w:w="5812" w:type="dxa"/>
            <w:shd w:val="clear" w:color="auto" w:fill="auto"/>
          </w:tcPr>
          <w:p>
            <w:pPr>
              <w:spacing w:line="360" w:lineRule="auto"/>
              <w:rPr>
                <w:rFonts w:hint="eastAsia" w:ascii="宋体" w:hAnsi="宋体" w:eastAsia="宋体" w:cs="Times New Roman"/>
                <w:bCs/>
                <w:iCs/>
                <w:sz w:val="24"/>
                <w:szCs w:val="24"/>
              </w:rPr>
            </w:pPr>
            <w:r>
              <w:rPr>
                <w:rFonts w:hint="eastAsia" w:ascii="宋体" w:hAnsi="宋体" w:eastAsia="宋体" w:cs="Times New Roman"/>
                <w:bCs/>
                <w:iCs/>
                <w:sz w:val="24"/>
                <w:szCs w:val="24"/>
              </w:rPr>
              <w:t>陆翔、肖乃茹、王祥如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1" w:hRule="atLeast"/>
        </w:trPr>
        <w:tc>
          <w:tcPr>
            <w:tcW w:w="2978" w:type="dxa"/>
            <w:shd w:val="clear" w:color="auto" w:fill="auto"/>
            <w:vAlign w:val="center"/>
          </w:tcPr>
          <w:p>
            <w:pPr>
              <w:spacing w:line="360" w:lineRule="auto"/>
              <w:rPr>
                <w:rFonts w:hint="eastAsia" w:ascii="宋体" w:hAnsi="宋体" w:eastAsia="宋体" w:cs="Times New Roman"/>
                <w:b/>
                <w:bCs/>
                <w:iCs/>
                <w:sz w:val="24"/>
                <w:szCs w:val="24"/>
              </w:rPr>
            </w:pPr>
            <w:r>
              <w:rPr>
                <w:rFonts w:hint="eastAsia" w:ascii="宋体" w:hAnsi="宋体" w:eastAsia="宋体" w:cs="Times New Roman"/>
                <w:b/>
                <w:bCs/>
                <w:iCs/>
                <w:sz w:val="24"/>
                <w:szCs w:val="24"/>
              </w:rPr>
              <w:t>投资者关系活动主要内容介绍</w:t>
            </w:r>
          </w:p>
        </w:tc>
        <w:tc>
          <w:tcPr>
            <w:tcW w:w="5812" w:type="dxa"/>
            <w:shd w:val="clear" w:color="auto" w:fill="auto"/>
          </w:tcPr>
          <w:p>
            <w:pPr>
              <w:spacing w:line="360" w:lineRule="auto"/>
              <w:rPr>
                <w:rFonts w:hint="eastAsia" w:ascii="宋体" w:hAnsi="宋体" w:eastAsia="宋体" w:cs="Times New Roman"/>
                <w:b/>
                <w:iCs/>
                <w:sz w:val="24"/>
                <w:szCs w:val="24"/>
              </w:rPr>
            </w:pPr>
            <w:r>
              <w:rPr>
                <w:rFonts w:hint="eastAsia" w:ascii="宋体" w:hAnsi="宋体" w:eastAsia="宋体" w:cs="Times New Roman"/>
                <w:b/>
                <w:iCs/>
                <w:sz w:val="24"/>
                <w:szCs w:val="24"/>
              </w:rPr>
              <w:t>1、可以介绍一下CAD软件的行业空间和市场格局吗？</w:t>
            </w:r>
          </w:p>
          <w:p>
            <w:pPr>
              <w:spacing w:line="360" w:lineRule="auto"/>
              <w:ind w:firstLine="480" w:firstLineChars="200"/>
              <w:rPr>
                <w:rFonts w:hint="eastAsia" w:ascii="宋体" w:hAnsi="宋体" w:eastAsia="宋体" w:cs="Times New Roman"/>
                <w:iCs/>
                <w:sz w:val="24"/>
                <w:szCs w:val="24"/>
              </w:rPr>
            </w:pPr>
            <w:r>
              <w:rPr>
                <w:rFonts w:hint="eastAsia" w:ascii="宋体" w:hAnsi="宋体" w:eastAsia="宋体" w:cs="Times New Roman"/>
                <w:iCs/>
                <w:sz w:val="24"/>
                <w:szCs w:val="24"/>
              </w:rPr>
              <w:t>答：工业软件行业在国外起步较早，可以追溯至20世纪70年代。以CAD为例，AutoCAD在1982年问世之初作为一套与硬件分开出售的、能够在台式机上使用的计算机辅助设计软件包，填补了市场上的真空，一经推出，便深受市场喜爱和追捧。随后，伴随着工业化进程和互联网浪潮的兴起，以欧特克为代表的海外厂商相继推出2D、3D、移动计算和云计算结合的工业软件产品，迅速占领市场，成长为国际软件巨头。时至今日，不论是在全球范围内还是在国内市场，欧特克、达索、西门子、PTC等国际知名企业凭借其强大的产品力、较高的品牌知名度以及行业先发优势等因素仍占据优势地位。与此同时，CAD软件历经多年发展，下游应用领域也已从最初的机械制造逐渐拓展到建筑、电子、汽车、航天、轻工等诸多行业领域。</w:t>
            </w:r>
          </w:p>
          <w:p>
            <w:pPr>
              <w:spacing w:line="360" w:lineRule="auto"/>
              <w:ind w:firstLine="480" w:firstLineChars="200"/>
              <w:rPr>
                <w:rFonts w:hint="eastAsia" w:ascii="宋体" w:hAnsi="宋体" w:eastAsia="宋体" w:cs="Times New Roman"/>
                <w:iCs/>
                <w:sz w:val="24"/>
                <w:szCs w:val="24"/>
              </w:rPr>
            </w:pPr>
            <w:r>
              <w:rPr>
                <w:rFonts w:hint="eastAsia" w:ascii="宋体" w:hAnsi="宋体" w:eastAsia="宋体" w:cs="Times New Roman"/>
                <w:iCs/>
                <w:sz w:val="24"/>
                <w:szCs w:val="24"/>
              </w:rPr>
              <w:t>根据BIS Research数据，2023年全球CAD市场规模预计达到112.2亿美元，其中2D CAD市场规模将达到28.3亿美元，3D CAD市场规模将达到83.9亿美元。随着我国工业信息化程度快速发展，用户对CAD软件的需求显现，我国CAD市场规模较全球呈现高增速态势。综合艾瑞咨询针对中国CAD市场的测算以及艾瑞咨询、BIS Research对于全球2D CAD和3D CAD市场结构的测算，2021-2023年中国CAD市场规模增速高于全球，2023年达到67亿元，其中2D CAD市场规模约16.9亿元，3D CAD市场规模约50.1亿元。推动核心工业软件自主可控，是我国建设“制造强国”的必经之路，伴随着我国针对知识产权的保护力度不断增加、国产工业软件厂商在技术及产品层面快速迭代、国内工业化水平不断提高，国产工业软件在“正版化”和“国产替代”的共同推动下迎来发展契机。</w:t>
            </w:r>
          </w:p>
          <w:p>
            <w:pPr>
              <w:spacing w:line="360" w:lineRule="auto"/>
              <w:ind w:firstLine="480" w:firstLineChars="200"/>
              <w:rPr>
                <w:rFonts w:hint="eastAsia" w:ascii="宋体" w:hAnsi="宋体" w:eastAsia="宋体" w:cs="Times New Roman"/>
                <w:iCs/>
                <w:sz w:val="24"/>
                <w:szCs w:val="24"/>
              </w:rPr>
            </w:pPr>
          </w:p>
          <w:p>
            <w:pPr>
              <w:spacing w:line="360" w:lineRule="auto"/>
              <w:rPr>
                <w:rFonts w:hint="eastAsia" w:ascii="宋体" w:hAnsi="宋体" w:eastAsia="宋体" w:cs="Times New Roman"/>
                <w:b/>
                <w:bCs/>
                <w:iCs/>
                <w:sz w:val="24"/>
                <w:szCs w:val="24"/>
              </w:rPr>
            </w:pPr>
            <w:r>
              <w:rPr>
                <w:rFonts w:hint="eastAsia" w:ascii="宋体" w:hAnsi="宋体" w:eastAsia="宋体" w:cs="Times New Roman"/>
                <w:b/>
                <w:bCs/>
                <w:iCs/>
                <w:sz w:val="24"/>
                <w:szCs w:val="24"/>
              </w:rPr>
              <w:t>2、公司</w:t>
            </w:r>
            <w:bookmarkStart w:id="0" w:name="_GoBack"/>
            <w:bookmarkEnd w:id="0"/>
            <w:r>
              <w:rPr>
                <w:rFonts w:hint="eastAsia" w:ascii="宋体" w:hAnsi="宋体" w:eastAsia="宋体" w:cs="Times New Roman"/>
                <w:b/>
                <w:bCs/>
                <w:iCs/>
                <w:sz w:val="24"/>
                <w:szCs w:val="24"/>
              </w:rPr>
              <w:t>2D CAD和3D CAD软件业务的格局是怎样的</w:t>
            </w:r>
          </w:p>
          <w:p>
            <w:pPr>
              <w:spacing w:line="360" w:lineRule="auto"/>
              <w:ind w:firstLine="480" w:firstLineChars="200"/>
              <w:rPr>
                <w:rFonts w:hint="eastAsia" w:ascii="宋体" w:hAnsi="宋体" w:eastAsia="宋体" w:cs="Times New Roman"/>
                <w:iCs/>
                <w:sz w:val="24"/>
                <w:szCs w:val="24"/>
              </w:rPr>
            </w:pPr>
            <w:r>
              <w:rPr>
                <w:rFonts w:hint="eastAsia" w:ascii="宋体" w:hAnsi="宋体" w:eastAsia="宋体" w:cs="Times New Roman"/>
                <w:iCs/>
                <w:sz w:val="24"/>
                <w:szCs w:val="24"/>
              </w:rPr>
              <w:t>答：目前，从公司的业务结构来看，2D仍然是公司主要的收入来源。展望未来，在夯实2D业务的基础上，随着我们在3D和云化业务领域的持续投入和创新驱动效果显现，我们将不断完善产品谱系，提供更具吸引力的产品。3D和云化是公司业务的重点方向，也是行业趋势，相应业务将成为公司未来重要盈利增长点。</w:t>
            </w:r>
          </w:p>
          <w:p>
            <w:pPr>
              <w:spacing w:line="360" w:lineRule="auto"/>
              <w:rPr>
                <w:rFonts w:hint="eastAsia" w:ascii="宋体" w:hAnsi="宋体" w:eastAsia="宋体" w:cs="Times New Roman"/>
                <w:b/>
                <w:iCs/>
                <w:sz w:val="24"/>
                <w:szCs w:val="24"/>
              </w:rPr>
            </w:pPr>
          </w:p>
          <w:p>
            <w:pPr>
              <w:spacing w:line="360" w:lineRule="auto"/>
              <w:rPr>
                <w:rFonts w:hint="eastAsia" w:ascii="宋体" w:hAnsi="宋体" w:eastAsia="宋体" w:cs="Times New Roman"/>
                <w:b/>
                <w:iCs/>
                <w:sz w:val="24"/>
                <w:szCs w:val="24"/>
              </w:rPr>
            </w:pPr>
            <w:r>
              <w:rPr>
                <w:rFonts w:hint="eastAsia" w:ascii="宋体" w:hAnsi="宋体" w:eastAsia="宋体" w:cs="Times New Roman"/>
                <w:b/>
                <w:iCs/>
                <w:sz w:val="24"/>
                <w:szCs w:val="24"/>
              </w:rPr>
              <w:t>3、云化产品中看图王的比较优势在哪里？</w:t>
            </w:r>
          </w:p>
          <w:p>
            <w:pPr>
              <w:spacing w:line="360" w:lineRule="auto"/>
              <w:ind w:firstLine="480" w:firstLineChars="200"/>
              <w:rPr>
                <w:rFonts w:hint="eastAsia" w:ascii="宋体" w:hAnsi="宋体" w:eastAsia="宋体" w:cs="Times New Roman"/>
                <w:iCs/>
                <w:sz w:val="24"/>
                <w:szCs w:val="24"/>
              </w:rPr>
            </w:pPr>
            <w:r>
              <w:rPr>
                <w:rFonts w:hint="eastAsia" w:ascii="宋体" w:hAnsi="宋体" w:eastAsia="宋体" w:cs="Times New Roman"/>
                <w:iCs/>
                <w:sz w:val="24"/>
                <w:szCs w:val="24"/>
              </w:rPr>
              <w:t>答：公司致力于CAD技术创新以及云化探索，于 2011年在国内布局软件云化业务，陆续发布浩辰CAD看图王移动版、网页版和电脑版，并不断扩展云应用及服务。历经10余年CAD软件云化的不断探索，公司以解决用户痛点为导向，不断提升用户体验，对浩辰CAD看图王相关产品持续迭代更新，为用户提供稳定的云图服务、图纸漫游、云协作、安全分发等云应用及服务。</w:t>
            </w:r>
          </w:p>
          <w:p>
            <w:pPr>
              <w:spacing w:line="360" w:lineRule="auto"/>
              <w:ind w:firstLine="480" w:firstLineChars="200"/>
              <w:rPr>
                <w:rFonts w:hint="eastAsia" w:ascii="宋体" w:hAnsi="宋体" w:eastAsia="宋体" w:cs="Times New Roman"/>
                <w:iCs/>
                <w:sz w:val="24"/>
                <w:szCs w:val="24"/>
              </w:rPr>
            </w:pPr>
            <w:r>
              <w:rPr>
                <w:rFonts w:hint="eastAsia" w:ascii="宋体" w:hAnsi="宋体" w:eastAsia="宋体" w:cs="Times New Roman"/>
                <w:iCs/>
                <w:sz w:val="24"/>
                <w:szCs w:val="24"/>
              </w:rPr>
              <w:t>2022年浩辰CAD看图王以1,500万月度活跃用户数成为CAD领域国内最具竞争力的APP应用，</w:t>
            </w:r>
            <w:r>
              <w:rPr>
                <w:rFonts w:ascii="宋体" w:hAnsi="宋体" w:eastAsia="宋体" w:cs="Times New Roman"/>
                <w:iCs/>
                <w:sz w:val="24"/>
                <w:szCs w:val="24"/>
              </w:rPr>
              <w:t>截</w:t>
            </w:r>
            <w:r>
              <w:rPr>
                <w:rFonts w:hint="eastAsia" w:ascii="宋体" w:hAnsi="宋体" w:eastAsia="宋体" w:cs="Times New Roman"/>
                <w:iCs/>
                <w:sz w:val="24"/>
                <w:szCs w:val="24"/>
              </w:rPr>
              <w:t>至2023年末</w:t>
            </w:r>
            <w:r>
              <w:rPr>
                <w:rFonts w:ascii="宋体" w:hAnsi="宋体" w:eastAsia="宋体" w:cs="Times New Roman"/>
                <w:iCs/>
                <w:sz w:val="24"/>
                <w:szCs w:val="24"/>
              </w:rPr>
              <w:t>，浩辰CAD看图王用户量超1亿，已覆盖全球超过175个国家和地区，在全球Android、iOS应用市场的下载量超越AutoCAD APP等同类产品，持续保持领先地位</w:t>
            </w:r>
            <w:r>
              <w:rPr>
                <w:rFonts w:hint="eastAsia" w:ascii="宋体" w:hAnsi="宋体" w:eastAsia="宋体" w:cs="Times New Roman"/>
                <w:iCs/>
                <w:sz w:val="24"/>
                <w:szCs w:val="24"/>
              </w:rPr>
              <w:t>。</w:t>
            </w:r>
          </w:p>
          <w:p>
            <w:pPr>
              <w:spacing w:line="360" w:lineRule="auto"/>
              <w:ind w:firstLine="480" w:firstLineChars="200"/>
              <w:rPr>
                <w:rFonts w:hint="eastAsia" w:ascii="宋体" w:hAnsi="宋体" w:eastAsia="宋体" w:cs="Times New Roman"/>
                <w:iCs/>
                <w:sz w:val="24"/>
                <w:szCs w:val="24"/>
              </w:rPr>
            </w:pPr>
            <w:r>
              <w:rPr>
                <w:rFonts w:hint="eastAsia" w:ascii="宋体" w:hAnsi="宋体" w:eastAsia="宋体" w:cs="Times New Roman"/>
                <w:iCs/>
                <w:sz w:val="24"/>
                <w:szCs w:val="24"/>
              </w:rPr>
              <w:t>综上，看图王产品以长期的用户使用习惯培养为基础，以优秀的产品性能与功能为保障，具备丰富的应用场景和庞大的使用客群。</w:t>
            </w:r>
            <w:r>
              <w:rPr>
                <w:rFonts w:ascii="宋体" w:hAnsi="宋体" w:eastAsia="宋体" w:cs="Times New Roman"/>
                <w:iCs/>
                <w:sz w:val="24"/>
                <w:szCs w:val="24"/>
              </w:rPr>
              <w:t>看图王的商业化趋势验证了公司对于交互应用场景和CAD云化市场的前瞻性判断</w:t>
            </w:r>
            <w:r>
              <w:rPr>
                <w:rFonts w:hint="eastAsia" w:ascii="宋体" w:hAnsi="宋体" w:eastAsia="宋体" w:cs="Times New Roman"/>
                <w:iCs/>
                <w:sz w:val="24"/>
                <w:szCs w:val="24"/>
              </w:rPr>
              <w:t>。</w:t>
            </w:r>
          </w:p>
          <w:p>
            <w:pPr>
              <w:spacing w:line="360" w:lineRule="auto"/>
              <w:rPr>
                <w:rFonts w:hint="eastAsia" w:ascii="宋体" w:hAnsi="宋体" w:eastAsia="宋体" w:cs="Times New Roman"/>
                <w:iCs/>
                <w:sz w:val="24"/>
                <w:szCs w:val="24"/>
              </w:rPr>
            </w:pPr>
          </w:p>
          <w:p>
            <w:pPr>
              <w:spacing w:line="360" w:lineRule="auto"/>
              <w:rPr>
                <w:rFonts w:hint="eastAsia" w:ascii="宋体" w:hAnsi="宋体" w:eastAsia="宋体" w:cs="Times New Roman"/>
                <w:b/>
                <w:bCs/>
                <w:iCs/>
                <w:sz w:val="24"/>
                <w:szCs w:val="24"/>
              </w:rPr>
            </w:pPr>
            <w:r>
              <w:rPr>
                <w:rFonts w:hint="eastAsia" w:ascii="宋体" w:hAnsi="宋体" w:eastAsia="宋体" w:cs="Times New Roman"/>
                <w:b/>
                <w:bCs/>
                <w:iCs/>
                <w:sz w:val="24"/>
                <w:szCs w:val="24"/>
              </w:rPr>
              <w:t>4、公司出海情况如何，在海外市场与国外厂商有什么竞争优势？</w:t>
            </w:r>
          </w:p>
          <w:p>
            <w:pPr>
              <w:spacing w:line="360" w:lineRule="auto"/>
              <w:ind w:firstLine="480" w:firstLineChars="200"/>
              <w:rPr>
                <w:rFonts w:hint="eastAsia" w:ascii="宋体" w:hAnsi="宋体" w:eastAsia="宋体" w:cs="Times New Roman"/>
                <w:iCs/>
                <w:sz w:val="24"/>
                <w:szCs w:val="24"/>
              </w:rPr>
            </w:pPr>
            <w:r>
              <w:rPr>
                <w:rFonts w:hint="eastAsia" w:ascii="宋体" w:hAnsi="宋体" w:eastAsia="宋体" w:cs="Times New Roman"/>
                <w:iCs/>
                <w:sz w:val="24"/>
                <w:szCs w:val="24"/>
              </w:rPr>
              <w:t>答：公司秉承全球化发展战略，于2007年开始布局海外市场，发布浩辰CAD英文版，截至目前产品已销往全球100多个国家和地区，支持17个语言版本，在韩国、日本、波兰、泰国、巴西、土耳其、阿联酋、意大利、印度、葡萄牙、斯洛文尼亚等70多个国家或地区的经销商建立了稳定的合作关系。</w:t>
            </w:r>
          </w:p>
          <w:p>
            <w:pPr>
              <w:spacing w:line="360" w:lineRule="auto"/>
              <w:ind w:firstLine="480" w:firstLineChars="200"/>
              <w:rPr>
                <w:rFonts w:hint="eastAsia" w:ascii="微软雅黑" w:hAnsi="微软雅黑" w:eastAsia="微软雅黑" w:cs="微软雅黑"/>
                <w:color w:val="333333"/>
                <w:sz w:val="10"/>
                <w:szCs w:val="10"/>
                <w:shd w:val="clear" w:color="auto" w:fill="FFFFFF"/>
              </w:rPr>
            </w:pPr>
            <w:r>
              <w:rPr>
                <w:rFonts w:hint="eastAsia" w:ascii="宋体" w:hAnsi="宋体" w:eastAsia="宋体" w:cs="Times New Roman"/>
                <w:iCs/>
                <w:sz w:val="24"/>
                <w:szCs w:val="24"/>
              </w:rPr>
              <w:t>浩辰CAD软件产品以其优异的性能、丰富的功能以及相较于欧特克产品的价格优势，建立了强大的竞争优势，越来越受到海外市场的欢迎。</w:t>
            </w:r>
          </w:p>
          <w:p>
            <w:pPr>
              <w:spacing w:line="360" w:lineRule="auto"/>
              <w:rPr>
                <w:rFonts w:hint="eastAsia" w:ascii="宋体" w:hAnsi="宋体" w:eastAsia="宋体" w:cs="Times New Roman"/>
                <w:iCs/>
                <w:sz w:val="24"/>
                <w:szCs w:val="24"/>
              </w:rPr>
            </w:pPr>
          </w:p>
          <w:p>
            <w:pPr>
              <w:spacing w:line="360" w:lineRule="auto"/>
              <w:rPr>
                <w:rFonts w:hint="eastAsia" w:ascii="宋体" w:hAnsi="宋体" w:eastAsia="宋体" w:cs="Times New Roman"/>
                <w:b/>
                <w:bCs/>
                <w:iCs/>
                <w:sz w:val="24"/>
                <w:szCs w:val="24"/>
              </w:rPr>
            </w:pPr>
            <w:r>
              <w:rPr>
                <w:rFonts w:hint="eastAsia" w:ascii="宋体" w:hAnsi="宋体" w:eastAsia="宋体" w:cs="Times New Roman"/>
                <w:b/>
                <w:bCs/>
                <w:iCs/>
                <w:sz w:val="24"/>
                <w:szCs w:val="24"/>
              </w:rPr>
              <w:t>5、可以介绍下公司的发展战略吗？</w:t>
            </w:r>
          </w:p>
          <w:p>
            <w:pPr>
              <w:spacing w:line="360" w:lineRule="auto"/>
              <w:ind w:firstLine="480" w:firstLineChars="200"/>
              <w:rPr>
                <w:rFonts w:hint="eastAsia" w:ascii="宋体" w:hAnsi="宋体" w:eastAsia="宋体" w:cs="Times New Roman"/>
                <w:iCs/>
                <w:sz w:val="24"/>
                <w:szCs w:val="24"/>
              </w:rPr>
            </w:pPr>
            <w:r>
              <w:rPr>
                <w:rFonts w:hint="eastAsia" w:ascii="宋体" w:hAnsi="宋体" w:eastAsia="宋体" w:cs="Times New Roman"/>
                <w:iCs/>
                <w:sz w:val="24"/>
                <w:szCs w:val="24"/>
              </w:rPr>
              <w:t>答：自成立以来，公司秉承“专注所以信赖”的价值观，依托自主创新的核心技术，打造行业领先的研发设计类工业软件。浩辰CAD系列软件经过20余年的潜心研发，具备扎实的技术基础，部分技术达到国际先进水平。近年来，公司针对用户的多终端化、多场景化应用的需求，在CAD跨平台多终端应用、数据安全上云、云应用及服务等方面取得了技术突破，公司20余年的核心技术经验以及持续创新形成的产品竞争力已得到大量用户认可。公司深度参与赋能下游工程建设、制造业等领域，为未来公司的战略发展奠定扎实基础。</w:t>
            </w:r>
          </w:p>
          <w:p>
            <w:pPr>
              <w:spacing w:line="360" w:lineRule="auto"/>
              <w:ind w:firstLine="480" w:firstLineChars="200"/>
              <w:rPr>
                <w:rFonts w:hint="eastAsia" w:ascii="宋体" w:hAnsi="宋体" w:eastAsia="宋体" w:cs="Times New Roman"/>
                <w:iCs/>
                <w:sz w:val="24"/>
                <w:szCs w:val="24"/>
              </w:rPr>
            </w:pPr>
            <w:r>
              <w:rPr>
                <w:rFonts w:hint="eastAsia" w:ascii="宋体" w:hAnsi="宋体" w:eastAsia="宋体" w:cs="Times New Roman"/>
                <w:iCs/>
                <w:sz w:val="24"/>
                <w:szCs w:val="24"/>
              </w:rPr>
              <w:t>下一阶段，公司将持续做深做透2D CAD软件，不断丰富浩辰CAD Linux等产品体系，充分发挥自主可控的技术优势，完善工业软件国产替代及生态的打造，成为行业标杆企业；在3D CAD领域，公司将通过自主研发、充分利用资本运作优势等举措，逐步实现在工程建设行业BIM软件和制造业3D CAD软件的自主化和国产化，提升公司在3D业务上的核心竞争力。</w:t>
            </w:r>
          </w:p>
          <w:p>
            <w:pPr>
              <w:spacing w:line="360" w:lineRule="auto"/>
              <w:ind w:firstLine="480" w:firstLineChars="200"/>
              <w:rPr>
                <w:rFonts w:hint="eastAsia" w:ascii="宋体" w:hAnsi="宋体" w:eastAsia="宋体" w:cs="Times New Roman"/>
                <w:iCs/>
                <w:sz w:val="24"/>
                <w:szCs w:val="24"/>
              </w:rPr>
            </w:pPr>
            <w:r>
              <w:rPr>
                <w:rFonts w:hint="eastAsia" w:ascii="宋体" w:hAnsi="宋体" w:eastAsia="宋体" w:cs="Times New Roman"/>
                <w:iCs/>
                <w:sz w:val="24"/>
                <w:szCs w:val="24"/>
              </w:rPr>
              <w:t>公司着眼于CAD云化的前瞻布局和战略发展，未来将打造浩辰跨终端CAD云平台体系，提供基于云端数据和模型的2D/3D数字化创新设计和应用，集成包括浩辰CAD、浩辰3D、浩辰BIM在内的研发设计软件，实现各终端数据和模型上云和互通。同时通过开发接口和服务，将广泛的第三方应用纳入云平台体系，打造业内云应用与服务整体生态。浩辰CAD云平台将贯穿从设计、施工到运维，从设计、仿真到制造等全环节，为用户提供全周期一体化服务。</w:t>
            </w:r>
          </w:p>
          <w:p>
            <w:pPr>
              <w:spacing w:line="360" w:lineRule="auto"/>
              <w:ind w:firstLine="480" w:firstLineChars="200"/>
              <w:rPr>
                <w:rFonts w:hint="eastAsia" w:ascii="宋体" w:hAnsi="宋体" w:eastAsia="宋体" w:cs="Times New Roman"/>
                <w:iCs/>
                <w:sz w:val="24"/>
                <w:szCs w:val="24"/>
              </w:rPr>
            </w:pPr>
            <w:r>
              <w:rPr>
                <w:rFonts w:hint="eastAsia" w:ascii="宋体" w:hAnsi="宋体" w:eastAsia="宋体" w:cs="Times New Roman"/>
                <w:iCs/>
                <w:sz w:val="24"/>
                <w:szCs w:val="24"/>
              </w:rPr>
              <w:t>公司也将提升营销深度及广度，建设全球营销服务网络，引领CAD云化方向，致力于发展成为世界一流的工业软件龙头企业。</w:t>
            </w:r>
          </w:p>
          <w:p>
            <w:pPr>
              <w:spacing w:line="360" w:lineRule="auto"/>
              <w:ind w:firstLine="480" w:firstLineChars="200"/>
              <w:rPr>
                <w:rFonts w:hint="eastAsia" w:ascii="宋体" w:hAnsi="宋体" w:eastAsia="宋体" w:cs="Times New Roman"/>
                <w:i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shd w:val="clear" w:color="auto" w:fill="auto"/>
            <w:vAlign w:val="center"/>
          </w:tcPr>
          <w:p>
            <w:pPr>
              <w:spacing w:line="360" w:lineRule="auto"/>
              <w:rPr>
                <w:rFonts w:hint="eastAsia" w:ascii="宋体" w:hAnsi="宋体" w:eastAsia="宋体" w:cs="Times New Roman"/>
                <w:b/>
                <w:bCs/>
                <w:iCs/>
                <w:sz w:val="24"/>
                <w:szCs w:val="24"/>
              </w:rPr>
            </w:pPr>
            <w:r>
              <w:rPr>
                <w:rFonts w:hint="eastAsia" w:ascii="宋体" w:hAnsi="宋体" w:eastAsia="宋体" w:cs="Times New Roman"/>
                <w:b/>
                <w:bCs/>
                <w:iCs/>
                <w:sz w:val="24"/>
                <w:szCs w:val="24"/>
              </w:rPr>
              <w:t>关于本次活动是否涉及应当披露重大信息的说明</w:t>
            </w:r>
          </w:p>
        </w:tc>
        <w:tc>
          <w:tcPr>
            <w:tcW w:w="5812" w:type="dxa"/>
            <w:shd w:val="clear" w:color="auto" w:fill="auto"/>
          </w:tcPr>
          <w:p>
            <w:pPr>
              <w:spacing w:line="360" w:lineRule="auto"/>
              <w:rPr>
                <w:rFonts w:hint="eastAsia" w:ascii="宋体" w:hAnsi="宋体" w:eastAsia="宋体" w:cs="Times New Roman"/>
                <w:bCs/>
                <w:iCs/>
                <w:sz w:val="24"/>
                <w:szCs w:val="24"/>
              </w:rPr>
            </w:pPr>
            <w:r>
              <w:rPr>
                <w:rFonts w:hint="eastAsia" w:ascii="宋体" w:hAnsi="宋体" w:eastAsia="宋体" w:cs="Times New Roman"/>
                <w:bCs/>
                <w:iCs/>
                <w:sz w:val="24"/>
                <w:szCs w:val="24"/>
              </w:rPr>
              <w:t>本次活动不涉及应当披露重大信息。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shd w:val="clear" w:color="auto" w:fill="auto"/>
            <w:vAlign w:val="center"/>
          </w:tcPr>
          <w:p>
            <w:pPr>
              <w:spacing w:line="360" w:lineRule="auto"/>
              <w:rPr>
                <w:rFonts w:hint="eastAsia" w:ascii="宋体" w:hAnsi="宋体" w:eastAsia="宋体" w:cs="Times New Roman"/>
                <w:b/>
                <w:bCs/>
                <w:iCs/>
                <w:sz w:val="24"/>
                <w:szCs w:val="24"/>
              </w:rPr>
            </w:pPr>
            <w:r>
              <w:rPr>
                <w:rFonts w:hint="eastAsia" w:ascii="宋体" w:hAnsi="宋体" w:eastAsia="宋体" w:cs="Times New Roman"/>
                <w:b/>
                <w:bCs/>
                <w:iCs/>
                <w:sz w:val="24"/>
                <w:szCs w:val="24"/>
              </w:rPr>
              <w:t>附件清单（如有）</w:t>
            </w:r>
          </w:p>
        </w:tc>
        <w:tc>
          <w:tcPr>
            <w:tcW w:w="5812" w:type="dxa"/>
            <w:shd w:val="clear" w:color="auto" w:fill="auto"/>
          </w:tcPr>
          <w:p>
            <w:pPr>
              <w:spacing w:line="360" w:lineRule="auto"/>
              <w:rPr>
                <w:rFonts w:hint="eastAsia" w:ascii="宋体" w:hAnsi="宋体" w:eastAsia="宋体" w:cs="Times New Roman"/>
                <w:bCs/>
                <w:iCs/>
                <w:sz w:val="24"/>
                <w:szCs w:val="24"/>
              </w:rPr>
            </w:pPr>
            <w:r>
              <w:rPr>
                <w:rFonts w:hint="eastAsia" w:ascii="宋体" w:hAnsi="宋体" w:eastAsia="宋体" w:cs="Times New Roman"/>
                <w:bCs/>
                <w:iCs/>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shd w:val="clear" w:color="auto" w:fill="auto"/>
            <w:vAlign w:val="center"/>
          </w:tcPr>
          <w:p>
            <w:pPr>
              <w:spacing w:line="360" w:lineRule="auto"/>
              <w:rPr>
                <w:rFonts w:hint="eastAsia" w:ascii="宋体" w:hAnsi="宋体" w:eastAsia="宋体" w:cs="Times New Roman"/>
                <w:b/>
                <w:bCs/>
                <w:iCs/>
                <w:sz w:val="24"/>
                <w:szCs w:val="24"/>
              </w:rPr>
            </w:pPr>
            <w:r>
              <w:rPr>
                <w:rFonts w:hint="eastAsia" w:ascii="宋体" w:hAnsi="宋体" w:eastAsia="宋体" w:cs="Times New Roman"/>
                <w:b/>
                <w:bCs/>
                <w:iCs/>
                <w:sz w:val="24"/>
                <w:szCs w:val="24"/>
              </w:rPr>
              <w:t>日期</w:t>
            </w:r>
          </w:p>
        </w:tc>
        <w:tc>
          <w:tcPr>
            <w:tcW w:w="5812" w:type="dxa"/>
            <w:shd w:val="clear" w:color="auto" w:fill="auto"/>
            <w:vAlign w:val="center"/>
          </w:tcPr>
          <w:p>
            <w:pPr>
              <w:spacing w:line="360" w:lineRule="auto"/>
              <w:rPr>
                <w:rFonts w:hint="eastAsia" w:ascii="宋体" w:hAnsi="宋体" w:eastAsia="宋体" w:cs="Times New Roman"/>
                <w:iCs/>
                <w:sz w:val="24"/>
                <w:szCs w:val="24"/>
              </w:rPr>
            </w:pPr>
            <w:r>
              <w:rPr>
                <w:rFonts w:hint="eastAsia" w:ascii="宋体" w:hAnsi="宋体" w:eastAsia="宋体" w:cs="Times New Roman"/>
                <w:iCs/>
                <w:sz w:val="24"/>
                <w:szCs w:val="24"/>
              </w:rPr>
              <w:t>2024年11月13日</w:t>
            </w:r>
          </w:p>
        </w:tc>
      </w:tr>
    </w:tbl>
    <w:p>
      <w:pPr>
        <w:keepNext/>
        <w:keepLines/>
        <w:spacing w:before="260" w:after="260" w:line="360" w:lineRule="auto"/>
        <w:outlineLvl w:val="1"/>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g2OWVhMjk5MmUxODNlNGQ1OGZiYjkzYmZkNDY0NGMifQ=="/>
    <w:docVar w:name="KSO_WPS_MARK_KEY" w:val="af1e7e68-d337-4a99-a415-e19e6eb74671"/>
  </w:docVars>
  <w:rsids>
    <w:rsidRoot w:val="00EE26CD"/>
    <w:rsid w:val="0000466C"/>
    <w:rsid w:val="00007952"/>
    <w:rsid w:val="00014EDC"/>
    <w:rsid w:val="00014F2A"/>
    <w:rsid w:val="00021F69"/>
    <w:rsid w:val="00023F7B"/>
    <w:rsid w:val="000269F1"/>
    <w:rsid w:val="00026CD7"/>
    <w:rsid w:val="00026E2B"/>
    <w:rsid w:val="000270E5"/>
    <w:rsid w:val="000333DF"/>
    <w:rsid w:val="00042C46"/>
    <w:rsid w:val="000444E5"/>
    <w:rsid w:val="000528A8"/>
    <w:rsid w:val="0005452E"/>
    <w:rsid w:val="00063DB5"/>
    <w:rsid w:val="0006434F"/>
    <w:rsid w:val="00070593"/>
    <w:rsid w:val="00070C3B"/>
    <w:rsid w:val="00071B11"/>
    <w:rsid w:val="00081B36"/>
    <w:rsid w:val="000828F8"/>
    <w:rsid w:val="00086C90"/>
    <w:rsid w:val="000954FF"/>
    <w:rsid w:val="000A65EF"/>
    <w:rsid w:val="000B6FFD"/>
    <w:rsid w:val="000C2F52"/>
    <w:rsid w:val="000F6BEB"/>
    <w:rsid w:val="00103C4E"/>
    <w:rsid w:val="00111EF4"/>
    <w:rsid w:val="00113C72"/>
    <w:rsid w:val="00114CEA"/>
    <w:rsid w:val="001221B8"/>
    <w:rsid w:val="001304EB"/>
    <w:rsid w:val="001334C1"/>
    <w:rsid w:val="00136BC5"/>
    <w:rsid w:val="00143A57"/>
    <w:rsid w:val="00151B55"/>
    <w:rsid w:val="001672FF"/>
    <w:rsid w:val="001819EF"/>
    <w:rsid w:val="00181C37"/>
    <w:rsid w:val="00186DBB"/>
    <w:rsid w:val="0019352E"/>
    <w:rsid w:val="001965A6"/>
    <w:rsid w:val="001A125C"/>
    <w:rsid w:val="001B00D8"/>
    <w:rsid w:val="001B011E"/>
    <w:rsid w:val="001B508F"/>
    <w:rsid w:val="001B75FE"/>
    <w:rsid w:val="001B7B58"/>
    <w:rsid w:val="001C5EFE"/>
    <w:rsid w:val="001C7C07"/>
    <w:rsid w:val="001D5222"/>
    <w:rsid w:val="001D7A5D"/>
    <w:rsid w:val="001E2BC5"/>
    <w:rsid w:val="001E5E64"/>
    <w:rsid w:val="001E7F7C"/>
    <w:rsid w:val="001F2572"/>
    <w:rsid w:val="001F5B62"/>
    <w:rsid w:val="00202FC2"/>
    <w:rsid w:val="002118DC"/>
    <w:rsid w:val="00214C8F"/>
    <w:rsid w:val="002278FB"/>
    <w:rsid w:val="00232813"/>
    <w:rsid w:val="00233393"/>
    <w:rsid w:val="00234237"/>
    <w:rsid w:val="00234D03"/>
    <w:rsid w:val="00251EF8"/>
    <w:rsid w:val="002525E9"/>
    <w:rsid w:val="0025271B"/>
    <w:rsid w:val="00255B4A"/>
    <w:rsid w:val="00256250"/>
    <w:rsid w:val="002650F9"/>
    <w:rsid w:val="00267056"/>
    <w:rsid w:val="002739C7"/>
    <w:rsid w:val="00273BE7"/>
    <w:rsid w:val="00273D9E"/>
    <w:rsid w:val="0028148B"/>
    <w:rsid w:val="00286F7B"/>
    <w:rsid w:val="0029124B"/>
    <w:rsid w:val="0029285E"/>
    <w:rsid w:val="00293FBB"/>
    <w:rsid w:val="002950AE"/>
    <w:rsid w:val="00295236"/>
    <w:rsid w:val="002A15B6"/>
    <w:rsid w:val="002B0AD4"/>
    <w:rsid w:val="002B75F5"/>
    <w:rsid w:val="002C1C3B"/>
    <w:rsid w:val="002C23DD"/>
    <w:rsid w:val="002C3AD1"/>
    <w:rsid w:val="002D15D1"/>
    <w:rsid w:val="002D3753"/>
    <w:rsid w:val="002F1B04"/>
    <w:rsid w:val="002F4C46"/>
    <w:rsid w:val="002F6EAD"/>
    <w:rsid w:val="00301466"/>
    <w:rsid w:val="00307607"/>
    <w:rsid w:val="00307EC1"/>
    <w:rsid w:val="0031032E"/>
    <w:rsid w:val="003131C3"/>
    <w:rsid w:val="0031371B"/>
    <w:rsid w:val="00320D9D"/>
    <w:rsid w:val="00320EA7"/>
    <w:rsid w:val="00327CE4"/>
    <w:rsid w:val="00336191"/>
    <w:rsid w:val="00337604"/>
    <w:rsid w:val="00340A0E"/>
    <w:rsid w:val="003413FD"/>
    <w:rsid w:val="003426C0"/>
    <w:rsid w:val="003508D5"/>
    <w:rsid w:val="003524BC"/>
    <w:rsid w:val="0035572A"/>
    <w:rsid w:val="00362CD0"/>
    <w:rsid w:val="00363384"/>
    <w:rsid w:val="0037038A"/>
    <w:rsid w:val="003722F1"/>
    <w:rsid w:val="0037245D"/>
    <w:rsid w:val="003725D1"/>
    <w:rsid w:val="00376EB2"/>
    <w:rsid w:val="0038034C"/>
    <w:rsid w:val="00386F86"/>
    <w:rsid w:val="00397642"/>
    <w:rsid w:val="003A2EB2"/>
    <w:rsid w:val="003B13A4"/>
    <w:rsid w:val="003B4FEE"/>
    <w:rsid w:val="003C0892"/>
    <w:rsid w:val="003D2A88"/>
    <w:rsid w:val="003D2F4C"/>
    <w:rsid w:val="003D2F73"/>
    <w:rsid w:val="003D40E0"/>
    <w:rsid w:val="003F2062"/>
    <w:rsid w:val="003F2A5A"/>
    <w:rsid w:val="003F6D0B"/>
    <w:rsid w:val="00400B90"/>
    <w:rsid w:val="0040142B"/>
    <w:rsid w:val="00404723"/>
    <w:rsid w:val="004106EC"/>
    <w:rsid w:val="00411262"/>
    <w:rsid w:val="00415FC4"/>
    <w:rsid w:val="00416D7F"/>
    <w:rsid w:val="00420071"/>
    <w:rsid w:val="0042182D"/>
    <w:rsid w:val="00425BB1"/>
    <w:rsid w:val="0043062F"/>
    <w:rsid w:val="00432964"/>
    <w:rsid w:val="00433835"/>
    <w:rsid w:val="00467B9C"/>
    <w:rsid w:val="00470346"/>
    <w:rsid w:val="00472F77"/>
    <w:rsid w:val="00473F91"/>
    <w:rsid w:val="00482D5D"/>
    <w:rsid w:val="004859A7"/>
    <w:rsid w:val="00495655"/>
    <w:rsid w:val="004A0DBF"/>
    <w:rsid w:val="004A58CB"/>
    <w:rsid w:val="004B500C"/>
    <w:rsid w:val="004C3E41"/>
    <w:rsid w:val="004C6956"/>
    <w:rsid w:val="004D4156"/>
    <w:rsid w:val="004D614E"/>
    <w:rsid w:val="004E25DD"/>
    <w:rsid w:val="004E4CBB"/>
    <w:rsid w:val="004F3469"/>
    <w:rsid w:val="004F5C3F"/>
    <w:rsid w:val="00504DF9"/>
    <w:rsid w:val="00507071"/>
    <w:rsid w:val="00510286"/>
    <w:rsid w:val="00524D04"/>
    <w:rsid w:val="005261D4"/>
    <w:rsid w:val="00534D66"/>
    <w:rsid w:val="0054404C"/>
    <w:rsid w:val="005662F9"/>
    <w:rsid w:val="00572A6D"/>
    <w:rsid w:val="00582D78"/>
    <w:rsid w:val="00584526"/>
    <w:rsid w:val="00584D8F"/>
    <w:rsid w:val="00587DAB"/>
    <w:rsid w:val="00590DC4"/>
    <w:rsid w:val="005917EA"/>
    <w:rsid w:val="005953E9"/>
    <w:rsid w:val="005A0CBE"/>
    <w:rsid w:val="005A17E4"/>
    <w:rsid w:val="005A3CFE"/>
    <w:rsid w:val="005A4D77"/>
    <w:rsid w:val="005A5A95"/>
    <w:rsid w:val="005B17EF"/>
    <w:rsid w:val="005B3D04"/>
    <w:rsid w:val="005B628F"/>
    <w:rsid w:val="005C19C5"/>
    <w:rsid w:val="005C6678"/>
    <w:rsid w:val="005D087C"/>
    <w:rsid w:val="005D20DD"/>
    <w:rsid w:val="005E4F20"/>
    <w:rsid w:val="005E5F7A"/>
    <w:rsid w:val="005F2C62"/>
    <w:rsid w:val="005F3897"/>
    <w:rsid w:val="005F403A"/>
    <w:rsid w:val="005F7318"/>
    <w:rsid w:val="006016A0"/>
    <w:rsid w:val="00605119"/>
    <w:rsid w:val="00606A42"/>
    <w:rsid w:val="00623855"/>
    <w:rsid w:val="006258B8"/>
    <w:rsid w:val="00626FB3"/>
    <w:rsid w:val="0063129A"/>
    <w:rsid w:val="006323B5"/>
    <w:rsid w:val="00633851"/>
    <w:rsid w:val="0063785D"/>
    <w:rsid w:val="00642382"/>
    <w:rsid w:val="00643F90"/>
    <w:rsid w:val="0064637F"/>
    <w:rsid w:val="00653A71"/>
    <w:rsid w:val="00655835"/>
    <w:rsid w:val="00657992"/>
    <w:rsid w:val="00667FB5"/>
    <w:rsid w:val="00672C00"/>
    <w:rsid w:val="00686E4C"/>
    <w:rsid w:val="0069619A"/>
    <w:rsid w:val="006A2E11"/>
    <w:rsid w:val="006A3184"/>
    <w:rsid w:val="006B4F70"/>
    <w:rsid w:val="006E3B82"/>
    <w:rsid w:val="006E7372"/>
    <w:rsid w:val="006F32A2"/>
    <w:rsid w:val="006F3764"/>
    <w:rsid w:val="006F438E"/>
    <w:rsid w:val="00701E34"/>
    <w:rsid w:val="007118F2"/>
    <w:rsid w:val="00713A75"/>
    <w:rsid w:val="00733488"/>
    <w:rsid w:val="00735F4D"/>
    <w:rsid w:val="00746249"/>
    <w:rsid w:val="00751052"/>
    <w:rsid w:val="00751592"/>
    <w:rsid w:val="00756A97"/>
    <w:rsid w:val="00757362"/>
    <w:rsid w:val="0076183F"/>
    <w:rsid w:val="00770B3F"/>
    <w:rsid w:val="00771A91"/>
    <w:rsid w:val="00773213"/>
    <w:rsid w:val="00785284"/>
    <w:rsid w:val="0079430A"/>
    <w:rsid w:val="00794C8B"/>
    <w:rsid w:val="00795940"/>
    <w:rsid w:val="007A4905"/>
    <w:rsid w:val="007B196F"/>
    <w:rsid w:val="007B7001"/>
    <w:rsid w:val="007C39F3"/>
    <w:rsid w:val="007C7447"/>
    <w:rsid w:val="007C7D09"/>
    <w:rsid w:val="007E1F58"/>
    <w:rsid w:val="007E5ABA"/>
    <w:rsid w:val="007F2176"/>
    <w:rsid w:val="00806573"/>
    <w:rsid w:val="00814484"/>
    <w:rsid w:val="008160A1"/>
    <w:rsid w:val="00816CED"/>
    <w:rsid w:val="00821685"/>
    <w:rsid w:val="00827C6C"/>
    <w:rsid w:val="00836E8C"/>
    <w:rsid w:val="008453D5"/>
    <w:rsid w:val="00857E84"/>
    <w:rsid w:val="00873293"/>
    <w:rsid w:val="00875E95"/>
    <w:rsid w:val="008914C8"/>
    <w:rsid w:val="00894406"/>
    <w:rsid w:val="008A120E"/>
    <w:rsid w:val="008B14B5"/>
    <w:rsid w:val="008B4886"/>
    <w:rsid w:val="008C04C9"/>
    <w:rsid w:val="008C4D32"/>
    <w:rsid w:val="008C6B72"/>
    <w:rsid w:val="008C7588"/>
    <w:rsid w:val="008D2B96"/>
    <w:rsid w:val="008D3726"/>
    <w:rsid w:val="008E245B"/>
    <w:rsid w:val="008F159C"/>
    <w:rsid w:val="008F5F3A"/>
    <w:rsid w:val="008F61AC"/>
    <w:rsid w:val="00900BAF"/>
    <w:rsid w:val="00906322"/>
    <w:rsid w:val="009108F5"/>
    <w:rsid w:val="00912312"/>
    <w:rsid w:val="0091368F"/>
    <w:rsid w:val="0091400E"/>
    <w:rsid w:val="009157EF"/>
    <w:rsid w:val="009224F5"/>
    <w:rsid w:val="00924412"/>
    <w:rsid w:val="0092574C"/>
    <w:rsid w:val="00941808"/>
    <w:rsid w:val="00942951"/>
    <w:rsid w:val="009457DF"/>
    <w:rsid w:val="0095035C"/>
    <w:rsid w:val="009553B1"/>
    <w:rsid w:val="0096018C"/>
    <w:rsid w:val="00966C22"/>
    <w:rsid w:val="009678BF"/>
    <w:rsid w:val="009776A7"/>
    <w:rsid w:val="00980694"/>
    <w:rsid w:val="009868C0"/>
    <w:rsid w:val="00991961"/>
    <w:rsid w:val="009C06A4"/>
    <w:rsid w:val="009C63B1"/>
    <w:rsid w:val="009E0B46"/>
    <w:rsid w:val="009E3D68"/>
    <w:rsid w:val="00A03AA1"/>
    <w:rsid w:val="00A04996"/>
    <w:rsid w:val="00A05042"/>
    <w:rsid w:val="00A10F5B"/>
    <w:rsid w:val="00A16F6F"/>
    <w:rsid w:val="00A203B8"/>
    <w:rsid w:val="00A31B20"/>
    <w:rsid w:val="00A32B73"/>
    <w:rsid w:val="00A32ED1"/>
    <w:rsid w:val="00A37775"/>
    <w:rsid w:val="00A40825"/>
    <w:rsid w:val="00A41A06"/>
    <w:rsid w:val="00A56101"/>
    <w:rsid w:val="00A57863"/>
    <w:rsid w:val="00A6487E"/>
    <w:rsid w:val="00A70EC0"/>
    <w:rsid w:val="00A71BFD"/>
    <w:rsid w:val="00A76F0C"/>
    <w:rsid w:val="00A878CB"/>
    <w:rsid w:val="00A904FC"/>
    <w:rsid w:val="00A97143"/>
    <w:rsid w:val="00A97D76"/>
    <w:rsid w:val="00AA5E76"/>
    <w:rsid w:val="00AB03BB"/>
    <w:rsid w:val="00AB45D6"/>
    <w:rsid w:val="00AD237A"/>
    <w:rsid w:val="00AD445E"/>
    <w:rsid w:val="00AD4B08"/>
    <w:rsid w:val="00AE00B6"/>
    <w:rsid w:val="00AE3EE3"/>
    <w:rsid w:val="00AE5362"/>
    <w:rsid w:val="00AF6EE4"/>
    <w:rsid w:val="00B07508"/>
    <w:rsid w:val="00B12278"/>
    <w:rsid w:val="00B27C19"/>
    <w:rsid w:val="00B36A53"/>
    <w:rsid w:val="00B4298C"/>
    <w:rsid w:val="00B446BA"/>
    <w:rsid w:val="00B47853"/>
    <w:rsid w:val="00B57667"/>
    <w:rsid w:val="00B577E9"/>
    <w:rsid w:val="00B61BCB"/>
    <w:rsid w:val="00B67838"/>
    <w:rsid w:val="00B70645"/>
    <w:rsid w:val="00B73AED"/>
    <w:rsid w:val="00B855F5"/>
    <w:rsid w:val="00B8596B"/>
    <w:rsid w:val="00B86901"/>
    <w:rsid w:val="00B87C18"/>
    <w:rsid w:val="00B922C8"/>
    <w:rsid w:val="00B948F2"/>
    <w:rsid w:val="00B95F5D"/>
    <w:rsid w:val="00BB20B3"/>
    <w:rsid w:val="00BE0789"/>
    <w:rsid w:val="00BE20BB"/>
    <w:rsid w:val="00BE277C"/>
    <w:rsid w:val="00BE54C4"/>
    <w:rsid w:val="00BE5928"/>
    <w:rsid w:val="00BE5D9C"/>
    <w:rsid w:val="00BF1133"/>
    <w:rsid w:val="00C001F3"/>
    <w:rsid w:val="00C104B8"/>
    <w:rsid w:val="00C1636B"/>
    <w:rsid w:val="00C16D40"/>
    <w:rsid w:val="00C207C2"/>
    <w:rsid w:val="00C32714"/>
    <w:rsid w:val="00C37AAB"/>
    <w:rsid w:val="00C402F5"/>
    <w:rsid w:val="00C40B1A"/>
    <w:rsid w:val="00C42788"/>
    <w:rsid w:val="00C47614"/>
    <w:rsid w:val="00C5254A"/>
    <w:rsid w:val="00C52F40"/>
    <w:rsid w:val="00C531CC"/>
    <w:rsid w:val="00C55E93"/>
    <w:rsid w:val="00C56171"/>
    <w:rsid w:val="00C70DF2"/>
    <w:rsid w:val="00C7174C"/>
    <w:rsid w:val="00C860DF"/>
    <w:rsid w:val="00C86622"/>
    <w:rsid w:val="00C86ED0"/>
    <w:rsid w:val="00C91519"/>
    <w:rsid w:val="00C9168C"/>
    <w:rsid w:val="00C91FD9"/>
    <w:rsid w:val="00C951AA"/>
    <w:rsid w:val="00CC092E"/>
    <w:rsid w:val="00CC1A93"/>
    <w:rsid w:val="00CC4C07"/>
    <w:rsid w:val="00CC4FD6"/>
    <w:rsid w:val="00CC527E"/>
    <w:rsid w:val="00CC6538"/>
    <w:rsid w:val="00CC78CC"/>
    <w:rsid w:val="00CD419D"/>
    <w:rsid w:val="00CD5CAD"/>
    <w:rsid w:val="00CD65D6"/>
    <w:rsid w:val="00CD66E0"/>
    <w:rsid w:val="00CE6D72"/>
    <w:rsid w:val="00CF6F6C"/>
    <w:rsid w:val="00D0453D"/>
    <w:rsid w:val="00D100A7"/>
    <w:rsid w:val="00D12BD7"/>
    <w:rsid w:val="00D13CFA"/>
    <w:rsid w:val="00D170E1"/>
    <w:rsid w:val="00D208A4"/>
    <w:rsid w:val="00D327C1"/>
    <w:rsid w:val="00D37CB6"/>
    <w:rsid w:val="00D40C13"/>
    <w:rsid w:val="00D41E36"/>
    <w:rsid w:val="00D5622E"/>
    <w:rsid w:val="00D7427C"/>
    <w:rsid w:val="00D76F2A"/>
    <w:rsid w:val="00D84DF8"/>
    <w:rsid w:val="00D93D53"/>
    <w:rsid w:val="00D96FB9"/>
    <w:rsid w:val="00DA4962"/>
    <w:rsid w:val="00DA5894"/>
    <w:rsid w:val="00DB1D3C"/>
    <w:rsid w:val="00DB61F2"/>
    <w:rsid w:val="00DD2242"/>
    <w:rsid w:val="00DD27C7"/>
    <w:rsid w:val="00DE31A5"/>
    <w:rsid w:val="00DE7F6D"/>
    <w:rsid w:val="00E0172D"/>
    <w:rsid w:val="00E07C47"/>
    <w:rsid w:val="00E24E41"/>
    <w:rsid w:val="00E257CD"/>
    <w:rsid w:val="00E32A31"/>
    <w:rsid w:val="00E53347"/>
    <w:rsid w:val="00E53783"/>
    <w:rsid w:val="00E61A61"/>
    <w:rsid w:val="00E64488"/>
    <w:rsid w:val="00E668C5"/>
    <w:rsid w:val="00E71CA5"/>
    <w:rsid w:val="00E803AB"/>
    <w:rsid w:val="00E82CD3"/>
    <w:rsid w:val="00E9237B"/>
    <w:rsid w:val="00E93DA5"/>
    <w:rsid w:val="00EA3651"/>
    <w:rsid w:val="00EA6288"/>
    <w:rsid w:val="00EC10E4"/>
    <w:rsid w:val="00EC1ED4"/>
    <w:rsid w:val="00EC28FD"/>
    <w:rsid w:val="00ED3AB2"/>
    <w:rsid w:val="00ED53EA"/>
    <w:rsid w:val="00EE02A6"/>
    <w:rsid w:val="00EE16DD"/>
    <w:rsid w:val="00EE26CD"/>
    <w:rsid w:val="00EE59EB"/>
    <w:rsid w:val="00EE7C85"/>
    <w:rsid w:val="00F06B8F"/>
    <w:rsid w:val="00F1256C"/>
    <w:rsid w:val="00F142F3"/>
    <w:rsid w:val="00F32FC6"/>
    <w:rsid w:val="00F34555"/>
    <w:rsid w:val="00F40F77"/>
    <w:rsid w:val="00F42E00"/>
    <w:rsid w:val="00F50F83"/>
    <w:rsid w:val="00F51380"/>
    <w:rsid w:val="00F5385A"/>
    <w:rsid w:val="00F60682"/>
    <w:rsid w:val="00F6394E"/>
    <w:rsid w:val="00F66E15"/>
    <w:rsid w:val="00F743F0"/>
    <w:rsid w:val="00F744EC"/>
    <w:rsid w:val="00F74675"/>
    <w:rsid w:val="00F76634"/>
    <w:rsid w:val="00F870FA"/>
    <w:rsid w:val="00F87C66"/>
    <w:rsid w:val="00F93AD8"/>
    <w:rsid w:val="00F9738B"/>
    <w:rsid w:val="00FA56AE"/>
    <w:rsid w:val="00FB28D9"/>
    <w:rsid w:val="00FB28F5"/>
    <w:rsid w:val="00FB4A0F"/>
    <w:rsid w:val="00FC12C0"/>
    <w:rsid w:val="00FC19DF"/>
    <w:rsid w:val="00FC2937"/>
    <w:rsid w:val="00FC55FE"/>
    <w:rsid w:val="00FD225E"/>
    <w:rsid w:val="00FD4545"/>
    <w:rsid w:val="00FE33A1"/>
    <w:rsid w:val="00FE6D51"/>
    <w:rsid w:val="00FE6ED9"/>
    <w:rsid w:val="00FF291F"/>
    <w:rsid w:val="00FF4F78"/>
    <w:rsid w:val="01FB45D3"/>
    <w:rsid w:val="0EF7423C"/>
    <w:rsid w:val="15152076"/>
    <w:rsid w:val="26BA4EDF"/>
    <w:rsid w:val="2F064DB0"/>
    <w:rsid w:val="305625C9"/>
    <w:rsid w:val="32242D99"/>
    <w:rsid w:val="3945455B"/>
    <w:rsid w:val="467F0394"/>
    <w:rsid w:val="4CF7225E"/>
    <w:rsid w:val="5E151E13"/>
    <w:rsid w:val="5F5D1582"/>
    <w:rsid w:val="60103FAD"/>
    <w:rsid w:val="610B6261"/>
    <w:rsid w:val="685428D3"/>
    <w:rsid w:val="7D9832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kern w:val="2"/>
      <w:sz w:val="18"/>
      <w:szCs w:val="18"/>
    </w:rPr>
  </w:style>
  <w:style w:type="character" w:customStyle="1" w:styleId="12">
    <w:name w:val="页脚 字符"/>
    <w:basedOn w:val="9"/>
    <w:link w:val="4"/>
    <w:qFormat/>
    <w:uiPriority w:val="99"/>
    <w:rPr>
      <w:kern w:val="2"/>
      <w:sz w:val="18"/>
      <w:szCs w:val="18"/>
    </w:rPr>
  </w:style>
  <w:style w:type="paragraph" w:styleId="13">
    <w:name w:val="List Paragraph"/>
    <w:basedOn w:val="1"/>
    <w:qFormat/>
    <w:uiPriority w:val="99"/>
    <w:pPr>
      <w:ind w:firstLine="420" w:firstLineChars="200"/>
    </w:pPr>
  </w:style>
  <w:style w:type="character" w:customStyle="1" w:styleId="14">
    <w:name w:val="批注文字 字符"/>
    <w:basedOn w:val="9"/>
    <w:link w:val="2"/>
    <w:semiHidden/>
    <w:qFormat/>
    <w:uiPriority w:val="99"/>
    <w:rPr>
      <w:kern w:val="2"/>
      <w:sz w:val="21"/>
      <w:szCs w:val="22"/>
    </w:rPr>
  </w:style>
  <w:style w:type="character" w:customStyle="1" w:styleId="15">
    <w:name w:val="批注主题 字符"/>
    <w:basedOn w:val="14"/>
    <w:link w:val="6"/>
    <w:semiHidden/>
    <w:qFormat/>
    <w:uiPriority w:val="99"/>
    <w:rPr>
      <w:b/>
      <w:bCs/>
      <w:kern w:val="2"/>
      <w:sz w:val="21"/>
      <w:szCs w:val="22"/>
    </w:rPr>
  </w:style>
  <w:style w:type="character" w:customStyle="1" w:styleId="16">
    <w:name w:val="批注框文本 字符"/>
    <w:basedOn w:val="9"/>
    <w:link w:val="3"/>
    <w:semiHidden/>
    <w:qFormat/>
    <w:uiPriority w:val="99"/>
    <w:rPr>
      <w:kern w:val="2"/>
      <w:sz w:val="18"/>
      <w:szCs w:val="18"/>
    </w:rPr>
  </w:style>
  <w:style w:type="paragraph" w:customStyle="1" w:styleId="17">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8">
    <w:name w:val="Revision"/>
    <w:hidden/>
    <w:unhideWhenUsed/>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B10F5-BFF1-496E-96CE-F79E3F307CAF}">
  <ds:schemaRefs/>
</ds:datastoreItem>
</file>

<file path=docProps/app.xml><?xml version="1.0" encoding="utf-8"?>
<Properties xmlns="http://schemas.openxmlformats.org/officeDocument/2006/extended-properties" xmlns:vt="http://schemas.openxmlformats.org/officeDocument/2006/docPropsVTypes">
  <Template>Normal</Template>
  <Pages>5</Pages>
  <Words>2288</Words>
  <Characters>2525</Characters>
  <Lines>19</Lines>
  <Paragraphs>5</Paragraphs>
  <TotalTime>7</TotalTime>
  <ScaleCrop>false</ScaleCrop>
  <LinksUpToDate>false</LinksUpToDate>
  <CharactersWithSpaces>2608</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2024-11-13T10:22:00Z</dcterms:created>
  <dc:creator>Li Xiang</dc:creator>
  <cp:lastModifiedBy>wangx</cp:lastModifiedBy>
  <dcterms:modified xsi:type="dcterms:W3CDTF">2024-11-13T12:06:20Z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35F73EA606DC466EB516C023EDBD4F33</vt:lpwstr>
  </property>
</Properties>
</file>