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FD7E0">
      <w:pPr>
        <w:spacing w:before="156" w:beforeLines="50" w:after="156" w:afterLines="50" w:line="400" w:lineRule="exac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 xml:space="preserve">证券代码： </w:t>
      </w:r>
      <w:r>
        <w:rPr>
          <w:rFonts w:asciiTheme="minorEastAsia" w:hAnsiTheme="minorEastAsia" w:eastAsiaTheme="minorEastAsia"/>
          <w:bCs/>
          <w:iCs/>
          <w:color w:val="000000"/>
          <w:sz w:val="24"/>
        </w:rPr>
        <w:t>688107</w:t>
      </w:r>
      <w:r>
        <w:rPr>
          <w:rFonts w:hint="eastAsia" w:asciiTheme="minorEastAsia" w:hAnsiTheme="minorEastAsia" w:eastAsiaTheme="minorEastAsia"/>
          <w:bCs/>
          <w:iCs/>
          <w:color w:val="000000"/>
          <w:sz w:val="24"/>
        </w:rPr>
        <w:t xml:space="preserve">        </w:t>
      </w:r>
      <w:r>
        <w:rPr>
          <w:rFonts w:asciiTheme="minorEastAsia" w:hAnsiTheme="minorEastAsia" w:eastAsiaTheme="minorEastAsia"/>
          <w:bCs/>
          <w:iCs/>
          <w:color w:val="000000"/>
          <w:sz w:val="24"/>
        </w:rPr>
        <w:t xml:space="preserve">   </w:t>
      </w:r>
      <w:r>
        <w:rPr>
          <w:rFonts w:hint="eastAsia" w:asciiTheme="minorEastAsia" w:hAnsiTheme="minorEastAsia" w:eastAsiaTheme="minorEastAsia"/>
          <w:bCs/>
          <w:iCs/>
          <w:color w:val="000000"/>
          <w:sz w:val="24"/>
        </w:rPr>
        <w:t xml:space="preserve">    </w:t>
      </w:r>
      <w:r>
        <w:rPr>
          <w:rFonts w:asciiTheme="minorEastAsia" w:hAnsiTheme="minorEastAsia" w:eastAsiaTheme="minorEastAsia"/>
          <w:bCs/>
          <w:iCs/>
          <w:color w:val="000000"/>
          <w:sz w:val="24"/>
        </w:rPr>
        <w:t xml:space="preserve">             </w:t>
      </w:r>
      <w:r>
        <w:rPr>
          <w:rFonts w:hint="eastAsia" w:asciiTheme="minorEastAsia" w:hAnsiTheme="minorEastAsia" w:eastAsiaTheme="minorEastAsia"/>
          <w:bCs/>
          <w:iCs/>
          <w:color w:val="000000"/>
          <w:sz w:val="24"/>
        </w:rPr>
        <w:t xml:space="preserve">    证券简称：安路科技</w:t>
      </w:r>
    </w:p>
    <w:p w14:paraId="00C58B53">
      <w:pPr>
        <w:spacing w:before="312" w:beforeLines="100" w:after="156" w:afterLines="50" w:line="400" w:lineRule="exact"/>
        <w:jc w:val="center"/>
        <w:rPr>
          <w:rFonts w:asciiTheme="minorEastAsia" w:hAnsiTheme="minorEastAsia" w:eastAsiaTheme="minorEastAsia"/>
          <w:b/>
          <w:bCs/>
          <w:iCs/>
          <w:color w:val="000000"/>
          <w:sz w:val="32"/>
          <w:szCs w:val="32"/>
        </w:rPr>
      </w:pPr>
      <w:r>
        <w:rPr>
          <w:rFonts w:hint="eastAsia" w:asciiTheme="minorEastAsia" w:hAnsiTheme="minorEastAsia" w:eastAsiaTheme="minorEastAsia"/>
          <w:b/>
          <w:bCs/>
          <w:iCs/>
          <w:color w:val="000000"/>
          <w:sz w:val="32"/>
          <w:szCs w:val="32"/>
        </w:rPr>
        <w:t>上海安路信息科技股份有限公司</w:t>
      </w:r>
    </w:p>
    <w:p w14:paraId="72FF1E46">
      <w:pPr>
        <w:spacing w:before="156" w:beforeLines="50" w:after="156" w:afterLines="50" w:line="400" w:lineRule="exact"/>
        <w:jc w:val="center"/>
        <w:rPr>
          <w:rFonts w:asciiTheme="minorEastAsia" w:hAnsiTheme="minorEastAsia" w:eastAsiaTheme="minorEastAsia"/>
          <w:b/>
          <w:bCs/>
          <w:iCs/>
          <w:color w:val="000000"/>
          <w:sz w:val="32"/>
          <w:szCs w:val="32"/>
        </w:rPr>
      </w:pPr>
      <w:r>
        <w:rPr>
          <w:rFonts w:hint="eastAsia" w:asciiTheme="minorEastAsia" w:hAnsiTheme="minorEastAsia" w:eastAsiaTheme="minorEastAsia"/>
          <w:b/>
          <w:bCs/>
          <w:iCs/>
          <w:color w:val="000000"/>
          <w:sz w:val="32"/>
          <w:szCs w:val="32"/>
        </w:rPr>
        <w:t>投资者关系活动记录表</w:t>
      </w:r>
    </w:p>
    <w:p w14:paraId="1EE8DBF4">
      <w:pPr>
        <w:spacing w:line="400" w:lineRule="exact"/>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 xml:space="preserve">                                                      编号：2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4</w:t>
      </w:r>
      <w:r>
        <w:rPr>
          <w:rFonts w:hint="eastAsia" w:asciiTheme="minorEastAsia" w:hAnsiTheme="minorEastAsia" w:eastAsiaTheme="minorEastAsia"/>
          <w:bCs/>
          <w:iCs/>
          <w:color w:val="000000"/>
          <w:sz w:val="24"/>
        </w:rPr>
        <w:t>-0</w:t>
      </w:r>
      <w:r>
        <w:rPr>
          <w:rFonts w:asciiTheme="minorEastAsia" w:hAnsiTheme="minorEastAsia" w:eastAsiaTheme="minorEastAsia"/>
          <w:bCs/>
          <w:iCs/>
          <w:color w:val="000000"/>
          <w:sz w:val="24"/>
        </w:rPr>
        <w:t>0</w:t>
      </w:r>
      <w:r>
        <w:rPr>
          <w:rFonts w:hint="eastAsia" w:asciiTheme="minorEastAsia" w:hAnsiTheme="minorEastAsia" w:eastAsiaTheme="minorEastAsia"/>
          <w:bCs/>
          <w:iCs/>
          <w:color w:val="000000"/>
          <w:sz w:val="24"/>
          <w:lang w:val="en-US" w:eastAsia="zh-CN"/>
        </w:rPr>
        <w:t>3</w:t>
      </w:r>
    </w:p>
    <w:tbl>
      <w:tblPr>
        <w:tblStyle w:val="5"/>
        <w:tblW w:w="892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7302"/>
      </w:tblGrid>
      <w:tr w14:paraId="12C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14:paraId="6E320367">
            <w:pPr>
              <w:spacing w:line="480" w:lineRule="atLeast"/>
              <w:rPr>
                <w:rFonts w:asciiTheme="minorEastAsia" w:hAnsiTheme="minorEastAsia" w:eastAsiaTheme="minorEastAsia"/>
                <w:b/>
                <w:bCs/>
                <w:iCs/>
                <w:color w:val="000000"/>
                <w:sz w:val="24"/>
              </w:rPr>
            </w:pPr>
          </w:p>
          <w:p w14:paraId="67BB642A">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投资者关系活动类别</w:t>
            </w:r>
          </w:p>
        </w:tc>
        <w:tc>
          <w:tcPr>
            <w:tcW w:w="7302" w:type="dxa"/>
          </w:tcPr>
          <w:p w14:paraId="4D677F29">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□特定对象调研        □分析师会议</w:t>
            </w:r>
          </w:p>
          <w:p w14:paraId="3EAE0123">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□媒体采访            √业绩说明会</w:t>
            </w:r>
          </w:p>
          <w:p w14:paraId="414675D1">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□新闻发布会          □路演活动</w:t>
            </w:r>
          </w:p>
          <w:p w14:paraId="4943E464">
            <w:pPr>
              <w:tabs>
                <w:tab w:val="left" w:pos="2688"/>
                <w:tab w:val="center" w:pos="3199"/>
              </w:tabs>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□现场参观</w:t>
            </w:r>
            <w:r>
              <w:rPr>
                <w:rFonts w:asciiTheme="minorEastAsia" w:hAnsiTheme="minorEastAsia" w:eastAsiaTheme="minorEastAsia"/>
                <w:bCs/>
                <w:iCs/>
                <w:color w:val="000000"/>
                <w:sz w:val="24"/>
              </w:rPr>
              <w:tab/>
            </w:r>
            <w:r>
              <w:rPr>
                <w:rFonts w:hint="eastAsia" w:asciiTheme="minorEastAsia" w:hAnsiTheme="minorEastAsia" w:eastAsiaTheme="minorEastAsia"/>
                <w:bCs/>
                <w:iCs/>
                <w:color w:val="000000"/>
                <w:sz w:val="24"/>
              </w:rPr>
              <w:t>□电话会议</w:t>
            </w:r>
          </w:p>
          <w:p w14:paraId="6CF58A23">
            <w:pPr>
              <w:tabs>
                <w:tab w:val="center" w:pos="3199"/>
              </w:tabs>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□其他（请文字说明其他活动内容）</w:t>
            </w:r>
          </w:p>
        </w:tc>
      </w:tr>
      <w:tr w14:paraId="3146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26DCC09C">
            <w:pPr>
              <w:spacing w:line="480" w:lineRule="atLeast"/>
              <w:jc w:val="center"/>
              <w:rPr>
                <w:rFonts w:hint="eastAsia"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参与单位</w:t>
            </w:r>
          </w:p>
          <w:p w14:paraId="303D1A82">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名称</w:t>
            </w:r>
          </w:p>
        </w:tc>
        <w:tc>
          <w:tcPr>
            <w:tcW w:w="7302" w:type="dxa"/>
          </w:tcPr>
          <w:p w14:paraId="50FDB0D4">
            <w:pPr>
              <w:spacing w:line="560" w:lineRule="exac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参与本次业绩说明会的线上投资者</w:t>
            </w:r>
          </w:p>
        </w:tc>
      </w:tr>
      <w:tr w14:paraId="094E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14:paraId="5A37665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时间</w:t>
            </w:r>
          </w:p>
        </w:tc>
        <w:tc>
          <w:tcPr>
            <w:tcW w:w="7302" w:type="dxa"/>
            <w:vAlign w:val="center"/>
          </w:tcPr>
          <w:p w14:paraId="748A8552">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4</w:t>
            </w:r>
            <w:r>
              <w:rPr>
                <w:rFonts w:hint="eastAsia"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lang w:val="en-US" w:eastAsia="zh-CN"/>
              </w:rPr>
              <w:t>11</w:t>
            </w:r>
            <w:r>
              <w:rPr>
                <w:rFonts w:hint="eastAsia"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13</w:t>
            </w:r>
            <w:r>
              <w:rPr>
                <w:rFonts w:hint="eastAsia" w:asciiTheme="minorEastAsia" w:hAnsiTheme="minorEastAsia" w:eastAsiaTheme="minorEastAsia"/>
                <w:bCs/>
                <w:iCs/>
                <w:color w:val="000000"/>
                <w:sz w:val="24"/>
              </w:rPr>
              <w:t>日下午1</w:t>
            </w:r>
            <w:r>
              <w:rPr>
                <w:rFonts w:hint="eastAsia" w:asciiTheme="minorEastAsia" w:hAnsiTheme="minorEastAsia" w:eastAsiaTheme="minorEastAsia"/>
                <w:bCs/>
                <w:iCs/>
                <w:color w:val="000000"/>
                <w:sz w:val="24"/>
                <w:lang w:val="en-US" w:eastAsia="zh-CN"/>
              </w:rPr>
              <w:t>5</w:t>
            </w:r>
            <w:r>
              <w:rPr>
                <w:rFonts w:hint="eastAsia" w:asciiTheme="minorEastAsia" w:hAnsiTheme="minorEastAsia" w:eastAsiaTheme="minorEastAsia"/>
                <w:bCs/>
                <w:iCs/>
                <w:color w:val="000000"/>
                <w:sz w:val="24"/>
              </w:rPr>
              <w:t>:0</w:t>
            </w:r>
            <w:r>
              <w:rPr>
                <w:rFonts w:asciiTheme="minorEastAsia" w:hAnsiTheme="minorEastAsia" w:eastAsiaTheme="minorEastAsia"/>
                <w:bCs/>
                <w:iCs/>
                <w:color w:val="000000"/>
                <w:sz w:val="24"/>
              </w:rPr>
              <w:t>0</w:t>
            </w:r>
            <w:r>
              <w:rPr>
                <w:rFonts w:hint="eastAsia" w:asciiTheme="minorEastAsia" w:hAnsiTheme="minorEastAsia" w:eastAsiaTheme="minorEastAsia"/>
                <w:bCs/>
                <w:iCs/>
                <w:color w:val="000000"/>
                <w:sz w:val="24"/>
              </w:rPr>
              <w:t>-</w:t>
            </w:r>
            <w:r>
              <w:rPr>
                <w:rFonts w:asciiTheme="minorEastAsia" w:hAnsiTheme="minorEastAsia" w:eastAsiaTheme="minorEastAsia"/>
                <w:bCs/>
                <w:iCs/>
                <w:color w:val="000000"/>
                <w:sz w:val="24"/>
              </w:rPr>
              <w:t>1</w:t>
            </w:r>
            <w:r>
              <w:rPr>
                <w:rFonts w:hint="eastAsia" w:asciiTheme="minorEastAsia" w:hAnsiTheme="minorEastAsia" w:eastAsiaTheme="minorEastAsia"/>
                <w:bCs/>
                <w:iCs/>
                <w:color w:val="000000"/>
                <w:sz w:val="24"/>
                <w:lang w:val="en-US" w:eastAsia="zh-CN"/>
              </w:rPr>
              <w:t>6</w:t>
            </w:r>
            <w:r>
              <w:rPr>
                <w:rFonts w:hint="eastAsia" w:asciiTheme="minorEastAsia" w:hAnsiTheme="minorEastAsia" w:eastAsiaTheme="minorEastAsia"/>
                <w:bCs/>
                <w:iCs/>
                <w:color w:val="000000"/>
                <w:sz w:val="24"/>
              </w:rPr>
              <w:t>:</w:t>
            </w:r>
            <w:r>
              <w:rPr>
                <w:rFonts w:hint="eastAsia" w:asciiTheme="minorEastAsia" w:hAnsiTheme="minorEastAsia" w:eastAsiaTheme="minorEastAsia"/>
                <w:bCs/>
                <w:iCs/>
                <w:color w:val="000000"/>
                <w:sz w:val="24"/>
                <w:lang w:val="en-US" w:eastAsia="zh-CN"/>
              </w:rPr>
              <w:t>3</w:t>
            </w:r>
            <w:r>
              <w:rPr>
                <w:rFonts w:asciiTheme="minorEastAsia" w:hAnsiTheme="minorEastAsia" w:eastAsiaTheme="minorEastAsia"/>
                <w:bCs/>
                <w:iCs/>
                <w:color w:val="000000"/>
                <w:sz w:val="24"/>
              </w:rPr>
              <w:t>0</w:t>
            </w:r>
          </w:p>
        </w:tc>
      </w:tr>
      <w:tr w14:paraId="2099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3" w:type="dxa"/>
          </w:tcPr>
          <w:p w14:paraId="5BAE623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地点</w:t>
            </w:r>
          </w:p>
        </w:tc>
        <w:tc>
          <w:tcPr>
            <w:tcW w:w="7302" w:type="dxa"/>
            <w:vAlign w:val="center"/>
          </w:tcPr>
          <w:p w14:paraId="68D383B4">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上海证券交易所上证路演中心</w:t>
            </w:r>
          </w:p>
          <w:p w14:paraId="6CB9A192">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（http://roadshow.sseinfo.com）</w:t>
            </w:r>
          </w:p>
        </w:tc>
      </w:tr>
      <w:tr w14:paraId="0302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14:paraId="296E1731">
            <w:pPr>
              <w:spacing w:line="480" w:lineRule="atLeast"/>
              <w:jc w:val="center"/>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上市公司参加人员姓名</w:t>
            </w:r>
          </w:p>
        </w:tc>
        <w:tc>
          <w:tcPr>
            <w:tcW w:w="7302" w:type="dxa"/>
            <w:vAlign w:val="center"/>
          </w:tcPr>
          <w:p w14:paraId="398A7A6B">
            <w:pPr>
              <w:spacing w:line="360" w:lineRule="auto"/>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董事、总经理：</w:t>
            </w:r>
            <w:r>
              <w:rPr>
                <w:rFonts w:hint="eastAsia" w:asciiTheme="minorEastAsia" w:hAnsiTheme="minorEastAsia" w:eastAsiaTheme="minorEastAsia"/>
                <w:bCs/>
                <w:iCs/>
                <w:color w:val="000000"/>
                <w:sz w:val="24"/>
                <w:lang w:val="en-US" w:eastAsia="zh-CN"/>
              </w:rPr>
              <w:t>文华武</w:t>
            </w:r>
          </w:p>
          <w:p w14:paraId="3288DF14">
            <w:pPr>
              <w:spacing w:line="360" w:lineRule="auto"/>
              <w:rPr>
                <w:rFonts w:hint="default" w:asciiTheme="minorEastAsia" w:hAnsiTheme="minorEastAsia" w:eastAsiaTheme="minorEastAsia"/>
                <w:bCs/>
                <w:iCs/>
                <w:color w:val="000000"/>
                <w:sz w:val="24"/>
                <w:lang w:val="en-US" w:eastAsia="zh-CN"/>
              </w:rPr>
            </w:pPr>
            <w:r>
              <w:rPr>
                <w:rFonts w:hint="eastAsia" w:asciiTheme="minorEastAsia" w:hAnsiTheme="minorEastAsia" w:eastAsiaTheme="minorEastAsia"/>
                <w:bCs/>
                <w:iCs/>
                <w:color w:val="000000"/>
                <w:sz w:val="24"/>
                <w:lang w:val="en-US" w:eastAsia="zh-CN"/>
              </w:rPr>
              <w:t>副总经理、</w:t>
            </w:r>
            <w:r>
              <w:rPr>
                <w:rFonts w:hint="eastAsia" w:asciiTheme="minorEastAsia" w:hAnsiTheme="minorEastAsia" w:eastAsiaTheme="minorEastAsia"/>
                <w:bCs/>
                <w:iCs/>
                <w:color w:val="000000"/>
                <w:sz w:val="24"/>
              </w:rPr>
              <w:t>财务总监</w:t>
            </w:r>
            <w:r>
              <w:rPr>
                <w:rFonts w:hint="eastAsia" w:asciiTheme="minorEastAsia" w:hAnsiTheme="minorEastAsia" w:eastAsiaTheme="minorEastAsia"/>
                <w:bCs/>
                <w:iCs/>
                <w:color w:val="000000"/>
                <w:sz w:val="24"/>
                <w:lang w:eastAsia="zh-CN"/>
              </w:rPr>
              <w:t>：</w:t>
            </w:r>
            <w:r>
              <w:rPr>
                <w:rFonts w:hint="eastAsia" w:asciiTheme="minorEastAsia" w:hAnsiTheme="minorEastAsia" w:eastAsiaTheme="minorEastAsia"/>
                <w:bCs/>
                <w:iCs/>
                <w:color w:val="000000"/>
                <w:sz w:val="24"/>
                <w:lang w:val="en-US" w:eastAsia="zh-CN"/>
              </w:rPr>
              <w:t>郑成</w:t>
            </w:r>
          </w:p>
          <w:p w14:paraId="3D0886F0">
            <w:pPr>
              <w:spacing w:line="360" w:lineRule="auto"/>
              <w:rPr>
                <w:rFonts w:hint="eastAsia" w:asciiTheme="minorEastAsia" w:hAnsiTheme="minorEastAsia" w:eastAsiaTheme="minorEastAsia"/>
                <w:bCs/>
                <w:iCs/>
                <w:color w:val="000000"/>
                <w:sz w:val="24"/>
                <w:lang w:eastAsia="zh-CN"/>
              </w:rPr>
            </w:pPr>
            <w:r>
              <w:rPr>
                <w:rFonts w:hint="eastAsia" w:asciiTheme="minorEastAsia" w:hAnsiTheme="minorEastAsia" w:eastAsiaTheme="minorEastAsia"/>
                <w:bCs/>
                <w:iCs/>
                <w:color w:val="000000"/>
                <w:sz w:val="24"/>
              </w:rPr>
              <w:t>董事会秘书：</w:t>
            </w:r>
            <w:r>
              <w:rPr>
                <w:rFonts w:hint="eastAsia" w:asciiTheme="minorEastAsia" w:hAnsiTheme="minorEastAsia" w:eastAsiaTheme="minorEastAsia"/>
                <w:bCs/>
                <w:iCs/>
                <w:color w:val="000000"/>
                <w:sz w:val="24"/>
                <w:lang w:val="en-US" w:eastAsia="zh-CN"/>
              </w:rPr>
              <w:t>吴浩然</w:t>
            </w:r>
          </w:p>
          <w:p w14:paraId="66A09893">
            <w:pPr>
              <w:spacing w:line="360" w:lineRule="auto"/>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独立董事：戴继雄</w:t>
            </w:r>
          </w:p>
        </w:tc>
      </w:tr>
      <w:tr w14:paraId="44D6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23" w:type="dxa"/>
            <w:vAlign w:val="center"/>
          </w:tcPr>
          <w:p w14:paraId="4FE08585">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投资者关系活动主要内容介绍</w:t>
            </w:r>
          </w:p>
        </w:tc>
        <w:tc>
          <w:tcPr>
            <w:tcW w:w="7302" w:type="dxa"/>
          </w:tcPr>
          <w:p w14:paraId="19578E4A">
            <w:pPr>
              <w:spacing w:line="440" w:lineRule="exact"/>
              <w:ind w:firstLine="480" w:firstLineChars="200"/>
              <w:rPr>
                <w:rFonts w:hint="eastAsia" w:asciiTheme="minorEastAsia" w:hAnsiTheme="minorEastAsia" w:eastAsiaTheme="minorEastAsia"/>
                <w:bCs/>
                <w:iCs/>
                <w:color w:val="000000" w:themeColor="text1"/>
                <w:sz w:val="24"/>
                <w:lang w:val="en-US" w:eastAsia="zh-CN"/>
                <w14:textFill>
                  <w14:solidFill>
                    <w14:schemeClr w14:val="tx1"/>
                  </w14:solidFill>
                </w14:textFill>
              </w:rPr>
            </w:pPr>
            <w:r>
              <w:rPr>
                <w:rFonts w:hint="eastAsia" w:asciiTheme="minorEastAsia" w:hAnsiTheme="minorEastAsia" w:eastAsiaTheme="minorEastAsia"/>
                <w:bCs/>
                <w:iCs/>
                <w:color w:val="000000" w:themeColor="text1"/>
                <w:sz w:val="24"/>
                <w14:textFill>
                  <w14:solidFill>
                    <w14:schemeClr w14:val="tx1"/>
                  </w14:solidFill>
                </w14:textFill>
              </w:rPr>
              <w:t>公司</w:t>
            </w:r>
            <w:r>
              <w:rPr>
                <w:rFonts w:hint="eastAsia" w:ascii="宋体" w:hAnsi="宋体" w:eastAsia="宋体" w:cs="宋体"/>
                <w:kern w:val="2"/>
                <w:sz w:val="24"/>
                <w:szCs w:val="24"/>
                <w:lang w:val="en-US" w:eastAsia="zh-CN" w:bidi="ar-SA"/>
              </w:rPr>
              <w:t>参加</w:t>
            </w:r>
            <w:r>
              <w:rPr>
                <w:rFonts w:hint="eastAsia" w:ascii="宋体" w:hAnsi="宋体" w:cs="宋体"/>
                <w:kern w:val="2"/>
                <w:sz w:val="24"/>
                <w:szCs w:val="24"/>
                <w:lang w:val="en-US" w:eastAsia="zh-CN" w:bidi="ar-SA"/>
              </w:rPr>
              <w:t>了</w:t>
            </w:r>
            <w:r>
              <w:rPr>
                <w:rFonts w:hint="eastAsia" w:ascii="宋体" w:hAnsi="宋体" w:eastAsia="宋体" w:cs="宋体"/>
                <w:kern w:val="2"/>
                <w:sz w:val="24"/>
                <w:szCs w:val="24"/>
                <w:lang w:val="en-US" w:eastAsia="zh-CN" w:bidi="ar-SA"/>
              </w:rPr>
              <w:t>由上海上市公司协会联合上证所信息网络有限公司共同举办的“2024年上海辖区上市公司三季报集体业绩说明会</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本次业绩说明会</w:t>
            </w:r>
            <w:r>
              <w:rPr>
                <w:rFonts w:hint="eastAsia" w:asciiTheme="minorEastAsia" w:hAnsiTheme="minorEastAsia" w:eastAsiaTheme="minorEastAsia"/>
                <w:bCs/>
                <w:iCs/>
                <w:color w:val="000000" w:themeColor="text1"/>
                <w:sz w:val="24"/>
                <w:lang w:val="en-US" w:eastAsia="zh-CN"/>
                <w14:textFill>
                  <w14:solidFill>
                    <w14:schemeClr w14:val="tx1"/>
                  </w14:solidFill>
                </w14:textFill>
              </w:rPr>
              <w:t>在上海证券交易所上证路演中心网络平台(http://roadshow.sseinfo.com)上举行，以网络文字互动的形式与投资者展开了互动交流。其中部分问题及回复如下：</w:t>
            </w:r>
          </w:p>
          <w:p w14:paraId="18590681">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Q1：公司一直都还蛮重视研发这一块的投入，请问研发成果如何，新产品进度如何？</w:t>
            </w:r>
          </w:p>
          <w:p w14:paraId="1E3EA545">
            <w:pPr>
              <w:spacing w:line="440" w:lineRule="exact"/>
              <w:ind w:firstLine="480" w:firstLineChars="200"/>
              <w:rPr>
                <w:rFonts w:hint="default" w:ascii="宋体" w:hAnsi="宋体" w:eastAsia="宋体" w:cs="宋体"/>
                <w:i w:val="0"/>
                <w:iCs w:val="0"/>
                <w:color w:val="auto"/>
                <w:sz w:val="24"/>
                <w:szCs w:val="24"/>
                <w:u w:val="none"/>
              </w:rPr>
            </w:pPr>
            <w:r>
              <w:rPr>
                <w:rFonts w:hint="eastAsia" w:ascii="宋体" w:hAnsi="宋体" w:cs="宋体"/>
                <w:i w:val="0"/>
                <w:iCs w:val="0"/>
                <w:color w:val="auto"/>
                <w:sz w:val="24"/>
                <w:szCs w:val="24"/>
                <w:u w:val="none"/>
                <w:lang w:val="en-US" w:eastAsia="zh-CN"/>
              </w:rPr>
              <w:t>A：</w:t>
            </w:r>
            <w:r>
              <w:rPr>
                <w:rFonts w:hint="default" w:ascii="宋体" w:hAnsi="宋体" w:eastAsia="宋体" w:cs="宋体"/>
                <w:i w:val="0"/>
                <w:iCs w:val="0"/>
                <w:color w:val="auto"/>
                <w:sz w:val="24"/>
                <w:szCs w:val="24"/>
                <w:u w:val="none"/>
              </w:rPr>
              <w:t>2024年前三季度，公司继续保持高研发投入，共计2.85亿元，研发费用占营业收入比例达到57.52%</w:t>
            </w:r>
            <w:bookmarkStart w:id="0" w:name="_GoBack"/>
            <w:bookmarkEnd w:id="0"/>
            <w:r>
              <w:rPr>
                <w:rFonts w:hint="default" w:ascii="宋体" w:hAnsi="宋体" w:eastAsia="宋体" w:cs="宋体"/>
                <w:i w:val="0"/>
                <w:iCs w:val="0"/>
                <w:color w:val="auto"/>
                <w:sz w:val="24"/>
                <w:szCs w:val="24"/>
                <w:u w:val="none"/>
              </w:rPr>
              <w:t>。目前，安路科技SALPHOENIX、SALEAGLE、SALELF、FPSoC四大系列产品分别覆盖高性能、高效率、低功耗、高集成度市场需求。</w:t>
            </w:r>
            <w:r>
              <w:rPr>
                <w:rFonts w:hint="default"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 xml:space="preserve">    </w:t>
            </w:r>
            <w:r>
              <w:rPr>
                <w:rFonts w:hint="default" w:ascii="宋体" w:hAnsi="宋体" w:eastAsia="宋体" w:cs="宋体"/>
                <w:i w:val="0"/>
                <w:iCs w:val="0"/>
                <w:color w:val="auto"/>
                <w:sz w:val="24"/>
                <w:szCs w:val="24"/>
                <w:u w:val="none"/>
              </w:rPr>
              <w:t>第三季度，公司发布中高端产品凤凰系列全新PH1P高效能FPGA产品，包含PH1P-35、PH1P-50和PH1P-100三款器件，以更高的性能、更高的能效、更高的集成、更高的性价比，配合以高中低不同等级的逻辑资源规模，帮助嵌入式领域用户打造具有差异化竞争优势的方案。</w:t>
            </w:r>
            <w:r>
              <w:rPr>
                <w:rFonts w:hint="default"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 xml:space="preserve">    </w:t>
            </w:r>
            <w:r>
              <w:rPr>
                <w:rFonts w:hint="default" w:ascii="宋体" w:hAnsi="宋体" w:eastAsia="宋体" w:cs="宋体"/>
                <w:i w:val="0"/>
                <w:iCs w:val="0"/>
                <w:color w:val="auto"/>
                <w:sz w:val="24"/>
                <w:szCs w:val="24"/>
                <w:u w:val="none"/>
              </w:rPr>
              <w:t>新产品广泛应用于视频处理与监控、通信基础设施、医疗、工业控制以及消费电子等多个领域。在这些领域中，PH1P系列以其卓越的性能表现和灵活的应用方案，为行业用户带来前所未有的价值体验，推动相关行业的快速发展与变革。</w:t>
            </w:r>
          </w:p>
          <w:p w14:paraId="518E1F2E">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Q2：半导体市场继续温和复苏，看到公司多项财务指标在转好，请公司说一下财务指标持续转好的主要原因。</w:t>
            </w:r>
          </w:p>
          <w:p w14:paraId="1547F627">
            <w:pPr>
              <w:spacing w:line="440" w:lineRule="exact"/>
              <w:ind w:firstLine="480" w:firstLineChars="200"/>
              <w:rPr>
                <w:rFonts w:hint="default"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A</w:t>
            </w:r>
            <w:r>
              <w:rPr>
                <w:rFonts w:hint="eastAsia" w:ascii="宋体" w:hAnsi="宋体" w:cs="宋体"/>
                <w:i w:val="0"/>
                <w:iCs w:val="0"/>
                <w:color w:val="auto"/>
                <w:sz w:val="24"/>
                <w:szCs w:val="24"/>
                <w:u w:val="none"/>
                <w:lang w:val="en-US" w:eastAsia="zh-CN"/>
              </w:rPr>
              <w:t>：</w:t>
            </w:r>
            <w:r>
              <w:rPr>
                <w:rFonts w:hint="default" w:ascii="宋体" w:hAnsi="宋体" w:eastAsia="宋体" w:cs="宋体"/>
                <w:i w:val="0"/>
                <w:iCs w:val="0"/>
                <w:color w:val="auto"/>
                <w:sz w:val="24"/>
                <w:szCs w:val="24"/>
                <w:u w:val="none"/>
              </w:rPr>
              <w:t>得益于部分下游行业客户需求的逐渐复苏以及新产品的逐步放量等因素，公司2024年第三季度营业收入1.79亿元，已连续三个季度实现环比增长。</w:t>
            </w:r>
            <w:r>
              <w:rPr>
                <w:rFonts w:hint="default"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 xml:space="preserve">    </w:t>
            </w:r>
            <w:r>
              <w:rPr>
                <w:rFonts w:hint="default" w:ascii="宋体" w:hAnsi="宋体" w:eastAsia="宋体" w:cs="宋体"/>
                <w:i w:val="0"/>
                <w:iCs w:val="0"/>
                <w:color w:val="auto"/>
                <w:sz w:val="24"/>
                <w:szCs w:val="24"/>
                <w:u w:val="none"/>
              </w:rPr>
              <w:t>在FPGA市场结构性复苏大环境下，第三季度公司积极丰富产品型号，在显示、工控、消费等市场持续拓展并不断导入新客户，营收环比有所改善。同时，公司把握行业下游复苏机遇，多款新产品加快导入推进。第三季度，发布中高端产品凤凰系列全新PH1P高效能FPGA产品，在机器视觉、LED显示等领域取得新的拓展，进一步完善了产品矩阵及生态建设。</w:t>
            </w:r>
            <w:r>
              <w:rPr>
                <w:rFonts w:hint="default"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 xml:space="preserve">    </w:t>
            </w:r>
            <w:r>
              <w:rPr>
                <w:rFonts w:hint="default" w:ascii="宋体" w:hAnsi="宋体" w:eastAsia="宋体" w:cs="宋体"/>
                <w:i w:val="0"/>
                <w:iCs w:val="0"/>
                <w:color w:val="auto"/>
                <w:sz w:val="24"/>
                <w:szCs w:val="24"/>
                <w:u w:val="none"/>
              </w:rPr>
              <w:t>此外，受益于供应链稳定且库存储备较为充足，2024年前三季度备货量及支付上游供应链货款相比上年同期大幅下降，公司经营活动产生的现金流量净额上升。同时，费用控制初见成效，各项费用支出均同比有所降低。</w:t>
            </w:r>
          </w:p>
          <w:p w14:paraId="7281DA3F">
            <w:pPr>
              <w:spacing w:line="440" w:lineRule="exact"/>
              <w:ind w:firstLine="482" w:firstLineChars="200"/>
              <w:rPr>
                <w:rFonts w:hint="default" w:ascii="宋体" w:hAnsi="宋体" w:eastAsia="宋体" w:cs="宋体"/>
                <w:b/>
                <w:bCs/>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Q3：</w:t>
            </w:r>
            <w:r>
              <w:rPr>
                <w:rFonts w:hint="default" w:ascii="宋体" w:hAnsi="宋体" w:eastAsia="宋体" w:cs="宋体"/>
                <w:b/>
                <w:bCs/>
                <w:i w:val="0"/>
                <w:iCs w:val="0"/>
                <w:color w:val="auto"/>
                <w:sz w:val="24"/>
                <w:szCs w:val="24"/>
                <w:u w:val="none"/>
                <w:lang w:val="en-US" w:eastAsia="zh-CN"/>
              </w:rPr>
              <w:t>公司在产品开发和布局方面有何进展？公司未来如何推进产品质量建设？</w:t>
            </w:r>
          </w:p>
          <w:p w14:paraId="0C040AA1">
            <w:pPr>
              <w:spacing w:line="440" w:lineRule="exact"/>
              <w:ind w:firstLine="480" w:firstLineChars="200"/>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A：</w:t>
            </w:r>
            <w:r>
              <w:rPr>
                <w:rFonts w:hint="default" w:ascii="宋体" w:hAnsi="宋体" w:eastAsia="宋体" w:cs="宋体"/>
                <w:i w:val="0"/>
                <w:iCs w:val="0"/>
                <w:color w:val="auto"/>
                <w:sz w:val="24"/>
                <w:szCs w:val="24"/>
                <w:u w:val="none"/>
              </w:rPr>
              <w:t>在新产品方面，公司完成了基于国产工艺的高性能FPGA芯片、基于先进工艺的大规模FPGA芯片研发，快速推出量产芯片新封装型号；同时根据软件技术升级路线和市场使用反馈，推进支持公司全系列FPGA/FPSoC芯片的配套专用EDA软件性能提升，加快客户导入效率，增强软件稳定性、易用性。在应用IP和解决方案方面，公司累计完成了超过160个、涵盖12大应用分类的IP及参考设计开发，充分发挥公司软硬件产品性能，进一步降低芯片使用门槛，提高客户产品开发效率。</w:t>
            </w:r>
            <w:r>
              <w:rPr>
                <w:rFonts w:hint="default"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 xml:space="preserve">    </w:t>
            </w:r>
            <w:r>
              <w:rPr>
                <w:rFonts w:hint="default" w:ascii="宋体" w:hAnsi="宋体" w:eastAsia="宋体" w:cs="宋体"/>
                <w:i w:val="0"/>
                <w:iCs w:val="0"/>
                <w:color w:val="auto"/>
                <w:sz w:val="24"/>
                <w:szCs w:val="24"/>
                <w:u w:val="none"/>
              </w:rPr>
              <w:t>未来公司继续深化质量文化建设，组织全员参与质量意识提升活动，增强全体员工对质量的重视和关注；优化和标准化质量流程，确保不同项目、不同部门在质量管理上的一致，提升公司质量管理的规范性和效率；建立完善的质量反馈和持续改进机制，帮助公司及时发现和解决质量问题，不断优化质量管理流程、提升产品质量和服务水平。</w:t>
            </w:r>
          </w:p>
          <w:p w14:paraId="58BD3900">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Q4：公司营收改善，去库存是不是很顺利？</w:t>
            </w:r>
          </w:p>
          <w:p w14:paraId="697C9AD3">
            <w:pPr>
              <w:spacing w:line="440" w:lineRule="exact"/>
              <w:ind w:firstLine="480" w:firstLineChars="200"/>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A：</w:t>
            </w:r>
            <w:r>
              <w:rPr>
                <w:rFonts w:hint="eastAsia" w:ascii="宋体" w:hAnsi="宋体" w:eastAsia="宋体" w:cs="宋体"/>
                <w:i w:val="0"/>
                <w:iCs w:val="0"/>
                <w:color w:val="auto"/>
                <w:sz w:val="24"/>
                <w:szCs w:val="24"/>
                <w:u w:val="none"/>
              </w:rPr>
              <w:t>今年以来，下游终端需求回暖，全球半导体行业温和复苏。由于消费、工控等领域需求回升，部分下游行业客户需求的逐渐复苏，叠加公司继续深化库存管控工作，优化库存结构，提升库存周转率，公司存货进一步下降。第三季度末公司存货由上年同期的7.63亿元下降至5.9亿元。</w:t>
            </w:r>
          </w:p>
          <w:p w14:paraId="25DF7943">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Q5：如何看待接下来中国FPGA芯片市场？有什么挑战和机遇？</w:t>
            </w:r>
          </w:p>
          <w:p w14:paraId="2D2E0B9C">
            <w:pPr>
              <w:spacing w:line="440" w:lineRule="exact"/>
              <w:ind w:firstLine="480" w:firstLineChars="200"/>
              <w:rPr>
                <w:rFonts w:hint="default"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A：</w:t>
            </w:r>
            <w:r>
              <w:rPr>
                <w:rFonts w:hint="default" w:ascii="宋体" w:hAnsi="宋体" w:eastAsia="宋体" w:cs="宋体"/>
                <w:i w:val="0"/>
                <w:iCs w:val="0"/>
                <w:color w:val="auto"/>
                <w:sz w:val="24"/>
                <w:szCs w:val="24"/>
                <w:u w:val="none"/>
              </w:rPr>
              <w:t>FPGA行业下游应用市场众多，FPGA芯片广泛应用于工业控制、网络通信、视频图像、汽车电子、消费电子、智能电网、数据中心、医疗设备、新能源等领域，各细分场景具有独特的功能、性能、功耗、成本等需求组合，这些需求随着技术和终端应用市场的不断发展而持续演进。在过去的几年中，以安路科技为代表的国内FPGA企业在技术、市场等方面都有了良好的发展，以敏锐的市场洞察力和优秀的技术创新能力，进行了合理的产品定义与布局，持续开展技术与产品创新，丰富产品矩阵，扩展可服务市场边界。</w:t>
            </w:r>
            <w:r>
              <w:rPr>
                <w:rFonts w:hint="default"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 xml:space="preserve">    </w:t>
            </w:r>
            <w:r>
              <w:rPr>
                <w:rFonts w:hint="default" w:ascii="宋体" w:hAnsi="宋体" w:eastAsia="宋体" w:cs="宋体"/>
                <w:i w:val="0"/>
                <w:iCs w:val="0"/>
                <w:color w:val="auto"/>
                <w:sz w:val="24"/>
                <w:szCs w:val="24"/>
                <w:u w:val="none"/>
              </w:rPr>
              <w:t>随着公司的FPGA和FPSOC布局更加完善，可服务市场容量大幅提升，同时公司以客户成功为目标，不断提升产品质量和服务能力，共同为公司营收和利润改善提供市场保障。</w:t>
            </w:r>
          </w:p>
          <w:p w14:paraId="00079656">
            <w:pPr>
              <w:spacing w:line="440" w:lineRule="exact"/>
              <w:ind w:firstLine="482" w:firstLineChars="200"/>
              <w:rPr>
                <w:rFonts w:hint="eastAsia" w:asciiTheme="minorEastAsia" w:hAnsiTheme="minorEastAsia" w:eastAsiaTheme="minorEastAsia"/>
                <w:b/>
                <w:bCs w:val="0"/>
                <w:iCs/>
                <w:color w:val="000000" w:themeColor="text1"/>
                <w:sz w:val="24"/>
                <w:lang w:val="en-US" w:eastAsia="zh-CN"/>
                <w14:textFill>
                  <w14:solidFill>
                    <w14:schemeClr w14:val="tx1"/>
                  </w14:solidFill>
                </w14:textFill>
              </w:rPr>
            </w:pPr>
            <w:r>
              <w:rPr>
                <w:rFonts w:hint="eastAsia" w:asciiTheme="minorEastAsia" w:hAnsiTheme="minorEastAsia" w:eastAsiaTheme="minorEastAsia"/>
                <w:b/>
                <w:bCs w:val="0"/>
                <w:iCs/>
                <w:color w:val="000000" w:themeColor="text1"/>
                <w:sz w:val="24"/>
                <w:lang w:val="en-US" w:eastAsia="zh-CN"/>
                <w14:textFill>
                  <w14:solidFill>
                    <w14:schemeClr w14:val="tx1"/>
                  </w14:solidFill>
                </w14:textFill>
              </w:rPr>
              <w:t>Q6：半导体属于人才密集型产业，集团公司对人才储备及培养有什么计划？怎么保证人才不流失？</w:t>
            </w:r>
          </w:p>
          <w:p w14:paraId="010C61CE">
            <w:pPr>
              <w:spacing w:line="440" w:lineRule="exact"/>
              <w:ind w:firstLine="480" w:firstLineChars="200"/>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A：</w:t>
            </w:r>
            <w:r>
              <w:rPr>
                <w:rFonts w:hint="default" w:ascii="宋体" w:hAnsi="宋体" w:eastAsia="宋体" w:cs="宋体"/>
                <w:i w:val="0"/>
                <w:iCs w:val="0"/>
                <w:color w:val="auto"/>
                <w:sz w:val="24"/>
                <w:szCs w:val="24"/>
                <w:u w:val="none"/>
              </w:rPr>
              <w:t>公司始终将人才工作放在首位，在FPGA/FPSoC硬件设计、专用EDA软件设计、应用开发、测试品控、生产运营、市场销售等方面建立了强大的人才队伍，核心技术人员和管理团队长期稳定、高度互补，形成了公司在技术创新、产品研发、工程品质、市场推广等方面的突出优势。</w:t>
            </w:r>
            <w:r>
              <w:rPr>
                <w:rFonts w:hint="default" w:ascii="宋体" w:hAnsi="宋体" w:eastAsia="宋体" w:cs="宋体"/>
                <w:i w:val="0"/>
                <w:iCs w:val="0"/>
                <w:color w:val="auto"/>
                <w:sz w:val="24"/>
                <w:szCs w:val="24"/>
                <w:u w:val="none"/>
              </w:rPr>
              <w:br w:type="textWrapping"/>
            </w:r>
            <w:r>
              <w:rPr>
                <w:rFonts w:hint="eastAsia" w:ascii="宋体" w:hAnsi="宋体" w:cs="宋体"/>
                <w:i w:val="0"/>
                <w:iCs w:val="0"/>
                <w:color w:val="auto"/>
                <w:sz w:val="24"/>
                <w:szCs w:val="24"/>
                <w:u w:val="none"/>
                <w:lang w:val="en-US" w:eastAsia="zh-CN"/>
              </w:rPr>
              <w:t xml:space="preserve">    </w:t>
            </w:r>
            <w:r>
              <w:rPr>
                <w:rFonts w:hint="default" w:ascii="宋体" w:hAnsi="宋体" w:eastAsia="宋体" w:cs="宋体"/>
                <w:i w:val="0"/>
                <w:iCs w:val="0"/>
                <w:color w:val="auto"/>
                <w:sz w:val="24"/>
                <w:szCs w:val="24"/>
                <w:u w:val="none"/>
              </w:rPr>
              <w:t>今年上半年，公司研发人员436人，占员工总数量的81.95%，其中硕博学历占比63.07%，主要研发人员平均拥有十年以上的工作经验。公司设立了博士后科研工作站，建立了完善的人员引进、选拔、培养与激励机制，能够充分发挥人才积极性、主动性和创造性，保障公司多项产品和技术开发目标实现。</w:t>
            </w:r>
          </w:p>
          <w:p w14:paraId="1C60B605">
            <w:pPr>
              <w:spacing w:line="440" w:lineRule="exact"/>
              <w:rPr>
                <w:rFonts w:hint="eastAsia" w:asciiTheme="minorEastAsia" w:hAnsiTheme="minorEastAsia" w:eastAsiaTheme="minorEastAsia"/>
                <w:bCs/>
                <w:iCs/>
                <w:color w:val="000000" w:themeColor="text1"/>
                <w:sz w:val="24"/>
                <w:lang w:val="en-US" w:eastAsia="zh-CN"/>
                <w14:textFill>
                  <w14:solidFill>
                    <w14:schemeClr w14:val="tx1"/>
                  </w14:solidFill>
                </w14:textFill>
              </w:rPr>
            </w:pPr>
          </w:p>
          <w:p w14:paraId="6248C5AD">
            <w:pPr>
              <w:spacing w:line="440" w:lineRule="exact"/>
              <w:jc w:val="left"/>
              <w:rPr>
                <w:rFonts w:hint="eastAsia" w:asciiTheme="minorEastAsia" w:hAnsiTheme="minorEastAsia" w:eastAsiaTheme="minorEastAsia"/>
                <w:bCs/>
                <w:iCs/>
                <w:color w:val="000000" w:themeColor="text1"/>
                <w:sz w:val="24"/>
                <w14:textFill>
                  <w14:solidFill>
                    <w14:schemeClr w14:val="tx1"/>
                  </w14:solidFill>
                </w14:textFill>
              </w:rPr>
            </w:pPr>
            <w:r>
              <w:rPr>
                <w:rFonts w:hint="eastAsia" w:asciiTheme="minorEastAsia" w:hAnsiTheme="minorEastAsia" w:eastAsiaTheme="minorEastAsia"/>
                <w:bCs/>
                <w:iCs/>
                <w:color w:val="000000" w:themeColor="text1"/>
                <w:sz w:val="24"/>
                <w14:textFill>
                  <w14:solidFill>
                    <w14:schemeClr w14:val="tx1"/>
                  </w14:solidFill>
                </w14:textFill>
              </w:rPr>
              <w:t>有关本次业绩说明会的</w:t>
            </w:r>
            <w:r>
              <w:rPr>
                <w:rFonts w:hint="eastAsia"/>
                <w:sz w:val="24"/>
              </w:rPr>
              <w:t>更多</w:t>
            </w:r>
            <w:r>
              <w:rPr>
                <w:rFonts w:hint="eastAsia" w:asciiTheme="minorEastAsia" w:hAnsiTheme="minorEastAsia" w:eastAsiaTheme="minorEastAsia"/>
                <w:bCs/>
                <w:iCs/>
                <w:color w:val="000000" w:themeColor="text1"/>
                <w:sz w:val="24"/>
                <w14:textFill>
                  <w14:solidFill>
                    <w14:schemeClr w14:val="tx1"/>
                  </w14:solidFill>
                </w14:textFill>
              </w:rPr>
              <w:t>详情请见：</w:t>
            </w:r>
          </w:p>
          <w:p w14:paraId="3D889898">
            <w:pPr>
              <w:spacing w:line="440" w:lineRule="exact"/>
              <w:jc w:val="left"/>
              <w:rPr>
                <w:rFonts w:hint="eastAsia" w:asciiTheme="minorEastAsia" w:hAnsiTheme="minorEastAsia" w:eastAsiaTheme="minorEastAsia"/>
                <w:bCs/>
                <w:iCs/>
                <w:color w:val="000000" w:themeColor="text1"/>
                <w:sz w:val="24"/>
                <w:u w:val="none"/>
                <w14:textFill>
                  <w14:solidFill>
                    <w14:schemeClr w14:val="tx1"/>
                  </w14:solidFill>
                </w14:textFill>
              </w:rPr>
            </w:pPr>
            <w:r>
              <w:rPr>
                <w:rFonts w:hint="eastAsia" w:asciiTheme="minorEastAsia" w:hAnsiTheme="minorEastAsia" w:eastAsiaTheme="minorEastAsia"/>
                <w:bCs/>
                <w:iCs/>
                <w:color w:val="000000" w:themeColor="text1"/>
                <w:sz w:val="24"/>
                <w:u w:val="none"/>
                <w14:textFill>
                  <w14:solidFill>
                    <w14:schemeClr w14:val="tx1"/>
                  </w14:solidFill>
                </w14:textFill>
              </w:rPr>
              <w:t>https://roadshow.sseinfo.com/region_home_companies2.do?rsId=21683&amp;stockCode=688107</w:t>
            </w:r>
          </w:p>
        </w:tc>
      </w:tr>
      <w:tr w14:paraId="2A23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vAlign w:val="center"/>
          </w:tcPr>
          <w:p w14:paraId="6317E294">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附件清单（如有）</w:t>
            </w:r>
          </w:p>
        </w:tc>
        <w:tc>
          <w:tcPr>
            <w:tcW w:w="7302" w:type="dxa"/>
          </w:tcPr>
          <w:p w14:paraId="4BC9B4EB">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无</w:t>
            </w:r>
          </w:p>
        </w:tc>
      </w:tr>
      <w:tr w14:paraId="7789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23" w:type="dxa"/>
            <w:vAlign w:val="center"/>
          </w:tcPr>
          <w:p w14:paraId="62E16338">
            <w:pPr>
              <w:spacing w:line="480" w:lineRule="atLeast"/>
              <w:rPr>
                <w:rFonts w:asciiTheme="minorEastAsia" w:hAnsiTheme="minorEastAsia" w:eastAsiaTheme="minorEastAsia"/>
                <w:b/>
                <w:bCs/>
                <w:iCs/>
                <w:color w:val="000000"/>
                <w:sz w:val="24"/>
              </w:rPr>
            </w:pPr>
            <w:r>
              <w:rPr>
                <w:rFonts w:hint="eastAsia" w:asciiTheme="minorEastAsia" w:hAnsiTheme="minorEastAsia" w:eastAsiaTheme="minorEastAsia"/>
                <w:b/>
                <w:bCs/>
                <w:iCs/>
                <w:color w:val="000000"/>
                <w:sz w:val="24"/>
              </w:rPr>
              <w:t>日期</w:t>
            </w:r>
          </w:p>
        </w:tc>
        <w:tc>
          <w:tcPr>
            <w:tcW w:w="7302" w:type="dxa"/>
          </w:tcPr>
          <w:p w14:paraId="6D3C8528">
            <w:pPr>
              <w:spacing w:line="480" w:lineRule="atLeast"/>
              <w:rPr>
                <w:rFonts w:asciiTheme="minorEastAsia" w:hAnsiTheme="minorEastAsia" w:eastAsiaTheme="minorEastAsia"/>
                <w:bCs/>
                <w:iCs/>
                <w:color w:val="000000"/>
                <w:sz w:val="24"/>
              </w:rPr>
            </w:pPr>
            <w:r>
              <w:rPr>
                <w:rFonts w:hint="eastAsia" w:asciiTheme="minorEastAsia" w:hAnsiTheme="minorEastAsia" w:eastAsiaTheme="minorEastAsia"/>
                <w:bCs/>
                <w:iCs/>
                <w:color w:val="000000"/>
                <w:sz w:val="24"/>
              </w:rPr>
              <w:t>2</w:t>
            </w:r>
            <w:r>
              <w:rPr>
                <w:rFonts w:asciiTheme="minorEastAsia" w:hAnsiTheme="minorEastAsia" w:eastAsiaTheme="minorEastAsia"/>
                <w:bCs/>
                <w:iCs/>
                <w:color w:val="000000"/>
                <w:sz w:val="24"/>
              </w:rPr>
              <w:t>02</w:t>
            </w:r>
            <w:r>
              <w:rPr>
                <w:rFonts w:hint="eastAsia" w:asciiTheme="minorEastAsia" w:hAnsiTheme="minorEastAsia" w:eastAsiaTheme="minorEastAsia"/>
                <w:bCs/>
                <w:iCs/>
                <w:color w:val="000000"/>
                <w:sz w:val="24"/>
                <w:lang w:val="en-US" w:eastAsia="zh-CN"/>
              </w:rPr>
              <w:t>4</w:t>
            </w:r>
            <w:r>
              <w:rPr>
                <w:rFonts w:hint="eastAsia"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lang w:val="en-US" w:eastAsia="zh-CN"/>
              </w:rPr>
              <w:t>11</w:t>
            </w:r>
            <w:r>
              <w:rPr>
                <w:rFonts w:hint="eastAsia"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13</w:t>
            </w:r>
            <w:r>
              <w:rPr>
                <w:rFonts w:hint="eastAsia" w:asciiTheme="minorEastAsia" w:hAnsiTheme="minorEastAsia" w:eastAsiaTheme="minorEastAsia"/>
                <w:bCs/>
                <w:iCs/>
                <w:color w:val="000000"/>
                <w:sz w:val="24"/>
              </w:rPr>
              <w:t>日</w:t>
            </w:r>
          </w:p>
        </w:tc>
      </w:tr>
    </w:tbl>
    <w:p w14:paraId="3CB368FC">
      <w:pPr>
        <w:rPr>
          <w:rFonts w:asciiTheme="minorEastAsia" w:hAnsiTheme="minorEastAsia" w:eastAsiaTheme="minorEastAsia"/>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CA8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38B8694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1102">
    <w:pPr>
      <w:pStyle w:val="3"/>
      <w:framePr w:wrap="around" w:vAnchor="text" w:hAnchor="margin" w:xAlign="center" w:y="1"/>
      <w:rPr>
        <w:rStyle w:val="7"/>
      </w:rPr>
    </w:pPr>
    <w:r>
      <w:fldChar w:fldCharType="begin"/>
    </w:r>
    <w:r>
      <w:rPr>
        <w:rStyle w:val="7"/>
      </w:rPr>
      <w:instrText xml:space="preserve">PAGE  </w:instrText>
    </w:r>
    <w:r>
      <w:fldChar w:fldCharType="end"/>
    </w:r>
  </w:p>
  <w:p w14:paraId="0AFE86A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DRkNDAzYThiMjNjNjg0ZWMwMjhmZWNkNzNhNTEifQ=="/>
  </w:docVars>
  <w:rsids>
    <w:rsidRoot w:val="001B4B80"/>
    <w:rsid w:val="00005B18"/>
    <w:rsid w:val="000062BD"/>
    <w:rsid w:val="000557A1"/>
    <w:rsid w:val="00077951"/>
    <w:rsid w:val="0008744D"/>
    <w:rsid w:val="00095948"/>
    <w:rsid w:val="000A174A"/>
    <w:rsid w:val="000B1943"/>
    <w:rsid w:val="000C73FB"/>
    <w:rsid w:val="000E0D06"/>
    <w:rsid w:val="000F58F5"/>
    <w:rsid w:val="00107B4B"/>
    <w:rsid w:val="00114AFC"/>
    <w:rsid w:val="00116B35"/>
    <w:rsid w:val="00131928"/>
    <w:rsid w:val="0013413F"/>
    <w:rsid w:val="00134C9D"/>
    <w:rsid w:val="00140FA0"/>
    <w:rsid w:val="001430D6"/>
    <w:rsid w:val="00167354"/>
    <w:rsid w:val="001832B0"/>
    <w:rsid w:val="00185B23"/>
    <w:rsid w:val="001A7497"/>
    <w:rsid w:val="001B154C"/>
    <w:rsid w:val="001B4B80"/>
    <w:rsid w:val="001C299E"/>
    <w:rsid w:val="001C6BD4"/>
    <w:rsid w:val="001D4138"/>
    <w:rsid w:val="001D4EBB"/>
    <w:rsid w:val="001E4216"/>
    <w:rsid w:val="001F586A"/>
    <w:rsid w:val="00205E01"/>
    <w:rsid w:val="00206C54"/>
    <w:rsid w:val="0021117B"/>
    <w:rsid w:val="0021339D"/>
    <w:rsid w:val="0022274F"/>
    <w:rsid w:val="00297F92"/>
    <w:rsid w:val="002A40B2"/>
    <w:rsid w:val="002A4634"/>
    <w:rsid w:val="002B5592"/>
    <w:rsid w:val="002C45E3"/>
    <w:rsid w:val="002D7ED8"/>
    <w:rsid w:val="002F5722"/>
    <w:rsid w:val="00305F24"/>
    <w:rsid w:val="00307DB8"/>
    <w:rsid w:val="00316E17"/>
    <w:rsid w:val="00340596"/>
    <w:rsid w:val="003522D5"/>
    <w:rsid w:val="003D5A99"/>
    <w:rsid w:val="0040498E"/>
    <w:rsid w:val="004172E0"/>
    <w:rsid w:val="00437332"/>
    <w:rsid w:val="00487072"/>
    <w:rsid w:val="004955B7"/>
    <w:rsid w:val="004E068A"/>
    <w:rsid w:val="004E2B24"/>
    <w:rsid w:val="005272DE"/>
    <w:rsid w:val="00542CBA"/>
    <w:rsid w:val="0055137C"/>
    <w:rsid w:val="005534E4"/>
    <w:rsid w:val="00564AD4"/>
    <w:rsid w:val="00572303"/>
    <w:rsid w:val="0057541A"/>
    <w:rsid w:val="005C5B67"/>
    <w:rsid w:val="005C6828"/>
    <w:rsid w:val="005D5923"/>
    <w:rsid w:val="00600757"/>
    <w:rsid w:val="00620DA6"/>
    <w:rsid w:val="00626F24"/>
    <w:rsid w:val="006418E5"/>
    <w:rsid w:val="00647BAE"/>
    <w:rsid w:val="00684696"/>
    <w:rsid w:val="00694627"/>
    <w:rsid w:val="006C2702"/>
    <w:rsid w:val="006C4064"/>
    <w:rsid w:val="006D40CB"/>
    <w:rsid w:val="006E11D4"/>
    <w:rsid w:val="006F0437"/>
    <w:rsid w:val="006F32A2"/>
    <w:rsid w:val="007619B1"/>
    <w:rsid w:val="00761B72"/>
    <w:rsid w:val="007657D4"/>
    <w:rsid w:val="007958EB"/>
    <w:rsid w:val="007C57C0"/>
    <w:rsid w:val="007C7B43"/>
    <w:rsid w:val="00820AA1"/>
    <w:rsid w:val="008212C8"/>
    <w:rsid w:val="00821CB9"/>
    <w:rsid w:val="00822680"/>
    <w:rsid w:val="00845D6C"/>
    <w:rsid w:val="00865F0D"/>
    <w:rsid w:val="008B78B5"/>
    <w:rsid w:val="008C2A9F"/>
    <w:rsid w:val="008C4DA7"/>
    <w:rsid w:val="008E1FFD"/>
    <w:rsid w:val="008E2566"/>
    <w:rsid w:val="008E3C84"/>
    <w:rsid w:val="008F2321"/>
    <w:rsid w:val="009421F0"/>
    <w:rsid w:val="00956518"/>
    <w:rsid w:val="0095680F"/>
    <w:rsid w:val="00964247"/>
    <w:rsid w:val="00991A6E"/>
    <w:rsid w:val="009928A9"/>
    <w:rsid w:val="00994191"/>
    <w:rsid w:val="009975C4"/>
    <w:rsid w:val="009A2924"/>
    <w:rsid w:val="009E125C"/>
    <w:rsid w:val="00A0184C"/>
    <w:rsid w:val="00A21C46"/>
    <w:rsid w:val="00A95725"/>
    <w:rsid w:val="00AB15FD"/>
    <w:rsid w:val="00AD78E6"/>
    <w:rsid w:val="00AF11F7"/>
    <w:rsid w:val="00AF1910"/>
    <w:rsid w:val="00B346F8"/>
    <w:rsid w:val="00B43F12"/>
    <w:rsid w:val="00B507A2"/>
    <w:rsid w:val="00B55A7E"/>
    <w:rsid w:val="00B605E0"/>
    <w:rsid w:val="00B62A3A"/>
    <w:rsid w:val="00B70405"/>
    <w:rsid w:val="00B74412"/>
    <w:rsid w:val="00B9238F"/>
    <w:rsid w:val="00B97CED"/>
    <w:rsid w:val="00BA246D"/>
    <w:rsid w:val="00BB09A6"/>
    <w:rsid w:val="00BE14E1"/>
    <w:rsid w:val="00BE4171"/>
    <w:rsid w:val="00C0257E"/>
    <w:rsid w:val="00C067D9"/>
    <w:rsid w:val="00C12530"/>
    <w:rsid w:val="00C20BD1"/>
    <w:rsid w:val="00C77640"/>
    <w:rsid w:val="00C821F9"/>
    <w:rsid w:val="00C97762"/>
    <w:rsid w:val="00CC3948"/>
    <w:rsid w:val="00CE30E8"/>
    <w:rsid w:val="00D1052B"/>
    <w:rsid w:val="00D43DDE"/>
    <w:rsid w:val="00D6774C"/>
    <w:rsid w:val="00D92149"/>
    <w:rsid w:val="00DA6E4D"/>
    <w:rsid w:val="00DA6EA7"/>
    <w:rsid w:val="00DE1A6F"/>
    <w:rsid w:val="00DE38A3"/>
    <w:rsid w:val="00E0039C"/>
    <w:rsid w:val="00E14F93"/>
    <w:rsid w:val="00E26254"/>
    <w:rsid w:val="00E5768C"/>
    <w:rsid w:val="00E7186A"/>
    <w:rsid w:val="00E808F7"/>
    <w:rsid w:val="00E902CB"/>
    <w:rsid w:val="00E93B3D"/>
    <w:rsid w:val="00ED2548"/>
    <w:rsid w:val="00ED580C"/>
    <w:rsid w:val="00EE076D"/>
    <w:rsid w:val="00EE3C7C"/>
    <w:rsid w:val="00EE4F50"/>
    <w:rsid w:val="00EE7C38"/>
    <w:rsid w:val="00F15A64"/>
    <w:rsid w:val="00F22B51"/>
    <w:rsid w:val="00F25AB4"/>
    <w:rsid w:val="00F42187"/>
    <w:rsid w:val="00F4652D"/>
    <w:rsid w:val="00F5016E"/>
    <w:rsid w:val="00F609F5"/>
    <w:rsid w:val="00FA1EE8"/>
    <w:rsid w:val="00FA7FB0"/>
    <w:rsid w:val="00FB0600"/>
    <w:rsid w:val="00FD1CB8"/>
    <w:rsid w:val="00FF5504"/>
    <w:rsid w:val="023D293E"/>
    <w:rsid w:val="032B2ABB"/>
    <w:rsid w:val="04CD61FB"/>
    <w:rsid w:val="05235E1B"/>
    <w:rsid w:val="06D118A6"/>
    <w:rsid w:val="06DF0467"/>
    <w:rsid w:val="09FB7366"/>
    <w:rsid w:val="0B6158EF"/>
    <w:rsid w:val="0B7F7B23"/>
    <w:rsid w:val="0BDE2A9B"/>
    <w:rsid w:val="0DFF319D"/>
    <w:rsid w:val="0EDC57C9"/>
    <w:rsid w:val="10545A22"/>
    <w:rsid w:val="11421D1E"/>
    <w:rsid w:val="122B27B2"/>
    <w:rsid w:val="13491142"/>
    <w:rsid w:val="13C7650B"/>
    <w:rsid w:val="17FA6861"/>
    <w:rsid w:val="182061EA"/>
    <w:rsid w:val="18FF04F5"/>
    <w:rsid w:val="19E41BC5"/>
    <w:rsid w:val="1B46240B"/>
    <w:rsid w:val="1C0C71B1"/>
    <w:rsid w:val="1D3D12D6"/>
    <w:rsid w:val="21E85FCA"/>
    <w:rsid w:val="23A81AC6"/>
    <w:rsid w:val="26026EB4"/>
    <w:rsid w:val="27076EF2"/>
    <w:rsid w:val="27D51200"/>
    <w:rsid w:val="28812CD5"/>
    <w:rsid w:val="29037B8D"/>
    <w:rsid w:val="29791BFE"/>
    <w:rsid w:val="2B8723B0"/>
    <w:rsid w:val="2BEA293F"/>
    <w:rsid w:val="2C471B3F"/>
    <w:rsid w:val="2CD05FD9"/>
    <w:rsid w:val="2D0A14EA"/>
    <w:rsid w:val="32A96648"/>
    <w:rsid w:val="36940077"/>
    <w:rsid w:val="38327B47"/>
    <w:rsid w:val="38797524"/>
    <w:rsid w:val="398E5251"/>
    <w:rsid w:val="3B0F23C2"/>
    <w:rsid w:val="3B133C60"/>
    <w:rsid w:val="3B6834A4"/>
    <w:rsid w:val="3BA725FA"/>
    <w:rsid w:val="3EF9316D"/>
    <w:rsid w:val="41D41C6F"/>
    <w:rsid w:val="433504EC"/>
    <w:rsid w:val="43361F5E"/>
    <w:rsid w:val="4487121B"/>
    <w:rsid w:val="44C166F5"/>
    <w:rsid w:val="451707F1"/>
    <w:rsid w:val="476615BC"/>
    <w:rsid w:val="476F0470"/>
    <w:rsid w:val="47857C94"/>
    <w:rsid w:val="49470F79"/>
    <w:rsid w:val="494F67AB"/>
    <w:rsid w:val="49D92519"/>
    <w:rsid w:val="4B022328"/>
    <w:rsid w:val="4C1710D6"/>
    <w:rsid w:val="4CCC3C6F"/>
    <w:rsid w:val="4D5A127B"/>
    <w:rsid w:val="4D7367E0"/>
    <w:rsid w:val="4D956757"/>
    <w:rsid w:val="4DD4267A"/>
    <w:rsid w:val="4F4C2AB1"/>
    <w:rsid w:val="4FA7451F"/>
    <w:rsid w:val="559A7D12"/>
    <w:rsid w:val="57650F48"/>
    <w:rsid w:val="58346B6C"/>
    <w:rsid w:val="5952374E"/>
    <w:rsid w:val="5B745BFD"/>
    <w:rsid w:val="5BB95D06"/>
    <w:rsid w:val="5C966047"/>
    <w:rsid w:val="5DDD2180"/>
    <w:rsid w:val="5DE51034"/>
    <w:rsid w:val="5E03770C"/>
    <w:rsid w:val="5F4F51C9"/>
    <w:rsid w:val="5FEA2932"/>
    <w:rsid w:val="608C39E9"/>
    <w:rsid w:val="60AC5E39"/>
    <w:rsid w:val="61BA6334"/>
    <w:rsid w:val="624A3B5C"/>
    <w:rsid w:val="625917E8"/>
    <w:rsid w:val="63D74F7B"/>
    <w:rsid w:val="66C82E05"/>
    <w:rsid w:val="67980EC5"/>
    <w:rsid w:val="68EC771B"/>
    <w:rsid w:val="6BE309CF"/>
    <w:rsid w:val="6D194857"/>
    <w:rsid w:val="714A1482"/>
    <w:rsid w:val="72C25048"/>
    <w:rsid w:val="74177616"/>
    <w:rsid w:val="74454183"/>
    <w:rsid w:val="76CC293A"/>
    <w:rsid w:val="77422BFC"/>
    <w:rsid w:val="778D031B"/>
    <w:rsid w:val="77F4039A"/>
    <w:rsid w:val="7C38637B"/>
    <w:rsid w:val="7C613B24"/>
    <w:rsid w:val="7C835849"/>
    <w:rsid w:val="7C857813"/>
    <w:rsid w:val="7CFD384D"/>
    <w:rsid w:val="7D6E64F9"/>
    <w:rsid w:val="7E28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basedOn w:val="6"/>
    <w:semiHidden/>
    <w:unhideWhenUsed/>
    <w:qFormat/>
    <w:uiPriority w:val="99"/>
    <w:rPr>
      <w:color w:val="800080"/>
      <w:u w:val="single"/>
    </w:rPr>
  </w:style>
  <w:style w:type="character" w:styleId="9">
    <w:name w:val="Emphasis"/>
    <w:basedOn w:val="6"/>
    <w:qFormat/>
    <w:uiPriority w:val="20"/>
    <w:rPr>
      <w:i/>
      <w:iCs/>
    </w:rPr>
  </w:style>
  <w:style w:type="character" w:styleId="10">
    <w:name w:val="Hyperlink"/>
    <w:basedOn w:val="6"/>
    <w:unhideWhenUsed/>
    <w:qFormat/>
    <w:uiPriority w:val="99"/>
    <w:rPr>
      <w:color w:val="0000FF"/>
      <w:u w:val="single"/>
    </w:rPr>
  </w:style>
  <w:style w:type="character" w:customStyle="1" w:styleId="11">
    <w:name w:val="页脚 字符"/>
    <w:basedOn w:val="6"/>
    <w:link w:val="3"/>
    <w:qFormat/>
    <w:uiPriority w:val="99"/>
    <w:rPr>
      <w:rFonts w:ascii="Times New Roman" w:hAnsi="Times New Roman" w:eastAsia="宋体" w:cs="Times New Roman"/>
      <w:sz w:val="18"/>
      <w:szCs w:val="18"/>
    </w:rPr>
  </w:style>
  <w:style w:type="paragraph" w:customStyle="1" w:styleId="12">
    <w:name w:val="005正文"/>
    <w:basedOn w:val="1"/>
    <w:link w:val="13"/>
    <w:qFormat/>
    <w:uiPriority w:val="0"/>
    <w:pPr>
      <w:spacing w:before="50" w:beforeLines="50" w:line="360" w:lineRule="auto"/>
      <w:ind w:firstLine="200" w:firstLineChars="200"/>
    </w:pPr>
    <w:rPr>
      <w:sz w:val="24"/>
      <w:szCs w:val="22"/>
    </w:rPr>
  </w:style>
  <w:style w:type="character" w:customStyle="1" w:styleId="13">
    <w:name w:val="005正文 Char"/>
    <w:link w:val="12"/>
    <w:qFormat/>
    <w:uiPriority w:val="0"/>
    <w:rPr>
      <w:rFonts w:ascii="Times New Roman" w:hAnsi="Times New Roman" w:eastAsia="宋体" w:cs="Times New Roman"/>
      <w:sz w:val="24"/>
    </w:rPr>
  </w:style>
  <w:style w:type="character" w:customStyle="1" w:styleId="14">
    <w:name w:val="页眉 字符"/>
    <w:basedOn w:val="6"/>
    <w:link w:val="4"/>
    <w:qFormat/>
    <w:uiPriority w:val="99"/>
    <w:rPr>
      <w:rFonts w:ascii="Times New Roman" w:hAnsi="Times New Roman" w:eastAsia="宋体" w:cs="Times New Roman"/>
      <w:sz w:val="18"/>
      <w:szCs w:val="18"/>
    </w:rPr>
  </w:style>
  <w:style w:type="character" w:customStyle="1" w:styleId="15">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9420-DF24-41F9-B370-2BC91F73969C}">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2229</Words>
  <Characters>2561</Characters>
  <Lines>15</Lines>
  <Paragraphs>4</Paragraphs>
  <TotalTime>18</TotalTime>
  <ScaleCrop>false</ScaleCrop>
  <LinksUpToDate>false</LinksUpToDate>
  <CharactersWithSpaces>2707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2021-11-15T10:36:00Z</dcterms:created>
  <dc:creator>gxc</dc:creator>
  <cp:lastModifiedBy>姚琰</cp:lastModifiedBy>
  <cp:lastPrinted>2024-11-14T07:31:00Z</cp:lastPrinted>
  <dcterms:modified xsi:type="dcterms:W3CDTF">2024-11-14T07:51:08Z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EA9EF562CA124855A2B45FE2B893801A_12</vt:lpwstr>
  </property>
</Properties>
</file>