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证券简称：天微电子</w:t>
      </w:r>
    </w:p>
    <w:p>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default" w:ascii="Times New Roman" w:hAnsi="Times New Roman" w:eastAsia="宋体" w:cs="Times New Roman"/>
          <w:sz w:val="24"/>
          <w:szCs w:val="20"/>
          <w:lang w:val="en-US"/>
        </w:rPr>
        <w:t>4</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5</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A3"/>
            </w:r>
            <w:r>
              <w:rPr>
                <w:rFonts w:ascii="Times New Roman" w:hAnsi="Times New Roman" w:eastAsia="宋体" w:cs="Times New Roman"/>
                <w:sz w:val="24"/>
                <w:szCs w:val="20"/>
              </w:rPr>
              <w:t>特定对象调研 □分析师会议 □媒体采访</w:t>
            </w:r>
          </w:p>
          <w:p>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 xml:space="preserve">业绩说明会 □新闻发布会 </w:t>
            </w: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路演活动 □现场参观</w:t>
            </w:r>
          </w:p>
          <w:p>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default" w:ascii="Times New Roman" w:hAnsi="Times New Roman" w:eastAsia="宋体" w:cs="Times New Roman"/>
                <w:sz w:val="24"/>
                <w:szCs w:val="20"/>
                <w:lang w:val="en-US"/>
              </w:rPr>
              <w:t>4</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11</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14</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四 上午10:00-11:00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上证路演中心（https://roadshow.sseinfo.com/）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pPr>
              <w:spacing w:line="360" w:lineRule="auto"/>
              <w:ind w:firstLine="480" w:firstLineChars="200"/>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董事、总经理     张  超</w:t>
            </w:r>
          </w:p>
          <w:p>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董事、副总经理   陈从禹</w:t>
            </w:r>
          </w:p>
          <w:p>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财务总监         侯光莉</w:t>
            </w:r>
          </w:p>
          <w:p>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独立董事</w:t>
            </w: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陈旭东</w:t>
            </w:r>
          </w:p>
          <w:p>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 xml:space="preserve">董事会秘书  </w:t>
            </w:r>
            <w:r>
              <w:rPr>
                <w:rFonts w:hint="eastAsia" w:ascii="Times New Roman" w:hAnsi="Times New Roman" w:eastAsia="宋体" w:cs="Times New Roman"/>
                <w:sz w:val="24"/>
                <w:szCs w:val="20"/>
                <w:lang w:val="en-US" w:eastAsia="zh-CN"/>
              </w:rPr>
              <w:t xml:space="preserve">     </w:t>
            </w:r>
            <w:r>
              <w:rPr>
                <w:rFonts w:ascii="Times New Roman" w:hAnsi="Times New Roman" w:eastAsia="宋体" w:cs="Times New Roman"/>
                <w:sz w:val="24"/>
                <w:szCs w:val="20"/>
              </w:rPr>
              <w:t>杨芹芹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vAlign w:val="top"/>
          </w:tcPr>
          <w:p>
            <w:p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公司就投资者在本次业绩说明会中提出的问题进行回复：</w:t>
            </w:r>
          </w:p>
          <w:p>
            <w:pPr>
              <w:numPr>
                <w:ilvl w:val="0"/>
                <w:numId w:val="0"/>
              </w:numPr>
              <w:spacing w:before="156" w:beforeLines="50" w:line="360" w:lineRule="auto"/>
              <w:ind w:leftChars="0"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一、公司实控人、董事长巨万里被国家某监察委员会立案调查和实施留置的原因是什么？目前什么进展？公司今年业绩剧降，是否受该事件的影响？</w:t>
            </w:r>
          </w:p>
          <w:p>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您好！感谢您的关注！公司于2024年6月30日在上海证券交易所网站（www.sse.com.cn）披露《关于公司重大事项的公告》（公告编号2024-032），公司董事长巨万里先生被国家某监察委员会立案调查和实施留置，截至目前，公司尚未知悉留置及立案调查的进展及结论，公司将持续关注上述事项的后续情况，并严格按照有关法律、法规的规定和要求，及时履行信息披露义务。公司前三季度业绩变动主要系公司主要产品灭火抑爆系统作为整车的分系统，需求受整车的年度任务影响，整车的年度任务受国家宏观政策影响，导致报告期内营业收入有所下降，同时收到政府补助减少，研发费用、资产减值损失较上年同期有所增加所致。谢谢！</w:t>
            </w:r>
          </w:p>
          <w:p>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二、请介绍一下公司第三季度营业收入和净利润方面的表现，跟二季度对比如何？</w:t>
            </w:r>
          </w:p>
          <w:p>
            <w:pPr>
              <w:numPr>
                <w:ilvl w:val="0"/>
                <w:numId w:val="0"/>
              </w:numPr>
              <w:spacing w:before="156" w:beforeLines="50" w:line="360" w:lineRule="auto"/>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您好！感谢您的关注！2024年第三季度，公司营业收入2936.11万元，对比二季度环比增加277.41%；净利润491.78万元，环比增加160.11%。公司将努力提升整体实力和盈利能力，努力为投资者创造更好的回报。谢谢！</w:t>
            </w:r>
          </w:p>
          <w:p>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三、截止目前股东人数为多少？谢谢</w:t>
            </w:r>
          </w:p>
          <w:p>
            <w:pPr>
              <w:numPr>
                <w:ilvl w:val="0"/>
                <w:numId w:val="0"/>
              </w:numPr>
              <w:spacing w:before="156" w:beforeLines="50" w:line="360" w:lineRule="auto"/>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您好！感谢您的关注。为保证所有投资者平等获悉公司信息，公司将在定期报告披露对应时点的股东人数，截止2024年三季度末，公司普通股股东总数6,674户。若您确有需要了解某个时间节点的股东人数，可向公司申请查询股东名册。根据《公司章程》规定，股东提出查阅股东名册的，应当向公司提供证明其持有公司股份的种类以及持股数量的书面文件，公司经核实股东身份后按照股东的要求予以提供。谢谢！</w:t>
            </w:r>
          </w:p>
          <w:p>
            <w:pPr>
              <w:numPr>
                <w:ilvl w:val="0"/>
                <w:numId w:val="0"/>
              </w:numPr>
              <w:spacing w:before="156" w:beforeLines="50" w:line="360" w:lineRule="auto"/>
              <w:ind w:leftChars="0"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四、</w:t>
            </w:r>
            <w:r>
              <w:rPr>
                <w:rFonts w:hint="default" w:ascii="Times New Roman" w:hAnsi="Times New Roman" w:eastAsia="宋体" w:cs="Times New Roman"/>
                <w:sz w:val="24"/>
                <w:lang w:val="en-US" w:eastAsia="zh-CN"/>
              </w:rPr>
              <w:t>请问公司未来的业务重心是什么？</w:t>
            </w:r>
          </w:p>
          <w:p>
            <w:pPr>
              <w:numPr>
                <w:ilvl w:val="0"/>
                <w:numId w:val="0"/>
              </w:numPr>
              <w:spacing w:before="156" w:beforeLines="50" w:line="360" w:lineRule="auto"/>
              <w:ind w:firstLine="48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公司将推进灭火抑爆系统研发、市场拓展工作，扩大在智能化、无人化领域取得的成绩；加大和相关整车单位的合作，进一步开拓核生化等三防产品市场，同时，公司加大元器件产品技术攻关，在特种熔断器、放电管等领域积极开拓新市场。除现有军品市场外，公司大力开拓民品业务市场，加快民品业务发展，积极推广民用系统类产品的应用。谢谢！</w:t>
            </w:r>
          </w:p>
          <w:p>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五、今年前三季度，公司营收为7419.63万元，扣非净利润为-67.11 万元。根据最新的退市规则，公司2024全年净利润为负且营收低于1亿元的话，公司将被实施退市风险警示。Q4公司经营情况怎么样？如何改善业绩？</w:t>
            </w:r>
          </w:p>
          <w:p>
            <w:pPr>
              <w:numPr>
                <w:ilvl w:val="0"/>
                <w:numId w:val="0"/>
              </w:numPr>
              <w:spacing w:before="156" w:beforeLines="50" w:line="360" w:lineRule="auto"/>
              <w:ind w:leftChars="0"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您好！感谢您的关注！公司四季度的具体经营情况敬请关注公司后续披露的相关定期报告。谢谢</w:t>
            </w:r>
            <w:r>
              <w:rPr>
                <w:rFonts w:hint="eastAsia" w:ascii="Times New Roman" w:hAnsi="Times New Roman" w:eastAsia="宋体" w:cs="Times New Roman"/>
                <w:sz w:val="24"/>
                <w:lang w:val="en-US" w:eastAsia="zh-CN"/>
              </w:rPr>
              <w:t>！</w:t>
            </w:r>
          </w:p>
          <w:p>
            <w:pPr>
              <w:numPr>
                <w:ilvl w:val="0"/>
                <w:numId w:val="0"/>
              </w:numPr>
              <w:spacing w:before="156" w:beforeLines="50" w:line="360" w:lineRule="auto"/>
              <w:ind w:leftChars="0"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六、想知道公司在研发方面相关的情况，请介绍一下</w:t>
            </w:r>
          </w:p>
          <w:p>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2021年至2023年，研发费用逐年上升，分别为0.12亿元、0.14亿元、0.16亿元。2024年前三季度，公司研发费用0.16亿元，同比增加29.75%。2024年上半年，公司新增知识产权项目申请4件（其中发明专利2件），共3件知识产权项目获得授权，截至2024年6月31日，公司累计获得国内发明专利授权20项(其中，1项已失效)，实用新型专利120项，软件著作权28件，商标2项。核心技术均得到成熟应用，未来公司还将加大技术研发投入，保持技术先进性。谢谢！</w:t>
            </w:r>
          </w:p>
          <w:p>
            <w:pPr>
              <w:numPr>
                <w:ilvl w:val="0"/>
                <w:numId w:val="0"/>
              </w:numPr>
              <w:spacing w:before="156" w:beforeLines="50" w:line="360" w:lineRule="auto"/>
              <w:ind w:firstLine="480"/>
              <w:rPr>
                <w:rFonts w:hint="eastAsia" w:ascii="Times New Roman" w:hAnsi="Times New Roman" w:eastAsia="宋体" w:cs="Times New Roman"/>
                <w:sz w:val="24"/>
                <w:lang w:val="en-US" w:eastAsia="zh-CN"/>
              </w:rPr>
            </w:pPr>
            <w:bookmarkStart w:id="0" w:name="_GoBack"/>
            <w:r>
              <w:rPr>
                <w:rFonts w:hint="eastAsia" w:ascii="Times New Roman" w:hAnsi="Times New Roman" w:eastAsia="宋体" w:cs="Times New Roman"/>
                <w:sz w:val="24"/>
                <w:lang w:val="en-US" w:eastAsia="zh-CN"/>
              </w:rPr>
              <w:t>七、公司研发投入不断增长，请问在研发方面有哪些储备？</w:t>
            </w:r>
          </w:p>
          <w:bookmarkEnd w:id="0"/>
          <w:p>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公司技术先进性具体以高可靠实时探测技术、复杂环境下的火焰信息提取与识别技术、多信息融合与智能控制技术、温度与红外背景智能自适应补偿技术、智能图像识别技术等核心技术为代表，公司运用核心技术对灭火抑爆系统进行优化设计，建立可靠的算法模型进行深度融合及综合处理，实现火焰探测、识别和控制的快速、精准和可靠。公司在现有新型灭火抑爆系统领域，深耕细作，承担了国家多个重点型号的研制工作，不断拓展产品应用领域，除军品市场的研发外，响应军民技术双向转移转化，在民用综合防护领域，加大研发投入，进行智能化产品布局，积极培育人工智能，并加大研发投入，充分发展新质生产力。公司已获得”国防科学技术进步奖二等奖”，获评国家级第四批专精特新“小巨人”企业，助力公司自主创新。2024年上半年，公司新增知识产权项目申请 4 件（其中发明专利2件），共3件知识产权项目获得授权，截至2024年6月31日，公司累计获得国内发明专利授权20项(其中，1项已失效)，实用新型专利120项，软件著作权28件，商标2项。未来公司还将加大技术研发投入，保持技术先进性。谢谢！</w:t>
            </w:r>
          </w:p>
          <w:p>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八、公司称前三季度业绩变动主要系公司主要产品灭火抑爆系统作为整车的分系统，需求受整车的年度任务影响。公司如何看待四季度和明年整车需求的变化？</w:t>
            </w:r>
          </w:p>
          <w:p>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您好！感谢您的关注！整车的年度任务受国家宏观政策影响，公司四季度的具体经营情况敬请关注公司后续披露的相关定期报告。谢谢</w:t>
            </w:r>
            <w:r>
              <w:rPr>
                <w:rFonts w:hint="eastAsia" w:ascii="Times New Roman" w:hAnsi="Times New Roman" w:eastAsia="宋体" w:cs="Times New Roman"/>
                <w:sz w:val="24"/>
                <w:lang w:val="en-US" w:eastAsia="zh-CN"/>
              </w:rPr>
              <w:t>！</w:t>
            </w:r>
          </w:p>
          <w:p>
            <w:pPr>
              <w:widowControl w:val="0"/>
              <w:numPr>
                <w:ilvl w:val="0"/>
                <w:numId w:val="0"/>
              </w:numPr>
              <w:spacing w:before="156" w:beforeLines="50" w:line="360" w:lineRule="auto"/>
              <w:ind w:firstLine="480" w:firstLineChars="20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九、2022年、2023年、2024年1-9月，公司应收账款分别为6839.23万元、1.34亿元、1.53亿元，占同期营收的比重为60.61%、95.71%、206.76%。且前三季度计提了774万元的应收账款坏账准备。请问公司应收账款高企甚至占营收比重逐年增加的原因是什么？全年是否会进一步集体更多坏账准备？如何避免更多的坏账？</w:t>
            </w:r>
          </w:p>
          <w:p>
            <w:pPr>
              <w:widowControl w:val="0"/>
              <w:numPr>
                <w:ilvl w:val="0"/>
                <w:numId w:val="0"/>
              </w:numPr>
              <w:spacing w:before="156" w:beforeLines="50"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您好！感谢您的关注！公司根据《企业会计准则》的规定及相关制度，基于谨慎性原则，计提了信用减值损失，后续如收回相关款项，公司将会对前期计提的减值进行相应转回。公司将全力做好生产经营工作，持续努力为股东创造更好的回报。加强应收账款的催收是公司经营管理重点工作之一，公司历来高度重视并在公司内部已形成了相关的催收管理机制，责任到人，全过程管理；公司还成立了专门的催收小组，定期跟踪，全程监测，公司制定并出台了相关工作方案，对应收账款实行清单级管控，按日、月、季度定期跟进和复盘，并通过分解相关指标任务，压实有关责任部门的责任，强化考核，以提高各项目回款力度。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pPr>
              <w:pStyle w:val="6"/>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cd3a73b8-7f17-415a-b123-b7bb50fc2cc7"/>
  </w:docVars>
  <w:rsids>
    <w:rsidRoot w:val="45F103B2"/>
    <w:rsid w:val="000018AA"/>
    <w:rsid w:val="000069FE"/>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B1778E"/>
    <w:rsid w:val="00B8763B"/>
    <w:rsid w:val="00BC114C"/>
    <w:rsid w:val="00BD2D21"/>
    <w:rsid w:val="00C54E1D"/>
    <w:rsid w:val="00CA2A78"/>
    <w:rsid w:val="00CD2D67"/>
    <w:rsid w:val="00D21861"/>
    <w:rsid w:val="00D409FD"/>
    <w:rsid w:val="00D415CB"/>
    <w:rsid w:val="00D87C6D"/>
    <w:rsid w:val="00E83EBB"/>
    <w:rsid w:val="00EB4033"/>
    <w:rsid w:val="00EC4334"/>
    <w:rsid w:val="00FC4445"/>
    <w:rsid w:val="04FD042D"/>
    <w:rsid w:val="09517159"/>
    <w:rsid w:val="09B6025B"/>
    <w:rsid w:val="0A2A7EC8"/>
    <w:rsid w:val="0ACE55C9"/>
    <w:rsid w:val="10BA7C9F"/>
    <w:rsid w:val="10E83875"/>
    <w:rsid w:val="111B45A3"/>
    <w:rsid w:val="19894C19"/>
    <w:rsid w:val="19A0764D"/>
    <w:rsid w:val="1B963DB4"/>
    <w:rsid w:val="1DD35404"/>
    <w:rsid w:val="21A9509D"/>
    <w:rsid w:val="23066204"/>
    <w:rsid w:val="26007321"/>
    <w:rsid w:val="2F726B83"/>
    <w:rsid w:val="3334500E"/>
    <w:rsid w:val="33A21F15"/>
    <w:rsid w:val="358C5EFF"/>
    <w:rsid w:val="378665DC"/>
    <w:rsid w:val="3958748E"/>
    <w:rsid w:val="3982065B"/>
    <w:rsid w:val="3CDD4050"/>
    <w:rsid w:val="3E3730F6"/>
    <w:rsid w:val="3ED5251B"/>
    <w:rsid w:val="3FF507C6"/>
    <w:rsid w:val="407640DA"/>
    <w:rsid w:val="407F261C"/>
    <w:rsid w:val="45B8397E"/>
    <w:rsid w:val="45F103B2"/>
    <w:rsid w:val="47FF5851"/>
    <w:rsid w:val="4A4D4C23"/>
    <w:rsid w:val="4A967FCB"/>
    <w:rsid w:val="4B5F1F6B"/>
    <w:rsid w:val="4D047170"/>
    <w:rsid w:val="4EC0418D"/>
    <w:rsid w:val="52263050"/>
    <w:rsid w:val="52AA036A"/>
    <w:rsid w:val="54070E2C"/>
    <w:rsid w:val="57280062"/>
    <w:rsid w:val="59075E12"/>
    <w:rsid w:val="5BC223B0"/>
    <w:rsid w:val="5D78317F"/>
    <w:rsid w:val="6159012D"/>
    <w:rsid w:val="61EF4178"/>
    <w:rsid w:val="622E0F88"/>
    <w:rsid w:val="65051730"/>
    <w:rsid w:val="6A2A3B0A"/>
    <w:rsid w:val="6B5705E4"/>
    <w:rsid w:val="6C4D2C68"/>
    <w:rsid w:val="6D034BE4"/>
    <w:rsid w:val="6E1A77B2"/>
    <w:rsid w:val="71B32424"/>
    <w:rsid w:val="727B38BE"/>
    <w:rsid w:val="73277D9A"/>
    <w:rsid w:val="734467D9"/>
    <w:rsid w:val="740C1DF1"/>
    <w:rsid w:val="76B05557"/>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alloon Text"/>
    <w:basedOn w:val="1"/>
    <w:link w:val="19"/>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99"/>
    <w:rPr>
      <w:kern w:val="2"/>
      <w:sz w:val="18"/>
      <w:szCs w:val="18"/>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2460</Words>
  <Characters>2676</Characters>
  <Lines>16</Lines>
  <Paragraphs>4</Paragraphs>
  <TotalTime>57</TotalTime>
  <ScaleCrop>false</ScaleCrop>
  <LinksUpToDate>false</LinksUpToDate>
  <CharactersWithSpaces>2757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杨芹芹</cp:lastModifiedBy>
  <cp:lastPrinted>2023-03-30T08:46:00Z</cp:lastPrinted>
  <dcterms:modified xsi:type="dcterms:W3CDTF">2024-11-14T08:16:14Z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A47911378D9A4811A67DDB9DF64D27B4_12</vt:lpwstr>
  </property>
</Properties>
</file>