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3113D">
      <w:pPr>
        <w:spacing w:line="360" w:lineRule="auto"/>
        <w:jc w:val="left"/>
        <w:rPr>
          <w:rFonts w:ascii="宋体" w:hAnsi="宋体"/>
          <w:b/>
          <w:szCs w:val="21"/>
        </w:rPr>
      </w:pPr>
      <w:r>
        <w:rPr>
          <w:rFonts w:hint="eastAsia" w:ascii="宋体" w:hAnsi="宋体"/>
          <w:bCs/>
          <w:iCs/>
          <w:szCs w:val="21"/>
        </w:rPr>
        <w:t>证券代码：688</w:t>
      </w:r>
      <w:r>
        <w:rPr>
          <w:rFonts w:ascii="宋体" w:hAnsi="宋体"/>
          <w:bCs/>
          <w:iCs/>
          <w:szCs w:val="21"/>
        </w:rPr>
        <w:t xml:space="preserve">455                                           </w:t>
      </w:r>
      <w:r>
        <w:rPr>
          <w:rFonts w:hint="eastAsia" w:ascii="宋体" w:hAnsi="宋体"/>
          <w:bCs/>
          <w:iCs/>
          <w:szCs w:val="21"/>
        </w:rPr>
        <w:t>证券简称：科捷智能</w:t>
      </w:r>
    </w:p>
    <w:p w14:paraId="07B3366D">
      <w:pPr>
        <w:spacing w:line="360" w:lineRule="auto"/>
        <w:jc w:val="center"/>
        <w:rPr>
          <w:b/>
          <w:sz w:val="24"/>
          <w:szCs w:val="24"/>
        </w:rPr>
      </w:pPr>
      <w:r>
        <w:rPr>
          <w:rFonts w:hint="eastAsia"/>
          <w:b/>
          <w:sz w:val="24"/>
          <w:szCs w:val="24"/>
        </w:rPr>
        <w:t>科捷智能科技股份有限公司</w:t>
      </w:r>
    </w:p>
    <w:p w14:paraId="3A01AB09">
      <w:pPr>
        <w:spacing w:line="360" w:lineRule="auto"/>
        <w:jc w:val="center"/>
        <w:rPr>
          <w:b/>
          <w:sz w:val="24"/>
          <w:szCs w:val="24"/>
        </w:rPr>
      </w:pPr>
      <w:r>
        <w:rPr>
          <w:rFonts w:hint="eastAsia"/>
          <w:b/>
          <w:sz w:val="24"/>
          <w:szCs w:val="24"/>
        </w:rPr>
        <w:t>投资者关系活动记录表</w:t>
      </w:r>
    </w:p>
    <w:p w14:paraId="42ABFFC0">
      <w:pPr>
        <w:spacing w:line="360" w:lineRule="auto"/>
        <w:ind w:right="630"/>
        <w:jc w:val="right"/>
        <w:rPr>
          <w:rFonts w:hint="eastAsia" w:eastAsia="宋体"/>
          <w:lang w:eastAsia="zh-CN"/>
        </w:rPr>
      </w:pPr>
      <w:r>
        <w:rPr>
          <w:rFonts w:hint="eastAsia"/>
        </w:rPr>
        <w:t xml:space="preserve"> </w:t>
      </w:r>
      <w:r>
        <w:t xml:space="preserve">                           </w:t>
      </w:r>
      <w:r>
        <w:rPr>
          <w:rFonts w:hint="eastAsia"/>
        </w:rPr>
        <w:t>编号：2</w:t>
      </w:r>
      <w:r>
        <w:t>024</w:t>
      </w:r>
      <w:r>
        <w:rPr>
          <w:rFonts w:hint="eastAsia"/>
        </w:rPr>
        <w:t>-</w:t>
      </w:r>
      <w:r>
        <w:t>00</w:t>
      </w:r>
      <w:r>
        <w:rPr>
          <w:rFonts w:hint="eastAsia"/>
          <w:lang w:val="en-US" w:eastAsia="zh-CN"/>
        </w:rPr>
        <w:t>2</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967"/>
      </w:tblGrid>
      <w:tr w14:paraId="59C7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2DF767">
            <w:pPr>
              <w:spacing w:line="360" w:lineRule="auto"/>
              <w:jc w:val="center"/>
              <w:rPr>
                <w:rFonts w:ascii="宋体" w:hAnsi="宋体"/>
                <w:b/>
                <w:bCs/>
                <w:iCs/>
                <w:szCs w:val="21"/>
              </w:rPr>
            </w:pPr>
            <w:r>
              <w:rPr>
                <w:rFonts w:hint="eastAsia" w:ascii="宋体" w:hAnsi="宋体"/>
                <w:b/>
                <w:bCs/>
                <w:iCs/>
                <w:szCs w:val="21"/>
              </w:rPr>
              <w:t>投资者关系</w:t>
            </w:r>
          </w:p>
          <w:p w14:paraId="1A8113A2">
            <w:pPr>
              <w:spacing w:line="360" w:lineRule="auto"/>
              <w:jc w:val="center"/>
              <w:rPr>
                <w:rFonts w:ascii="宋体" w:hAnsi="宋体"/>
                <w:b/>
                <w:bCs/>
                <w:iCs/>
                <w:szCs w:val="21"/>
              </w:rPr>
            </w:pPr>
            <w:r>
              <w:rPr>
                <w:rFonts w:hint="eastAsia" w:ascii="宋体" w:hAnsi="宋体"/>
                <w:b/>
                <w:bCs/>
                <w:iCs/>
                <w:szCs w:val="21"/>
              </w:rPr>
              <w:t>活动类别</w:t>
            </w:r>
          </w:p>
        </w:tc>
        <w:tc>
          <w:tcPr>
            <w:tcW w:w="6967" w:type="dxa"/>
          </w:tcPr>
          <w:p w14:paraId="16149B5B">
            <w:pPr>
              <w:spacing w:line="360" w:lineRule="auto"/>
              <w:rPr>
                <w:rFonts w:ascii="宋体" w:hAnsi="宋体"/>
                <w:bCs/>
                <w:iCs/>
                <w:szCs w:val="21"/>
              </w:rPr>
            </w:pPr>
            <w:r>
              <w:rPr>
                <w:rFonts w:hint="eastAsia" w:ascii="宋体" w:hAnsi="宋体"/>
                <w:bCs/>
                <w:iCs/>
                <w:szCs w:val="21"/>
              </w:rPr>
              <w:t>□特定对象调研       □ 分析师会议</w:t>
            </w:r>
          </w:p>
          <w:p w14:paraId="4B151E3E">
            <w:pPr>
              <w:spacing w:line="360" w:lineRule="auto"/>
              <w:rPr>
                <w:rFonts w:ascii="宋体" w:hAnsi="宋体"/>
                <w:bCs/>
                <w:iCs/>
                <w:szCs w:val="21"/>
              </w:rPr>
            </w:pPr>
            <w:r>
              <w:rPr>
                <w:rFonts w:hint="eastAsia" w:ascii="宋体" w:hAnsi="宋体"/>
                <w:bCs/>
                <w:iCs/>
                <w:szCs w:val="21"/>
              </w:rPr>
              <w:t>□媒体采访           □ 业绩说明会</w:t>
            </w:r>
          </w:p>
          <w:p w14:paraId="24FC0C96">
            <w:pPr>
              <w:spacing w:line="360" w:lineRule="auto"/>
              <w:rPr>
                <w:rFonts w:ascii="宋体" w:hAnsi="宋体"/>
                <w:bCs/>
                <w:iCs/>
                <w:szCs w:val="21"/>
              </w:rPr>
            </w:pPr>
            <w:r>
              <w:rPr>
                <w:rFonts w:hint="eastAsia" w:ascii="宋体" w:hAnsi="宋体"/>
                <w:bCs/>
                <w:iCs/>
                <w:szCs w:val="21"/>
              </w:rPr>
              <w:t>□新闻发布会         □ 路演活动</w:t>
            </w:r>
          </w:p>
          <w:p w14:paraId="7D220E26">
            <w:pPr>
              <w:spacing w:line="360" w:lineRule="auto"/>
              <w:rPr>
                <w:rFonts w:ascii="宋体" w:hAnsi="宋体"/>
                <w:bCs/>
                <w:iCs/>
                <w:szCs w:val="21"/>
              </w:rPr>
            </w:pPr>
            <w:r>
              <w:rPr>
                <w:rFonts w:hint="eastAsia" w:ascii="宋体" w:hAnsi="宋体"/>
                <w:bCs/>
                <w:iCs/>
                <w:szCs w:val="21"/>
              </w:rPr>
              <w:t xml:space="preserve">□现场参观           </w:t>
            </w:r>
            <w:r>
              <w:rPr>
                <w:rFonts w:hint="eastAsia" w:ascii="宋体" w:hAnsi="宋体"/>
                <w:bCs/>
                <w:iCs/>
                <w:szCs w:val="21"/>
              </w:rPr>
              <w:sym w:font="Wingdings 2" w:char="0052"/>
            </w:r>
            <w:r>
              <w:rPr>
                <w:rFonts w:hint="eastAsia" w:ascii="宋体" w:hAnsi="宋体"/>
                <w:bCs/>
                <w:iCs/>
                <w:szCs w:val="21"/>
              </w:rPr>
              <w:t xml:space="preserve"> 电话会议</w:t>
            </w:r>
          </w:p>
          <w:p w14:paraId="3408B83F">
            <w:pPr>
              <w:spacing w:line="360" w:lineRule="auto"/>
              <w:rPr>
                <w:rFonts w:ascii="宋体" w:hAnsi="宋体"/>
                <w:bCs/>
                <w:iCs/>
                <w:szCs w:val="21"/>
              </w:rPr>
            </w:pPr>
            <w:r>
              <w:rPr>
                <w:rFonts w:hint="eastAsia" w:ascii="宋体" w:hAnsi="宋体"/>
                <w:bCs/>
                <w:iCs/>
                <w:szCs w:val="21"/>
              </w:rPr>
              <w:t>□其他 （</w:t>
            </w:r>
            <w:r>
              <w:rPr>
                <w:rFonts w:hint="eastAsia" w:ascii="宋体" w:hAnsi="宋体"/>
                <w:bCs/>
                <w:iCs/>
                <w:szCs w:val="21"/>
                <w:u w:val="single"/>
              </w:rPr>
              <w:t>请文字说明其他活动内容）</w:t>
            </w:r>
          </w:p>
        </w:tc>
      </w:tr>
      <w:tr w14:paraId="19B3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FEC3FE">
            <w:pPr>
              <w:spacing w:line="360" w:lineRule="auto"/>
              <w:jc w:val="center"/>
              <w:rPr>
                <w:rFonts w:ascii="宋体" w:hAnsi="宋体"/>
                <w:b/>
                <w:bCs/>
                <w:iCs/>
                <w:szCs w:val="21"/>
              </w:rPr>
            </w:pPr>
            <w:r>
              <w:rPr>
                <w:rFonts w:hint="eastAsia" w:ascii="宋体" w:hAnsi="宋体"/>
                <w:b/>
                <w:bCs/>
                <w:iCs/>
                <w:szCs w:val="21"/>
              </w:rPr>
              <w:t>参与单位名称</w:t>
            </w:r>
          </w:p>
        </w:tc>
        <w:tc>
          <w:tcPr>
            <w:tcW w:w="6967" w:type="dxa"/>
          </w:tcPr>
          <w:p w14:paraId="3F7D54FF">
            <w:pPr>
              <w:spacing w:line="360" w:lineRule="auto"/>
              <w:rPr>
                <w:rFonts w:hint="eastAsia" w:ascii="宋体" w:hAnsi="宋体" w:eastAsia="宋体"/>
                <w:bCs/>
                <w:iCs/>
                <w:szCs w:val="21"/>
                <w:lang w:val="en-US" w:eastAsia="zh-CN"/>
              </w:rPr>
            </w:pPr>
            <w:r>
              <w:rPr>
                <w:rFonts w:ascii="宋体" w:hAnsi="宋体"/>
                <w:bCs/>
                <w:iCs/>
                <w:szCs w:val="21"/>
              </w:rPr>
              <w:t>华</w:t>
            </w:r>
            <w:r>
              <w:rPr>
                <w:rFonts w:hint="eastAsia" w:ascii="宋体" w:hAnsi="宋体"/>
                <w:bCs/>
                <w:iCs/>
                <w:szCs w:val="21"/>
                <w:lang w:val="en-US" w:eastAsia="zh-CN"/>
              </w:rPr>
              <w:t>福</w:t>
            </w:r>
            <w:r>
              <w:rPr>
                <w:rFonts w:ascii="宋体" w:hAnsi="宋体"/>
                <w:bCs/>
                <w:iCs/>
                <w:szCs w:val="21"/>
              </w:rPr>
              <w:t>证券</w:t>
            </w:r>
            <w:r>
              <w:rPr>
                <w:rFonts w:hint="eastAsia" w:ascii="宋体" w:hAnsi="宋体"/>
                <w:bCs/>
                <w:iCs/>
                <w:szCs w:val="21"/>
                <w:lang w:val="en-US" w:eastAsia="zh-CN"/>
              </w:rPr>
              <w:t>研究所</w:t>
            </w:r>
          </w:p>
        </w:tc>
      </w:tr>
      <w:tr w14:paraId="71AA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11FC6BC">
            <w:pPr>
              <w:spacing w:line="360" w:lineRule="auto"/>
              <w:jc w:val="center"/>
              <w:rPr>
                <w:rFonts w:ascii="宋体" w:hAnsi="宋体"/>
                <w:b/>
                <w:bCs/>
                <w:iCs/>
                <w:szCs w:val="21"/>
              </w:rPr>
            </w:pPr>
            <w:r>
              <w:rPr>
                <w:rFonts w:hint="eastAsia" w:ascii="宋体" w:hAnsi="宋体"/>
                <w:b/>
                <w:bCs/>
                <w:iCs/>
                <w:szCs w:val="21"/>
              </w:rPr>
              <w:t>时间</w:t>
            </w:r>
          </w:p>
        </w:tc>
        <w:tc>
          <w:tcPr>
            <w:tcW w:w="6967" w:type="dxa"/>
          </w:tcPr>
          <w:p w14:paraId="6C31491A">
            <w:pPr>
              <w:spacing w:line="360" w:lineRule="auto"/>
              <w:rPr>
                <w:rFonts w:ascii="宋体" w:hAnsi="宋体"/>
                <w:bCs/>
                <w:iCs/>
                <w:szCs w:val="21"/>
              </w:rPr>
            </w:pPr>
            <w:r>
              <w:rPr>
                <w:rFonts w:hint="eastAsia" w:ascii="宋体" w:hAnsi="宋体"/>
                <w:bCs/>
                <w:iCs/>
                <w:szCs w:val="21"/>
              </w:rPr>
              <w:t>2</w:t>
            </w:r>
            <w:r>
              <w:rPr>
                <w:rFonts w:ascii="宋体" w:hAnsi="宋体"/>
                <w:bCs/>
                <w:iCs/>
                <w:szCs w:val="21"/>
              </w:rPr>
              <w:t>024</w:t>
            </w:r>
            <w:r>
              <w:rPr>
                <w:rFonts w:hint="eastAsia" w:ascii="宋体" w:hAnsi="宋体"/>
                <w:bCs/>
                <w:iCs/>
                <w:szCs w:val="21"/>
              </w:rPr>
              <w:t>年</w:t>
            </w:r>
            <w:r>
              <w:rPr>
                <w:rFonts w:hint="eastAsia" w:ascii="宋体" w:hAnsi="宋体"/>
                <w:bCs/>
                <w:iCs/>
                <w:szCs w:val="21"/>
                <w:lang w:val="en-US" w:eastAsia="zh-CN"/>
              </w:rPr>
              <w:t>11</w:t>
            </w:r>
            <w:r>
              <w:rPr>
                <w:rFonts w:ascii="宋体" w:hAnsi="宋体"/>
                <w:bCs/>
                <w:iCs/>
                <w:szCs w:val="21"/>
              </w:rPr>
              <w:t>月</w:t>
            </w:r>
          </w:p>
        </w:tc>
      </w:tr>
      <w:tr w14:paraId="214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F57B9C4">
            <w:pPr>
              <w:spacing w:line="360" w:lineRule="auto"/>
              <w:jc w:val="center"/>
              <w:rPr>
                <w:rFonts w:ascii="宋体" w:hAnsi="宋体"/>
                <w:b/>
                <w:bCs/>
                <w:iCs/>
                <w:szCs w:val="21"/>
              </w:rPr>
            </w:pPr>
            <w:r>
              <w:rPr>
                <w:rFonts w:hint="eastAsia" w:ascii="宋体" w:hAnsi="宋体"/>
                <w:b/>
                <w:bCs/>
                <w:iCs/>
                <w:szCs w:val="21"/>
              </w:rPr>
              <w:t>参会方式</w:t>
            </w:r>
          </w:p>
        </w:tc>
        <w:tc>
          <w:tcPr>
            <w:tcW w:w="6967" w:type="dxa"/>
          </w:tcPr>
          <w:p w14:paraId="7796299B">
            <w:pPr>
              <w:spacing w:line="360" w:lineRule="auto"/>
              <w:rPr>
                <w:rFonts w:ascii="宋体" w:hAnsi="宋体"/>
                <w:bCs/>
                <w:iCs/>
                <w:szCs w:val="21"/>
              </w:rPr>
            </w:pPr>
            <w:r>
              <w:rPr>
                <w:rFonts w:hint="eastAsia" w:ascii="宋体" w:hAnsi="宋体"/>
                <w:bCs/>
                <w:iCs/>
                <w:szCs w:val="21"/>
              </w:rPr>
              <w:t>电话会议</w:t>
            </w:r>
          </w:p>
        </w:tc>
      </w:tr>
      <w:tr w14:paraId="406D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A5AF6C1">
            <w:pPr>
              <w:spacing w:line="360" w:lineRule="auto"/>
              <w:jc w:val="center"/>
              <w:rPr>
                <w:rFonts w:ascii="宋体" w:hAnsi="宋体"/>
                <w:b/>
                <w:bCs/>
                <w:iCs/>
                <w:szCs w:val="21"/>
              </w:rPr>
            </w:pPr>
            <w:r>
              <w:rPr>
                <w:rFonts w:hint="eastAsia" w:ascii="宋体" w:hAnsi="宋体"/>
                <w:b/>
                <w:bCs/>
                <w:iCs/>
                <w:szCs w:val="21"/>
              </w:rPr>
              <w:t>公司接待人员姓名、职务</w:t>
            </w:r>
          </w:p>
        </w:tc>
        <w:tc>
          <w:tcPr>
            <w:tcW w:w="6967" w:type="dxa"/>
          </w:tcPr>
          <w:p w14:paraId="2FD2E3DA">
            <w:pPr>
              <w:spacing w:line="360" w:lineRule="auto"/>
              <w:rPr>
                <w:rFonts w:ascii="宋体" w:hAnsi="宋体"/>
                <w:bCs/>
                <w:iCs/>
                <w:szCs w:val="21"/>
              </w:rPr>
            </w:pPr>
            <w:r>
              <w:rPr>
                <w:rFonts w:hint="eastAsia" w:ascii="宋体" w:hAnsi="宋体"/>
                <w:bCs/>
                <w:iCs/>
                <w:szCs w:val="21"/>
              </w:rPr>
              <w:t>陈吉龙：董事、财务总监、董事会秘书</w:t>
            </w:r>
          </w:p>
          <w:p w14:paraId="59DD1987">
            <w:pPr>
              <w:spacing w:line="360" w:lineRule="auto"/>
              <w:rPr>
                <w:rFonts w:ascii="宋体" w:hAnsi="宋体"/>
                <w:bCs/>
                <w:iCs/>
                <w:szCs w:val="21"/>
              </w:rPr>
            </w:pPr>
            <w:r>
              <w:rPr>
                <w:rFonts w:hint="eastAsia" w:ascii="宋体" w:hAnsi="宋体"/>
                <w:bCs/>
                <w:iCs/>
                <w:szCs w:val="21"/>
                <w:lang w:val="en-US" w:eastAsia="zh-CN"/>
              </w:rPr>
              <w:t>谭美翼</w:t>
            </w:r>
            <w:r>
              <w:rPr>
                <w:rFonts w:hint="eastAsia" w:ascii="宋体" w:hAnsi="宋体"/>
                <w:bCs/>
                <w:iCs/>
                <w:szCs w:val="21"/>
              </w:rPr>
              <w:t>：证券事务代表</w:t>
            </w:r>
          </w:p>
        </w:tc>
      </w:tr>
      <w:tr w14:paraId="0C6B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3678D42">
            <w:pPr>
              <w:spacing w:line="360" w:lineRule="auto"/>
              <w:jc w:val="center"/>
              <w:rPr>
                <w:rFonts w:ascii="宋体" w:hAnsi="宋体"/>
                <w:b/>
                <w:bCs/>
                <w:iCs/>
                <w:szCs w:val="21"/>
              </w:rPr>
            </w:pPr>
            <w:r>
              <w:rPr>
                <w:rFonts w:hint="eastAsia" w:ascii="宋体" w:hAnsi="宋体"/>
                <w:b/>
                <w:bCs/>
                <w:iCs/>
                <w:szCs w:val="21"/>
              </w:rPr>
              <w:t>投资者关系活动主要内容</w:t>
            </w:r>
          </w:p>
        </w:tc>
        <w:tc>
          <w:tcPr>
            <w:tcW w:w="6967" w:type="dxa"/>
          </w:tcPr>
          <w:p w14:paraId="0FF40B79">
            <w:pPr>
              <w:spacing w:line="360" w:lineRule="auto"/>
              <w:ind w:firstLine="420" w:firstLineChars="200"/>
              <w:rPr>
                <w:szCs w:val="21"/>
              </w:rPr>
            </w:pPr>
            <w:r>
              <w:rPr>
                <w:rFonts w:hint="eastAsia"/>
                <w:szCs w:val="21"/>
              </w:rPr>
              <w:t>一、介绍了公司基本情况、行业发展概况、公司的竞争优势和经营特色等基本信息。</w:t>
            </w:r>
          </w:p>
          <w:p w14:paraId="18E9F8A6">
            <w:pPr>
              <w:spacing w:line="360" w:lineRule="auto"/>
              <w:ind w:firstLine="420" w:firstLineChars="200"/>
              <w:rPr>
                <w:szCs w:val="21"/>
              </w:rPr>
            </w:pPr>
            <w:r>
              <w:rPr>
                <w:rFonts w:hint="eastAsia"/>
                <w:szCs w:val="21"/>
              </w:rPr>
              <w:t>二、提问环节</w:t>
            </w:r>
          </w:p>
          <w:p w14:paraId="00D8DAE1">
            <w:pPr>
              <w:pStyle w:val="12"/>
              <w:spacing w:before="156" w:after="156"/>
              <w:ind w:firstLine="386" w:firstLineChars="183"/>
              <w:rPr>
                <w:rFonts w:hint="eastAsia"/>
                <w:b/>
                <w:sz w:val="21"/>
                <w:szCs w:val="21"/>
              </w:rPr>
            </w:pPr>
            <w:r>
              <w:rPr>
                <w:b/>
                <w:sz w:val="21"/>
                <w:szCs w:val="21"/>
              </w:rPr>
              <w:t>问题1</w:t>
            </w:r>
            <w:r>
              <w:rPr>
                <w:rFonts w:hint="eastAsia"/>
                <w:b/>
                <w:sz w:val="21"/>
                <w:szCs w:val="21"/>
              </w:rPr>
              <w:t>：观察到公司有涉及海外业务，请问公司是什么时候开始进行海外业务？</w:t>
            </w:r>
          </w:p>
          <w:p w14:paraId="46BE6803">
            <w:pPr>
              <w:pStyle w:val="12"/>
              <w:spacing w:before="156" w:after="156"/>
              <w:ind w:firstLine="384" w:firstLineChars="183"/>
              <w:rPr>
                <w:rFonts w:hint="eastAsia"/>
                <w:sz w:val="21"/>
                <w:szCs w:val="21"/>
                <w:lang w:val="en-US" w:eastAsia="zh-CN"/>
              </w:rPr>
            </w:pPr>
            <w:r>
              <w:rPr>
                <w:rFonts w:hint="eastAsia"/>
                <w:sz w:val="21"/>
                <w:szCs w:val="21"/>
                <w:lang w:val="en-US" w:eastAsia="zh-CN"/>
              </w:rPr>
              <w:t>答复：公司自2018年起开始积极拓展海外业务，现在亦作为公司长期战略规划的核心部分。经过数年的耕耘，公司在海外市场已经到了收获的阶段，通过在海外市场的深入布局，不仅增强了自身的国际竞争力，也为未来的增长打下了坚实的基础。同时，得益于海外市场的高毛利率和较强的履约精神，预计未来海外业务的增长将超过国内市场。</w:t>
            </w:r>
          </w:p>
          <w:p w14:paraId="4803D44D">
            <w:pPr>
              <w:pStyle w:val="12"/>
              <w:spacing w:before="156" w:after="156"/>
              <w:ind w:firstLine="384" w:firstLineChars="183"/>
              <w:rPr>
                <w:rFonts w:hint="eastAsia"/>
                <w:b/>
                <w:sz w:val="21"/>
                <w:szCs w:val="21"/>
              </w:rPr>
            </w:pPr>
            <w:r>
              <w:rPr>
                <w:rFonts w:hint="eastAsia"/>
                <w:sz w:val="21"/>
                <w:szCs w:val="21"/>
                <w:lang w:val="en-US" w:eastAsia="zh-CN"/>
              </w:rPr>
              <w:t>公司正积极培养本土化的供应链能力和安装交付能力，以适应不同国家和地区的市场需求。此外，公司在法国、韩国等国家均聘请了本土化的外籍员工团队，这些团队正在积极培养和拓展市场。</w:t>
            </w:r>
          </w:p>
          <w:p w14:paraId="2F0E0885">
            <w:pPr>
              <w:pStyle w:val="12"/>
              <w:spacing w:before="156" w:after="156"/>
              <w:ind w:firstLine="386" w:firstLineChars="183"/>
              <w:rPr>
                <w:b/>
                <w:sz w:val="21"/>
                <w:szCs w:val="21"/>
              </w:rPr>
            </w:pPr>
            <w:r>
              <w:rPr>
                <w:b/>
                <w:sz w:val="21"/>
                <w:szCs w:val="21"/>
              </w:rPr>
              <w:t>问题2：</w:t>
            </w:r>
            <w:r>
              <w:rPr>
                <w:rFonts w:hint="eastAsia"/>
                <w:b/>
                <w:sz w:val="21"/>
                <w:szCs w:val="21"/>
              </w:rPr>
              <w:t>海外业务的签单情况？公司2023年海外业务占比下降的原因？</w:t>
            </w:r>
          </w:p>
          <w:p w14:paraId="08B0243F">
            <w:pPr>
              <w:pStyle w:val="12"/>
              <w:spacing w:before="156" w:after="156"/>
              <w:ind w:firstLine="384" w:firstLineChars="183"/>
              <w:rPr>
                <w:rFonts w:hint="eastAsia"/>
                <w:b/>
                <w:sz w:val="21"/>
                <w:szCs w:val="21"/>
              </w:rPr>
            </w:pPr>
            <w:r>
              <w:rPr>
                <w:rFonts w:hint="eastAsia"/>
                <w:sz w:val="21"/>
                <w:szCs w:val="21"/>
              </w:rPr>
              <w:t>答复：公司早在2018年就制定了国际化中长期战略，是国内行业中较早布局海外市场并形成规模化收入的企业之一。2023年海外业务收入下滑主要是因为2020年开始的阶段性境外商务活动受限导致订单获取减少，以及2022年至2023年第一季度员工出境差旅能力受限，影响了部分项目交付。截止目前，公司的境外订单获取及交付能力已全面恢复，公司2021年、2022年、2023年新签海外订单额分别为3.95亿元、4.87亿元、6.27亿元，整体海外业务规模呈稳步上升态势。根据公司</w:t>
            </w:r>
            <w:r>
              <w:rPr>
                <w:rFonts w:hint="eastAsia"/>
                <w:sz w:val="21"/>
                <w:szCs w:val="21"/>
                <w:lang w:val="en-US" w:eastAsia="zh-CN"/>
              </w:rPr>
              <w:t>2024年度半年报</w:t>
            </w:r>
            <w:r>
              <w:rPr>
                <w:rFonts w:hint="eastAsia"/>
                <w:sz w:val="21"/>
                <w:szCs w:val="21"/>
              </w:rPr>
              <w:t>数据，公司2024年1-6月份，境外地区收入为7685.22万元，较去年同期增长245.34%。</w:t>
            </w:r>
          </w:p>
          <w:p w14:paraId="7C6EBE8F">
            <w:pPr>
              <w:pStyle w:val="12"/>
              <w:spacing w:before="156" w:after="156"/>
              <w:ind w:firstLine="386" w:firstLineChars="183"/>
              <w:rPr>
                <w:rFonts w:hint="eastAsia"/>
                <w:b/>
                <w:sz w:val="21"/>
                <w:szCs w:val="21"/>
              </w:rPr>
            </w:pPr>
            <w:r>
              <w:rPr>
                <w:rFonts w:hint="eastAsia"/>
                <w:b/>
                <w:sz w:val="21"/>
                <w:szCs w:val="21"/>
                <w:lang w:val="en-US" w:eastAsia="zh-CN"/>
              </w:rPr>
              <w:t>问题3：</w:t>
            </w:r>
            <w:r>
              <w:rPr>
                <w:rFonts w:hint="eastAsia"/>
                <w:b/>
                <w:sz w:val="21"/>
                <w:szCs w:val="21"/>
              </w:rPr>
              <w:t>海外业务是否以物流为主？形成该业务格局是否与中国企业出海有关？</w:t>
            </w:r>
          </w:p>
          <w:p w14:paraId="4CE0DBCB">
            <w:pPr>
              <w:pStyle w:val="12"/>
              <w:spacing w:before="156" w:after="156"/>
              <w:ind w:firstLine="384" w:firstLineChars="183"/>
              <w:rPr>
                <w:rFonts w:hint="eastAsia"/>
                <w:sz w:val="21"/>
                <w:szCs w:val="21"/>
                <w:lang w:val="en-US" w:eastAsia="zh-CN"/>
              </w:rPr>
            </w:pPr>
            <w:r>
              <w:rPr>
                <w:rFonts w:hint="eastAsia"/>
                <w:sz w:val="21"/>
                <w:szCs w:val="21"/>
                <w:lang w:val="en-US" w:eastAsia="zh-CN"/>
              </w:rPr>
              <w:t>答复：科捷智能的海外业务不仅限于物流，还包括智能制造等多个领域。公司最初通过物流业务进入海外市场，随后扩展到智能制造业务。随着中国企业的全球化，科捷智能的业务也扩展到了更多国家和地区。</w:t>
            </w:r>
          </w:p>
          <w:p w14:paraId="2FE8B7FD">
            <w:pPr>
              <w:pStyle w:val="12"/>
              <w:spacing w:before="156" w:after="156"/>
              <w:ind w:firstLine="386" w:firstLineChars="183"/>
              <w:rPr>
                <w:b/>
                <w:sz w:val="21"/>
                <w:szCs w:val="21"/>
              </w:rPr>
            </w:pPr>
            <w:r>
              <w:rPr>
                <w:b/>
                <w:sz w:val="21"/>
                <w:szCs w:val="21"/>
              </w:rPr>
              <w:t>问题</w:t>
            </w:r>
            <w:r>
              <w:rPr>
                <w:rFonts w:hint="eastAsia"/>
                <w:b/>
                <w:sz w:val="21"/>
                <w:szCs w:val="21"/>
                <w:lang w:val="en-US" w:eastAsia="zh-CN"/>
              </w:rPr>
              <w:t>4</w:t>
            </w:r>
            <w:r>
              <w:rPr>
                <w:rFonts w:hint="eastAsia"/>
                <w:b/>
                <w:sz w:val="21"/>
                <w:szCs w:val="21"/>
              </w:rPr>
              <w:t>：公司在手订单有多少？</w:t>
            </w:r>
          </w:p>
          <w:p w14:paraId="6F80A154">
            <w:pPr>
              <w:pStyle w:val="12"/>
              <w:spacing w:before="156" w:after="156"/>
              <w:ind w:firstLine="384" w:firstLineChars="183"/>
              <w:rPr>
                <w:sz w:val="21"/>
                <w:szCs w:val="21"/>
              </w:rPr>
            </w:pPr>
            <w:r>
              <w:rPr>
                <w:sz w:val="21"/>
                <w:szCs w:val="21"/>
              </w:rPr>
              <w:t>答复：</w:t>
            </w:r>
            <w:r>
              <w:rPr>
                <w:rFonts w:hint="eastAsia"/>
                <w:sz w:val="21"/>
                <w:szCs w:val="21"/>
              </w:rPr>
              <w:t>公司将在年度报告中披露相关签单及在手订单情况，请您继续关注公司后续的定期报告和信息披露，以获取最新的订单情况和业务进展。</w:t>
            </w:r>
          </w:p>
          <w:p w14:paraId="473D60A0">
            <w:pPr>
              <w:pStyle w:val="12"/>
              <w:spacing w:before="156" w:after="156"/>
              <w:ind w:firstLine="386" w:firstLineChars="183"/>
              <w:rPr>
                <w:b/>
                <w:sz w:val="21"/>
                <w:szCs w:val="21"/>
              </w:rPr>
            </w:pPr>
            <w:r>
              <w:rPr>
                <w:rFonts w:hint="eastAsia"/>
                <w:b/>
                <w:sz w:val="21"/>
                <w:szCs w:val="21"/>
              </w:rPr>
              <w:t>问题</w:t>
            </w:r>
            <w:r>
              <w:rPr>
                <w:rFonts w:hint="eastAsia"/>
                <w:b/>
                <w:sz w:val="21"/>
                <w:szCs w:val="21"/>
                <w:lang w:val="en-US" w:eastAsia="zh-CN"/>
              </w:rPr>
              <w:t>5</w:t>
            </w:r>
            <w:r>
              <w:rPr>
                <w:rFonts w:hint="eastAsia"/>
                <w:b/>
                <w:sz w:val="21"/>
                <w:szCs w:val="21"/>
              </w:rPr>
              <w:t>：公司在手订单的交付周期是否都是9-12个月？</w:t>
            </w:r>
          </w:p>
          <w:p w14:paraId="16AF8A1F">
            <w:pPr>
              <w:pStyle w:val="12"/>
              <w:spacing w:before="156" w:after="156"/>
              <w:ind w:firstLine="384" w:firstLineChars="183"/>
              <w:rPr>
                <w:rFonts w:hint="eastAsia"/>
                <w:sz w:val="21"/>
                <w:szCs w:val="21"/>
              </w:rPr>
            </w:pPr>
            <w:r>
              <w:rPr>
                <w:rFonts w:hint="eastAsia"/>
                <w:sz w:val="21"/>
                <w:szCs w:val="21"/>
              </w:rPr>
              <w:t>答复：是的，公司在手订单的交付周期基本在9-12个月左右，具体的交付周期可能会因项目的复杂性、规模、客户需求以及其他实际操作因素而有所不同。公司一直致力于优化项目管理流程，以确保高效完成订单交付。</w:t>
            </w:r>
          </w:p>
          <w:p w14:paraId="7133894A">
            <w:pPr>
              <w:pStyle w:val="12"/>
              <w:spacing w:before="156" w:after="156"/>
              <w:ind w:firstLine="386" w:firstLineChars="183"/>
              <w:rPr>
                <w:rFonts w:hint="eastAsia"/>
                <w:b/>
                <w:sz w:val="21"/>
                <w:szCs w:val="21"/>
              </w:rPr>
            </w:pPr>
            <w:r>
              <w:rPr>
                <w:rFonts w:hint="eastAsia"/>
                <w:b/>
                <w:sz w:val="21"/>
                <w:szCs w:val="21"/>
              </w:rPr>
              <w:t>问题</w:t>
            </w:r>
            <w:r>
              <w:rPr>
                <w:rFonts w:hint="eastAsia"/>
                <w:b/>
                <w:sz w:val="21"/>
                <w:szCs w:val="21"/>
                <w:lang w:val="en-US" w:eastAsia="zh-CN"/>
              </w:rPr>
              <w:t>6</w:t>
            </w:r>
            <w:r>
              <w:rPr>
                <w:rFonts w:hint="eastAsia"/>
                <w:b/>
                <w:sz w:val="21"/>
                <w:szCs w:val="21"/>
              </w:rPr>
              <w:t>：公司的下游客户中，是否物流业务占比较大？公司向顺丰等主流快递业务服务商提供了哪些产品，相关产品是否有别的供应商也在做？</w:t>
            </w:r>
          </w:p>
          <w:p w14:paraId="31DF3BC7">
            <w:pPr>
              <w:pStyle w:val="12"/>
              <w:spacing w:before="156" w:after="156"/>
              <w:ind w:firstLine="384" w:firstLineChars="183"/>
              <w:rPr>
                <w:rFonts w:hint="eastAsia"/>
                <w:b w:val="0"/>
                <w:sz w:val="21"/>
                <w:szCs w:val="21"/>
              </w:rPr>
            </w:pPr>
            <w:r>
              <w:rPr>
                <w:rFonts w:hint="eastAsia"/>
                <w:sz w:val="21"/>
                <w:szCs w:val="21"/>
                <w:lang w:val="en-US" w:eastAsia="zh-CN"/>
              </w:rPr>
              <w:t>答复：截止目前，公司物流业务确实仍占有较大比例。公司在智能物流领域拥有深厚的技术积累和丰富的项目经验，与多家物流企业建立了合作关系。公司向顺丰等主流快递业务服务商提供的产品主要包括智能物流系统和装备，涉及输送类和分拣类设备等。智能物流设备领域市场竞争激烈，有多家供应商提供类似产品，得益于公司的技术创新和对客户需求的深刻理解，科捷智能在行业内始终处于第一梯队，具有一定的竞争优势。同时，公司也为以京东为代表的客户提供前置仓等仓储解决方案，公司通过技术创新、不断研发新技术、提升产品性能、提升服务质量和客户关系管理等措施，保持在市场中的竞争力并更好地满足客户需求。</w:t>
            </w:r>
          </w:p>
          <w:p w14:paraId="0A3B010E">
            <w:pPr>
              <w:pStyle w:val="12"/>
              <w:spacing w:before="156" w:after="156"/>
              <w:ind w:firstLine="386" w:firstLineChars="183"/>
              <w:rPr>
                <w:rFonts w:hint="eastAsia"/>
                <w:b/>
                <w:sz w:val="21"/>
                <w:szCs w:val="21"/>
              </w:rPr>
            </w:pPr>
            <w:r>
              <w:rPr>
                <w:rFonts w:hint="eastAsia"/>
                <w:b/>
                <w:sz w:val="21"/>
                <w:szCs w:val="21"/>
                <w:lang w:val="en-US" w:eastAsia="zh-CN"/>
              </w:rPr>
              <w:t>问题7：</w:t>
            </w:r>
            <w:r>
              <w:rPr>
                <w:rFonts w:hint="eastAsia"/>
                <w:b/>
                <w:sz w:val="21"/>
                <w:szCs w:val="21"/>
              </w:rPr>
              <w:t>公司与友商做的业务是否有实质性差别？</w:t>
            </w:r>
          </w:p>
          <w:p w14:paraId="5104140B">
            <w:pPr>
              <w:pStyle w:val="12"/>
              <w:spacing w:before="156" w:after="156"/>
              <w:ind w:firstLine="384" w:firstLineChars="183"/>
              <w:rPr>
                <w:rFonts w:hint="eastAsia"/>
                <w:b/>
                <w:sz w:val="21"/>
                <w:szCs w:val="21"/>
              </w:rPr>
            </w:pPr>
            <w:r>
              <w:rPr>
                <w:rFonts w:hint="eastAsia"/>
                <w:sz w:val="21"/>
                <w:szCs w:val="21"/>
                <w:lang w:val="en-US" w:eastAsia="zh-CN"/>
              </w:rPr>
              <w:t>答复：以中科微至、中邮科技和科捷智能为代表的智能物流行业第一梯队公司在产品同质化方面相对较高，但公司的核心竞争力在于卓越的项目集成能力和强大的整体交付保障能力。公司在电气控制和软件架构方面拥有深厚的技术积累，这使得我们能够提供更加个性化和高效的解决方案，满足客户的特定需求。公司在系统集成能力、技术创新、服务质量和客户关系管理等方面的持续投入，也确保了公司在激烈的市场竞争中保持领先地位，使公司能够在众多供应商中脱颖而出，为客户提供更加定制化和高效的</w:t>
            </w:r>
            <w:bookmarkStart w:id="0" w:name="_GoBack"/>
            <w:bookmarkEnd w:id="0"/>
            <w:r>
              <w:rPr>
                <w:rFonts w:hint="eastAsia"/>
                <w:sz w:val="21"/>
                <w:szCs w:val="21"/>
                <w:lang w:val="en-US" w:eastAsia="zh-CN"/>
              </w:rPr>
              <w:t>智能物流和智能制造解决方案。</w:t>
            </w:r>
          </w:p>
          <w:p w14:paraId="556418F0">
            <w:pPr>
              <w:pStyle w:val="12"/>
              <w:spacing w:before="156" w:after="156"/>
              <w:ind w:firstLine="386" w:firstLineChars="183"/>
              <w:rPr>
                <w:rFonts w:hint="eastAsia"/>
                <w:b/>
                <w:sz w:val="21"/>
                <w:szCs w:val="21"/>
              </w:rPr>
            </w:pPr>
            <w:r>
              <w:rPr>
                <w:rFonts w:hint="eastAsia"/>
                <w:b/>
                <w:sz w:val="21"/>
                <w:szCs w:val="21"/>
                <w:lang w:val="en-US" w:eastAsia="zh-CN"/>
              </w:rPr>
              <w:t>问题8：</w:t>
            </w:r>
            <w:r>
              <w:rPr>
                <w:rFonts w:hint="eastAsia"/>
                <w:b/>
                <w:sz w:val="21"/>
                <w:szCs w:val="21"/>
              </w:rPr>
              <w:t>快递公司在做智能配送车、无人投放等，公司对该领域未来市场怎么判断？公司是否涉及相关业务？</w:t>
            </w:r>
          </w:p>
          <w:p w14:paraId="43439869">
            <w:pPr>
              <w:pStyle w:val="12"/>
              <w:spacing w:before="156" w:after="156"/>
              <w:ind w:firstLine="384" w:firstLineChars="183"/>
              <w:rPr>
                <w:rFonts w:hint="eastAsia"/>
                <w:b/>
                <w:sz w:val="21"/>
                <w:szCs w:val="21"/>
              </w:rPr>
            </w:pPr>
            <w:r>
              <w:rPr>
                <w:rFonts w:hint="eastAsia"/>
                <w:sz w:val="21"/>
                <w:szCs w:val="21"/>
                <w:lang w:val="en-US" w:eastAsia="zh-CN"/>
              </w:rPr>
              <w:t>答复：无人配送在物流领域的应用是未来发展的重要趋势，尤其体现在最后一公里的配送上。尽管国内复杂的运营环境和多变的使用场景给无人配送的广泛应用带来了挑战，但相信随着自动驾驶技术的成熟，这一领域有望在未来发展为庞大的市场。目前，物流企业主要通过无人机和无人车等提升后端物流配送效率，而公司主要聚焦于物流企业中转场内部的自动化作业，公司更专注于自己的主营业务来做深、做专、做强，因此，公司目前暂不涉及智能配送车等相关业务。我们将继续关注技术发展和市场变化，以把握未来可能的业务拓展机会。</w:t>
            </w:r>
          </w:p>
          <w:p w14:paraId="5FC7D2F1">
            <w:pPr>
              <w:pStyle w:val="12"/>
              <w:spacing w:before="156" w:after="156"/>
              <w:ind w:firstLine="386" w:firstLineChars="183"/>
              <w:rPr>
                <w:rFonts w:hint="eastAsia"/>
                <w:b/>
                <w:sz w:val="21"/>
                <w:szCs w:val="21"/>
              </w:rPr>
            </w:pPr>
            <w:r>
              <w:rPr>
                <w:rFonts w:hint="eastAsia"/>
                <w:b/>
                <w:sz w:val="21"/>
                <w:szCs w:val="21"/>
              </w:rPr>
              <w:t>问题</w:t>
            </w:r>
            <w:r>
              <w:rPr>
                <w:rFonts w:hint="eastAsia"/>
                <w:b/>
                <w:sz w:val="21"/>
                <w:szCs w:val="21"/>
                <w:lang w:val="en-US" w:eastAsia="zh-CN"/>
              </w:rPr>
              <w:t>9</w:t>
            </w:r>
            <w:r>
              <w:rPr>
                <w:rFonts w:hint="eastAsia"/>
                <w:b/>
                <w:sz w:val="21"/>
                <w:szCs w:val="21"/>
              </w:rPr>
              <w:t>：交通部发布《推动大规模设备更新和消费品以旧换新行动方案》对公司是否有正向的影响？</w:t>
            </w:r>
          </w:p>
          <w:p w14:paraId="5ACF2AE4">
            <w:pPr>
              <w:pStyle w:val="12"/>
              <w:spacing w:before="156" w:after="156"/>
              <w:ind w:firstLine="384" w:firstLineChars="183"/>
              <w:rPr>
                <w:rFonts w:hint="eastAsia"/>
                <w:sz w:val="21"/>
                <w:szCs w:val="21"/>
                <w:lang w:val="en-US" w:eastAsia="zh-CN"/>
              </w:rPr>
            </w:pPr>
            <w:r>
              <w:rPr>
                <w:rFonts w:hint="eastAsia"/>
                <w:sz w:val="21"/>
                <w:szCs w:val="21"/>
                <w:lang w:val="en-US" w:eastAsia="zh-CN"/>
              </w:rPr>
              <w:t>答复：交通部发布的《推动大规模设备更新和消费品以旧换新行动方案》对公司可能具有潜在的正向影响。该方案旨在通过政策激励促进企业的设备更新和技术升级，激发市场活力，提升产业竞争力。虽然不包含直接的财政补贴，但预计将通过刺激市场需求和增强物流基础设施，间接推动公司业务增长和市场认可度。我们将持续关注政策实施情况，利用技术创新和优质服务把握市场机遇，以实现公司的持续发展。</w:t>
            </w:r>
          </w:p>
          <w:p w14:paraId="0BB2DF71">
            <w:pPr>
              <w:pStyle w:val="12"/>
              <w:spacing w:before="156" w:after="156"/>
              <w:ind w:firstLine="386" w:firstLineChars="183"/>
              <w:rPr>
                <w:b/>
                <w:sz w:val="21"/>
                <w:szCs w:val="21"/>
              </w:rPr>
            </w:pPr>
            <w:r>
              <w:rPr>
                <w:b/>
                <w:sz w:val="21"/>
                <w:szCs w:val="21"/>
              </w:rPr>
              <w:t>问题1</w:t>
            </w:r>
            <w:r>
              <w:rPr>
                <w:rFonts w:hint="eastAsia"/>
                <w:b/>
                <w:sz w:val="21"/>
                <w:szCs w:val="21"/>
                <w:lang w:val="en-US" w:eastAsia="zh-CN"/>
              </w:rPr>
              <w:t>0</w:t>
            </w:r>
            <w:r>
              <w:rPr>
                <w:rFonts w:hint="eastAsia"/>
                <w:b/>
                <w:sz w:val="21"/>
                <w:szCs w:val="21"/>
              </w:rPr>
              <w:t>：公司去年业绩波动是否是因为疫情后，公司产业相关的市场需求不及预期？</w:t>
            </w:r>
          </w:p>
          <w:p w14:paraId="1E411641">
            <w:pPr>
              <w:pStyle w:val="12"/>
              <w:spacing w:before="156" w:after="156"/>
              <w:ind w:firstLine="384" w:firstLineChars="183"/>
              <w:rPr>
                <w:sz w:val="21"/>
                <w:szCs w:val="21"/>
              </w:rPr>
            </w:pPr>
            <w:r>
              <w:rPr>
                <w:rFonts w:hint="eastAsia"/>
                <w:sz w:val="21"/>
                <w:szCs w:val="21"/>
              </w:rPr>
              <w:t>答复：疫情期间，大众的购物方式和生活习惯均发生了变化。疫情初期，市场普遍担心经济下滑，但与之相反的是，因为疫情期间对快递服务的需求增加，快递物流行业实际上受到了促进。在这个背景下，相关快递、物流等企业也投入了大量资本开支用于扩张产能。随着疫情的发展，我们观察到大众整个消费能力有所下降，客户侧产能饱和，并开始缩减投资，特别是在2022年，投资缩减现象尤为明显。公司订单签订后通常在9-12个月左右完成验收并确认收入，故在2022年签订的订单主要在2023年确认收入，从而导致公司业绩承压。公司智能制造系统下游客户主要为轮胎、汽车零部件、食品冷链、家居、锂电材料、化工化纤等领域，近年来，轮胎行业业绩表现尤为突出。基于公司在轮胎行业的良好口碑和执行能力，在赛轮轮胎的基础上，公司拓展了包括昊华轮胎等在内的新客户，2023年公司在轮胎行业的签单金额达3.63亿元。公司与轮胎行业的交流显示，海外市场对高性价比的中国轮胎需求增加，这也为公司未来在轮胎行业的业务拓展打下了基础。除此以外，公司产品在不同行业的应用范围广泛，不同行业处于不同的生命周期阶段，发力点也不尽相同。与友商相比，科捷智能的产品链更广，覆盖了从流通物流到生产物流、新能源业务等多个领域。科捷智能的业务覆盖面较广，这使得公司能够在不同行业的需求变化中保持稳定的业绩表现，公司将继续关注市场动态，调整战略以适应市场变化，并致力于提升公司的竞争力和业绩表现</w:t>
            </w:r>
            <w:r>
              <w:rPr>
                <w:sz w:val="21"/>
                <w:szCs w:val="21"/>
              </w:rPr>
              <w:t>。</w:t>
            </w:r>
          </w:p>
          <w:p w14:paraId="7D322DEA">
            <w:pPr>
              <w:pStyle w:val="12"/>
              <w:spacing w:before="156" w:after="156"/>
              <w:ind w:firstLine="386" w:firstLineChars="183"/>
              <w:rPr>
                <w:b/>
                <w:sz w:val="21"/>
                <w:szCs w:val="21"/>
              </w:rPr>
            </w:pPr>
            <w:r>
              <w:rPr>
                <w:rFonts w:hint="eastAsia"/>
                <w:b/>
                <w:sz w:val="21"/>
                <w:szCs w:val="21"/>
              </w:rPr>
              <w:t>问题</w:t>
            </w:r>
            <w:r>
              <w:rPr>
                <w:rFonts w:hint="eastAsia"/>
                <w:b/>
                <w:sz w:val="21"/>
                <w:szCs w:val="21"/>
                <w:lang w:val="en-US" w:eastAsia="zh-CN"/>
              </w:rPr>
              <w:t>11</w:t>
            </w:r>
            <w:r>
              <w:rPr>
                <w:rFonts w:hint="eastAsia"/>
                <w:b/>
                <w:sz w:val="21"/>
                <w:szCs w:val="21"/>
              </w:rPr>
              <w:t>：明年预计公司的业绩是怎样的一个状况？</w:t>
            </w:r>
          </w:p>
          <w:p w14:paraId="2430AB53">
            <w:pPr>
              <w:pStyle w:val="12"/>
              <w:spacing w:before="156" w:after="156"/>
              <w:ind w:firstLine="384" w:firstLineChars="183"/>
              <w:rPr>
                <w:rFonts w:hint="eastAsia"/>
                <w:sz w:val="21"/>
                <w:szCs w:val="21"/>
                <w:lang w:val="en-US" w:eastAsia="zh-CN"/>
              </w:rPr>
            </w:pPr>
            <w:r>
              <w:rPr>
                <w:rFonts w:hint="eastAsia"/>
                <w:sz w:val="21"/>
                <w:szCs w:val="21"/>
                <w:lang w:val="en-US" w:eastAsia="zh-CN"/>
              </w:rPr>
              <w:t>答复：公司第三季度定期报告已经披露，公司三季度营收、净利润等指标较去年同期均有不同幅度改善。在提升经营业绩的同时加强成本管控是公司实现长期高质量发展的重要目标，虽然公司2023年业绩有所下滑，但公司积极进行业务储备及向高附加值业务领域转型已取得一定成效，公司也制定了进一步优化成本的切实可行措施，公司通过调整业务结构，积极拓展海外业务及智能制造领域业务，2023年相关板块签单额创历史新高，公司将进一步推进“智能物流和智能制造系统产品扩产建设项目”募投项目建设，拟通过增加核心零部件自产比例、优化供应链模式降低成本。公司将持续致力于提升公司的竞争力和市场地位，通过优化产品和服务、拓展市场和提高运营效率来实现业绩的稳健增长。公司将严格按照相关法律法规的要求，及时准确披露，请您继续关注公司公告和定期报告。</w:t>
            </w:r>
          </w:p>
          <w:p w14:paraId="2182A127">
            <w:pPr>
              <w:pStyle w:val="12"/>
              <w:spacing w:before="156" w:after="156"/>
              <w:ind w:firstLine="386" w:firstLineChars="183"/>
              <w:rPr>
                <w:rFonts w:hint="eastAsia"/>
                <w:b/>
                <w:sz w:val="21"/>
                <w:szCs w:val="21"/>
              </w:rPr>
            </w:pPr>
            <w:r>
              <w:rPr>
                <w:rFonts w:hint="eastAsia"/>
                <w:b/>
                <w:sz w:val="21"/>
                <w:szCs w:val="21"/>
                <w:lang w:val="en-US" w:eastAsia="zh-CN"/>
              </w:rPr>
              <w:t>问题12：</w:t>
            </w:r>
            <w:r>
              <w:rPr>
                <w:rFonts w:hint="eastAsia"/>
                <w:b/>
                <w:sz w:val="21"/>
                <w:szCs w:val="21"/>
              </w:rPr>
              <w:t>公司是否有关注投资并购的机会？</w:t>
            </w:r>
          </w:p>
          <w:p w14:paraId="61844082">
            <w:pPr>
              <w:pStyle w:val="12"/>
              <w:spacing w:before="156" w:after="156"/>
              <w:ind w:firstLine="384" w:firstLineChars="183"/>
              <w:rPr>
                <w:rFonts w:hint="eastAsia"/>
                <w:b/>
                <w:sz w:val="21"/>
                <w:szCs w:val="21"/>
              </w:rPr>
            </w:pPr>
            <w:r>
              <w:rPr>
                <w:rFonts w:hint="eastAsia"/>
                <w:sz w:val="21"/>
                <w:szCs w:val="21"/>
                <w:lang w:val="en-US" w:eastAsia="zh-CN"/>
              </w:rPr>
              <w:t>答复：公司上市以来一直在关注投资并购的市场和机会。现阶段，公司更多地专注于内部运营的强化和提升，包括对办公自动化（OA）、企业资源规划（ERP）以及工程设计软件等关键业务系统的升级改造。这些措施旨在提高公司的运营效率和管理水平。随着这些内部优化工作的推进，将有助于公司在未来更好地评估和吸收潜在的并购标的。现阶段公司暂无并购计划。未来如有相关并购事项，公司将严格按照相关法律法规及交易所的有关规定进行信息披露，请以公司在法定披露媒体披露的信息为准。</w:t>
            </w:r>
          </w:p>
          <w:p w14:paraId="25F1F64D">
            <w:pPr>
              <w:pStyle w:val="12"/>
              <w:spacing w:before="156" w:after="156"/>
              <w:ind w:firstLine="386" w:firstLineChars="183"/>
              <w:rPr>
                <w:rFonts w:hint="default"/>
                <w:b/>
                <w:sz w:val="21"/>
                <w:szCs w:val="21"/>
              </w:rPr>
            </w:pPr>
            <w:r>
              <w:rPr>
                <w:rFonts w:hint="eastAsia"/>
                <w:b/>
                <w:sz w:val="21"/>
                <w:szCs w:val="21"/>
                <w:lang w:val="en-US" w:eastAsia="zh-CN"/>
              </w:rPr>
              <w:t>问题13：</w:t>
            </w:r>
            <w:r>
              <w:rPr>
                <w:rFonts w:hint="eastAsia"/>
                <w:b/>
                <w:sz w:val="21"/>
                <w:szCs w:val="21"/>
              </w:rPr>
              <w:t>公司在股价、市值管理方面是否有计划？</w:t>
            </w:r>
          </w:p>
          <w:p w14:paraId="4D9D9B17">
            <w:pPr>
              <w:pStyle w:val="12"/>
              <w:spacing w:before="156" w:after="156"/>
              <w:ind w:firstLine="384" w:firstLineChars="183"/>
              <w:rPr>
                <w:rFonts w:hint="eastAsia"/>
                <w:sz w:val="21"/>
                <w:szCs w:val="21"/>
              </w:rPr>
            </w:pPr>
            <w:r>
              <w:rPr>
                <w:rFonts w:hint="eastAsia"/>
                <w:sz w:val="21"/>
                <w:szCs w:val="21"/>
                <w:lang w:val="en-US" w:eastAsia="zh-CN"/>
              </w:rPr>
              <w:t>答复：股价受二级市场、宏观环境、市场流动性、投资者情绪等多方面因素影响，存在一定不确定性。公司重视市值管理相关工作，致力于增强公司的核心竞争力和盈利能力，以提升价值创造能力并获得资本市场的认可。未来，公司将坚持稳健经营和持续创新，遵守监管要求，优化公司治理结构，专注于生产经营，不断提升业绩和实力，为股东创造更大的价值，并回报投资者的信任与支持。</w:t>
            </w:r>
          </w:p>
        </w:tc>
      </w:tr>
    </w:tbl>
    <w:p w14:paraId="1BD20BA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3ZjMwZmYyYjZlYzFmMGQyYmU3MmM2MGMwZmY2NmUifQ=="/>
  </w:docVars>
  <w:rsids>
    <w:rsidRoot w:val="0067631B"/>
    <w:rsid w:val="00000A90"/>
    <w:rsid w:val="0000329D"/>
    <w:rsid w:val="000033CD"/>
    <w:rsid w:val="00003A71"/>
    <w:rsid w:val="00003AF2"/>
    <w:rsid w:val="00004FCB"/>
    <w:rsid w:val="00005F50"/>
    <w:rsid w:val="00006B32"/>
    <w:rsid w:val="00007060"/>
    <w:rsid w:val="00013538"/>
    <w:rsid w:val="00014026"/>
    <w:rsid w:val="00014CF8"/>
    <w:rsid w:val="000164CE"/>
    <w:rsid w:val="00021C77"/>
    <w:rsid w:val="000223D7"/>
    <w:rsid w:val="00022D48"/>
    <w:rsid w:val="00023E1F"/>
    <w:rsid w:val="0002425B"/>
    <w:rsid w:val="00026B2F"/>
    <w:rsid w:val="0003227C"/>
    <w:rsid w:val="0003251D"/>
    <w:rsid w:val="0003646B"/>
    <w:rsid w:val="000405F8"/>
    <w:rsid w:val="000443DB"/>
    <w:rsid w:val="00045190"/>
    <w:rsid w:val="00046B28"/>
    <w:rsid w:val="00051C65"/>
    <w:rsid w:val="00051DF4"/>
    <w:rsid w:val="000542F6"/>
    <w:rsid w:val="000549AD"/>
    <w:rsid w:val="00057F26"/>
    <w:rsid w:val="00062D50"/>
    <w:rsid w:val="00062EB6"/>
    <w:rsid w:val="00066108"/>
    <w:rsid w:val="0006619A"/>
    <w:rsid w:val="00067321"/>
    <w:rsid w:val="000708B2"/>
    <w:rsid w:val="0007126A"/>
    <w:rsid w:val="00073E07"/>
    <w:rsid w:val="0007514A"/>
    <w:rsid w:val="00075EE3"/>
    <w:rsid w:val="00076185"/>
    <w:rsid w:val="000768B6"/>
    <w:rsid w:val="00077D38"/>
    <w:rsid w:val="000808CF"/>
    <w:rsid w:val="0008145B"/>
    <w:rsid w:val="00081D4F"/>
    <w:rsid w:val="00082964"/>
    <w:rsid w:val="00082E4F"/>
    <w:rsid w:val="00084029"/>
    <w:rsid w:val="00086307"/>
    <w:rsid w:val="000907D4"/>
    <w:rsid w:val="0009435B"/>
    <w:rsid w:val="000A0E8C"/>
    <w:rsid w:val="000A2D9F"/>
    <w:rsid w:val="000A7087"/>
    <w:rsid w:val="000B35F3"/>
    <w:rsid w:val="000B4ABE"/>
    <w:rsid w:val="000B5B5C"/>
    <w:rsid w:val="000C1EA6"/>
    <w:rsid w:val="000C37C1"/>
    <w:rsid w:val="000C6D83"/>
    <w:rsid w:val="000D0266"/>
    <w:rsid w:val="000D2062"/>
    <w:rsid w:val="000D467A"/>
    <w:rsid w:val="000D4897"/>
    <w:rsid w:val="000D6F7A"/>
    <w:rsid w:val="000E3FD7"/>
    <w:rsid w:val="000E45FE"/>
    <w:rsid w:val="000E4903"/>
    <w:rsid w:val="000E5A80"/>
    <w:rsid w:val="000E63D4"/>
    <w:rsid w:val="000E68D0"/>
    <w:rsid w:val="000E7733"/>
    <w:rsid w:val="000F069F"/>
    <w:rsid w:val="000F0B2C"/>
    <w:rsid w:val="000F1924"/>
    <w:rsid w:val="000F3BA0"/>
    <w:rsid w:val="000F41F5"/>
    <w:rsid w:val="000F442A"/>
    <w:rsid w:val="000F5D02"/>
    <w:rsid w:val="000F748A"/>
    <w:rsid w:val="001029C5"/>
    <w:rsid w:val="00105197"/>
    <w:rsid w:val="00105EAF"/>
    <w:rsid w:val="00111D0D"/>
    <w:rsid w:val="00111F72"/>
    <w:rsid w:val="00112A31"/>
    <w:rsid w:val="00116B6C"/>
    <w:rsid w:val="001179AF"/>
    <w:rsid w:val="0012069A"/>
    <w:rsid w:val="0012384B"/>
    <w:rsid w:val="001240D9"/>
    <w:rsid w:val="001304D1"/>
    <w:rsid w:val="00134FBF"/>
    <w:rsid w:val="0013798E"/>
    <w:rsid w:val="00140043"/>
    <w:rsid w:val="001523EE"/>
    <w:rsid w:val="00152BE0"/>
    <w:rsid w:val="00153549"/>
    <w:rsid w:val="00154D62"/>
    <w:rsid w:val="00160082"/>
    <w:rsid w:val="00160241"/>
    <w:rsid w:val="00164FDA"/>
    <w:rsid w:val="00165938"/>
    <w:rsid w:val="00167746"/>
    <w:rsid w:val="00167863"/>
    <w:rsid w:val="001729EE"/>
    <w:rsid w:val="0017605E"/>
    <w:rsid w:val="001760EB"/>
    <w:rsid w:val="00180EA2"/>
    <w:rsid w:val="001917E5"/>
    <w:rsid w:val="00191B1D"/>
    <w:rsid w:val="001954D5"/>
    <w:rsid w:val="00195F9F"/>
    <w:rsid w:val="001A1F18"/>
    <w:rsid w:val="001A3D73"/>
    <w:rsid w:val="001A6BB6"/>
    <w:rsid w:val="001B2D34"/>
    <w:rsid w:val="001B3C60"/>
    <w:rsid w:val="001B3DA9"/>
    <w:rsid w:val="001B66ED"/>
    <w:rsid w:val="001C1449"/>
    <w:rsid w:val="001C2055"/>
    <w:rsid w:val="001C519A"/>
    <w:rsid w:val="001C5928"/>
    <w:rsid w:val="001D3651"/>
    <w:rsid w:val="001D5291"/>
    <w:rsid w:val="001D5875"/>
    <w:rsid w:val="001D7CC1"/>
    <w:rsid w:val="001E082D"/>
    <w:rsid w:val="001E5FA6"/>
    <w:rsid w:val="001F18D6"/>
    <w:rsid w:val="001F5375"/>
    <w:rsid w:val="001F5804"/>
    <w:rsid w:val="002002B2"/>
    <w:rsid w:val="00201146"/>
    <w:rsid w:val="00201DFC"/>
    <w:rsid w:val="002040E8"/>
    <w:rsid w:val="002061DE"/>
    <w:rsid w:val="002070E5"/>
    <w:rsid w:val="00216724"/>
    <w:rsid w:val="002174CD"/>
    <w:rsid w:val="00223353"/>
    <w:rsid w:val="00224445"/>
    <w:rsid w:val="00224B5C"/>
    <w:rsid w:val="00224F44"/>
    <w:rsid w:val="00225A5D"/>
    <w:rsid w:val="00226BDF"/>
    <w:rsid w:val="002277B1"/>
    <w:rsid w:val="002337D6"/>
    <w:rsid w:val="00233D93"/>
    <w:rsid w:val="00234A0C"/>
    <w:rsid w:val="002371EB"/>
    <w:rsid w:val="00241EBE"/>
    <w:rsid w:val="0024333E"/>
    <w:rsid w:val="00243717"/>
    <w:rsid w:val="002440C0"/>
    <w:rsid w:val="00245B4D"/>
    <w:rsid w:val="002467B9"/>
    <w:rsid w:val="0024798E"/>
    <w:rsid w:val="0025157B"/>
    <w:rsid w:val="002576F9"/>
    <w:rsid w:val="00260075"/>
    <w:rsid w:val="00261834"/>
    <w:rsid w:val="002619BA"/>
    <w:rsid w:val="00265F11"/>
    <w:rsid w:val="00271721"/>
    <w:rsid w:val="00271B66"/>
    <w:rsid w:val="00272FCC"/>
    <w:rsid w:val="002737B0"/>
    <w:rsid w:val="00273F6B"/>
    <w:rsid w:val="00276C20"/>
    <w:rsid w:val="00276DE3"/>
    <w:rsid w:val="002831F9"/>
    <w:rsid w:val="00284C43"/>
    <w:rsid w:val="00286737"/>
    <w:rsid w:val="00286E32"/>
    <w:rsid w:val="002903FC"/>
    <w:rsid w:val="00290AE9"/>
    <w:rsid w:val="00290D77"/>
    <w:rsid w:val="00293411"/>
    <w:rsid w:val="00294CF4"/>
    <w:rsid w:val="002A0E99"/>
    <w:rsid w:val="002A2013"/>
    <w:rsid w:val="002A4324"/>
    <w:rsid w:val="002A6531"/>
    <w:rsid w:val="002A680D"/>
    <w:rsid w:val="002A6FBC"/>
    <w:rsid w:val="002A764C"/>
    <w:rsid w:val="002B0CC7"/>
    <w:rsid w:val="002B1465"/>
    <w:rsid w:val="002B4AE5"/>
    <w:rsid w:val="002B544E"/>
    <w:rsid w:val="002C1B79"/>
    <w:rsid w:val="002C2184"/>
    <w:rsid w:val="002C623E"/>
    <w:rsid w:val="002D2287"/>
    <w:rsid w:val="002D48D5"/>
    <w:rsid w:val="002E0916"/>
    <w:rsid w:val="002E39E0"/>
    <w:rsid w:val="002E5140"/>
    <w:rsid w:val="002E6314"/>
    <w:rsid w:val="002E777E"/>
    <w:rsid w:val="002F14EB"/>
    <w:rsid w:val="002F52E4"/>
    <w:rsid w:val="002F7FC2"/>
    <w:rsid w:val="00300A84"/>
    <w:rsid w:val="00305AB5"/>
    <w:rsid w:val="003069A1"/>
    <w:rsid w:val="003075EB"/>
    <w:rsid w:val="003105A8"/>
    <w:rsid w:val="00311FD1"/>
    <w:rsid w:val="003120D8"/>
    <w:rsid w:val="00312C6D"/>
    <w:rsid w:val="003130AD"/>
    <w:rsid w:val="00314121"/>
    <w:rsid w:val="00316D51"/>
    <w:rsid w:val="0031719D"/>
    <w:rsid w:val="0032081C"/>
    <w:rsid w:val="00320B3C"/>
    <w:rsid w:val="00324E62"/>
    <w:rsid w:val="00330228"/>
    <w:rsid w:val="00333FDE"/>
    <w:rsid w:val="0033492B"/>
    <w:rsid w:val="00334D92"/>
    <w:rsid w:val="00335E4B"/>
    <w:rsid w:val="003369C5"/>
    <w:rsid w:val="00340466"/>
    <w:rsid w:val="003424B5"/>
    <w:rsid w:val="00344434"/>
    <w:rsid w:val="00347BFF"/>
    <w:rsid w:val="00356779"/>
    <w:rsid w:val="00357A3F"/>
    <w:rsid w:val="00361656"/>
    <w:rsid w:val="00361B95"/>
    <w:rsid w:val="00364706"/>
    <w:rsid w:val="00367A68"/>
    <w:rsid w:val="003705DA"/>
    <w:rsid w:val="00372326"/>
    <w:rsid w:val="00374671"/>
    <w:rsid w:val="00375143"/>
    <w:rsid w:val="003758F3"/>
    <w:rsid w:val="003764D1"/>
    <w:rsid w:val="00376C2B"/>
    <w:rsid w:val="00381238"/>
    <w:rsid w:val="00383EF6"/>
    <w:rsid w:val="00384D6E"/>
    <w:rsid w:val="00385012"/>
    <w:rsid w:val="00390867"/>
    <w:rsid w:val="00392963"/>
    <w:rsid w:val="00392ADF"/>
    <w:rsid w:val="00393330"/>
    <w:rsid w:val="00395282"/>
    <w:rsid w:val="00395753"/>
    <w:rsid w:val="00395848"/>
    <w:rsid w:val="00396C9B"/>
    <w:rsid w:val="00396E32"/>
    <w:rsid w:val="00397D83"/>
    <w:rsid w:val="003A7B3F"/>
    <w:rsid w:val="003A7FF4"/>
    <w:rsid w:val="003B07B0"/>
    <w:rsid w:val="003B3106"/>
    <w:rsid w:val="003B6D69"/>
    <w:rsid w:val="003C0707"/>
    <w:rsid w:val="003C68B3"/>
    <w:rsid w:val="003C6AF7"/>
    <w:rsid w:val="003D087E"/>
    <w:rsid w:val="003D11A2"/>
    <w:rsid w:val="003D1AC5"/>
    <w:rsid w:val="003D2EC9"/>
    <w:rsid w:val="003D4ADE"/>
    <w:rsid w:val="003D61DA"/>
    <w:rsid w:val="003E1B22"/>
    <w:rsid w:val="003E24F4"/>
    <w:rsid w:val="003E49F9"/>
    <w:rsid w:val="003E52AF"/>
    <w:rsid w:val="003E6046"/>
    <w:rsid w:val="003E6B49"/>
    <w:rsid w:val="00400033"/>
    <w:rsid w:val="0040188B"/>
    <w:rsid w:val="0040250B"/>
    <w:rsid w:val="00402D09"/>
    <w:rsid w:val="00403B82"/>
    <w:rsid w:val="004057D3"/>
    <w:rsid w:val="00405FC1"/>
    <w:rsid w:val="00410C18"/>
    <w:rsid w:val="00412852"/>
    <w:rsid w:val="00412DE4"/>
    <w:rsid w:val="004224E7"/>
    <w:rsid w:val="00424561"/>
    <w:rsid w:val="00426F9B"/>
    <w:rsid w:val="004308D9"/>
    <w:rsid w:val="00432065"/>
    <w:rsid w:val="00432633"/>
    <w:rsid w:val="00441A78"/>
    <w:rsid w:val="0044437C"/>
    <w:rsid w:val="00445121"/>
    <w:rsid w:val="00447413"/>
    <w:rsid w:val="00450881"/>
    <w:rsid w:val="00450D2E"/>
    <w:rsid w:val="004561C5"/>
    <w:rsid w:val="0046275E"/>
    <w:rsid w:val="00462D57"/>
    <w:rsid w:val="004641E3"/>
    <w:rsid w:val="00464E74"/>
    <w:rsid w:val="00465651"/>
    <w:rsid w:val="00466361"/>
    <w:rsid w:val="00467614"/>
    <w:rsid w:val="00470A9D"/>
    <w:rsid w:val="00474DB7"/>
    <w:rsid w:val="00475548"/>
    <w:rsid w:val="00480377"/>
    <w:rsid w:val="00480E97"/>
    <w:rsid w:val="00483839"/>
    <w:rsid w:val="00486091"/>
    <w:rsid w:val="00487D56"/>
    <w:rsid w:val="00491AC9"/>
    <w:rsid w:val="004A19D8"/>
    <w:rsid w:val="004A1CAB"/>
    <w:rsid w:val="004A5863"/>
    <w:rsid w:val="004B06A6"/>
    <w:rsid w:val="004B3149"/>
    <w:rsid w:val="004B66B2"/>
    <w:rsid w:val="004B77B3"/>
    <w:rsid w:val="004B7FC4"/>
    <w:rsid w:val="004C0DF7"/>
    <w:rsid w:val="004C1297"/>
    <w:rsid w:val="004C14A6"/>
    <w:rsid w:val="004C7A96"/>
    <w:rsid w:val="004D156D"/>
    <w:rsid w:val="004D3BEE"/>
    <w:rsid w:val="004D5654"/>
    <w:rsid w:val="004D663F"/>
    <w:rsid w:val="004D7FD3"/>
    <w:rsid w:val="004E00B8"/>
    <w:rsid w:val="004E1F02"/>
    <w:rsid w:val="004E35AB"/>
    <w:rsid w:val="004E4714"/>
    <w:rsid w:val="004E4B1C"/>
    <w:rsid w:val="004E714D"/>
    <w:rsid w:val="004F1B1A"/>
    <w:rsid w:val="004F37D1"/>
    <w:rsid w:val="004F3A10"/>
    <w:rsid w:val="004F5C00"/>
    <w:rsid w:val="004F6D05"/>
    <w:rsid w:val="004F7CC2"/>
    <w:rsid w:val="004F7FC1"/>
    <w:rsid w:val="00500D59"/>
    <w:rsid w:val="005068EF"/>
    <w:rsid w:val="00507F0F"/>
    <w:rsid w:val="00513D4F"/>
    <w:rsid w:val="00517AFF"/>
    <w:rsid w:val="00520C1D"/>
    <w:rsid w:val="0052351F"/>
    <w:rsid w:val="00524B79"/>
    <w:rsid w:val="00531E5C"/>
    <w:rsid w:val="00532BA7"/>
    <w:rsid w:val="00534CF9"/>
    <w:rsid w:val="00534F43"/>
    <w:rsid w:val="00540865"/>
    <w:rsid w:val="00541643"/>
    <w:rsid w:val="00541B7E"/>
    <w:rsid w:val="00543A63"/>
    <w:rsid w:val="005449D8"/>
    <w:rsid w:val="00545869"/>
    <w:rsid w:val="00547408"/>
    <w:rsid w:val="00552A36"/>
    <w:rsid w:val="00554745"/>
    <w:rsid w:val="0055605D"/>
    <w:rsid w:val="005569A4"/>
    <w:rsid w:val="00557209"/>
    <w:rsid w:val="00560032"/>
    <w:rsid w:val="00561393"/>
    <w:rsid w:val="00562A7B"/>
    <w:rsid w:val="005671B4"/>
    <w:rsid w:val="005674C0"/>
    <w:rsid w:val="00570C66"/>
    <w:rsid w:val="0057179B"/>
    <w:rsid w:val="00576267"/>
    <w:rsid w:val="00577FA0"/>
    <w:rsid w:val="00580C7F"/>
    <w:rsid w:val="0058181B"/>
    <w:rsid w:val="005851FF"/>
    <w:rsid w:val="00587F80"/>
    <w:rsid w:val="00590C03"/>
    <w:rsid w:val="00593B71"/>
    <w:rsid w:val="00597935"/>
    <w:rsid w:val="005A0F9F"/>
    <w:rsid w:val="005A4B06"/>
    <w:rsid w:val="005B1B34"/>
    <w:rsid w:val="005B2B3E"/>
    <w:rsid w:val="005C64C3"/>
    <w:rsid w:val="005C6FD0"/>
    <w:rsid w:val="005C73EB"/>
    <w:rsid w:val="005D21CA"/>
    <w:rsid w:val="005D2FAE"/>
    <w:rsid w:val="005D6951"/>
    <w:rsid w:val="005E03A1"/>
    <w:rsid w:val="005E0531"/>
    <w:rsid w:val="005E3285"/>
    <w:rsid w:val="005E4D32"/>
    <w:rsid w:val="005F18D0"/>
    <w:rsid w:val="005F241E"/>
    <w:rsid w:val="005F26B3"/>
    <w:rsid w:val="005F2889"/>
    <w:rsid w:val="005F3AF7"/>
    <w:rsid w:val="00602B57"/>
    <w:rsid w:val="00603E21"/>
    <w:rsid w:val="0060445D"/>
    <w:rsid w:val="006054A7"/>
    <w:rsid w:val="00606EAB"/>
    <w:rsid w:val="006111CC"/>
    <w:rsid w:val="00612CAD"/>
    <w:rsid w:val="0061317D"/>
    <w:rsid w:val="00616AA1"/>
    <w:rsid w:val="0061757F"/>
    <w:rsid w:val="00622173"/>
    <w:rsid w:val="00624B45"/>
    <w:rsid w:val="00625496"/>
    <w:rsid w:val="00625E63"/>
    <w:rsid w:val="0062696F"/>
    <w:rsid w:val="00626D45"/>
    <w:rsid w:val="00631946"/>
    <w:rsid w:val="00632DD7"/>
    <w:rsid w:val="00633439"/>
    <w:rsid w:val="00634BE7"/>
    <w:rsid w:val="00635243"/>
    <w:rsid w:val="006369E1"/>
    <w:rsid w:val="00636F3A"/>
    <w:rsid w:val="00643F3C"/>
    <w:rsid w:val="00646DB0"/>
    <w:rsid w:val="00647E0A"/>
    <w:rsid w:val="00647F50"/>
    <w:rsid w:val="006515EB"/>
    <w:rsid w:val="00651B9F"/>
    <w:rsid w:val="006522ED"/>
    <w:rsid w:val="0065230E"/>
    <w:rsid w:val="006548F3"/>
    <w:rsid w:val="006550D9"/>
    <w:rsid w:val="006567A0"/>
    <w:rsid w:val="00656980"/>
    <w:rsid w:val="006570E3"/>
    <w:rsid w:val="00661943"/>
    <w:rsid w:val="006661B0"/>
    <w:rsid w:val="00670AF4"/>
    <w:rsid w:val="00672237"/>
    <w:rsid w:val="00672896"/>
    <w:rsid w:val="006730DF"/>
    <w:rsid w:val="00674D9D"/>
    <w:rsid w:val="00674EFA"/>
    <w:rsid w:val="0067631B"/>
    <w:rsid w:val="006800E4"/>
    <w:rsid w:val="00682709"/>
    <w:rsid w:val="0068308F"/>
    <w:rsid w:val="00687900"/>
    <w:rsid w:val="0069138A"/>
    <w:rsid w:val="00691D1C"/>
    <w:rsid w:val="00693FF9"/>
    <w:rsid w:val="00695A5B"/>
    <w:rsid w:val="00696E23"/>
    <w:rsid w:val="006A633E"/>
    <w:rsid w:val="006A792E"/>
    <w:rsid w:val="006B3414"/>
    <w:rsid w:val="006B3B22"/>
    <w:rsid w:val="006B614B"/>
    <w:rsid w:val="006B6FFE"/>
    <w:rsid w:val="006C23DC"/>
    <w:rsid w:val="006C57ED"/>
    <w:rsid w:val="006C5A1C"/>
    <w:rsid w:val="006D0FE3"/>
    <w:rsid w:val="006D3347"/>
    <w:rsid w:val="006D5096"/>
    <w:rsid w:val="006D6923"/>
    <w:rsid w:val="006D71D9"/>
    <w:rsid w:val="006D7862"/>
    <w:rsid w:val="006E04C9"/>
    <w:rsid w:val="006E0EFC"/>
    <w:rsid w:val="006E1830"/>
    <w:rsid w:val="006E2D48"/>
    <w:rsid w:val="006E483B"/>
    <w:rsid w:val="006E54B9"/>
    <w:rsid w:val="006E6ADD"/>
    <w:rsid w:val="006F2C29"/>
    <w:rsid w:val="006F39A2"/>
    <w:rsid w:val="00703E3C"/>
    <w:rsid w:val="00704126"/>
    <w:rsid w:val="007041C8"/>
    <w:rsid w:val="007068D5"/>
    <w:rsid w:val="00711FCF"/>
    <w:rsid w:val="00714CBD"/>
    <w:rsid w:val="0071749D"/>
    <w:rsid w:val="00722E08"/>
    <w:rsid w:val="00726F75"/>
    <w:rsid w:val="00732491"/>
    <w:rsid w:val="0073399B"/>
    <w:rsid w:val="00735B3F"/>
    <w:rsid w:val="007404B8"/>
    <w:rsid w:val="00740902"/>
    <w:rsid w:val="00743498"/>
    <w:rsid w:val="007446A2"/>
    <w:rsid w:val="0074511B"/>
    <w:rsid w:val="00747D05"/>
    <w:rsid w:val="00750BE2"/>
    <w:rsid w:val="0075237E"/>
    <w:rsid w:val="00752969"/>
    <w:rsid w:val="00752BBD"/>
    <w:rsid w:val="00753E6F"/>
    <w:rsid w:val="0075441F"/>
    <w:rsid w:val="00755A78"/>
    <w:rsid w:val="00756A30"/>
    <w:rsid w:val="0075758F"/>
    <w:rsid w:val="00757718"/>
    <w:rsid w:val="00760B28"/>
    <w:rsid w:val="00760E1D"/>
    <w:rsid w:val="00764F02"/>
    <w:rsid w:val="00770CAF"/>
    <w:rsid w:val="00771045"/>
    <w:rsid w:val="0077107E"/>
    <w:rsid w:val="00771592"/>
    <w:rsid w:val="007724D8"/>
    <w:rsid w:val="00772B6B"/>
    <w:rsid w:val="00773C18"/>
    <w:rsid w:val="00774254"/>
    <w:rsid w:val="007757AA"/>
    <w:rsid w:val="00776025"/>
    <w:rsid w:val="0078165B"/>
    <w:rsid w:val="00782BFC"/>
    <w:rsid w:val="00785ACB"/>
    <w:rsid w:val="00785DC5"/>
    <w:rsid w:val="00786F66"/>
    <w:rsid w:val="00787486"/>
    <w:rsid w:val="00787981"/>
    <w:rsid w:val="00787DF8"/>
    <w:rsid w:val="00787F8F"/>
    <w:rsid w:val="00790604"/>
    <w:rsid w:val="00791691"/>
    <w:rsid w:val="00792959"/>
    <w:rsid w:val="00792AFA"/>
    <w:rsid w:val="00793A79"/>
    <w:rsid w:val="00794DDF"/>
    <w:rsid w:val="00796747"/>
    <w:rsid w:val="00796C40"/>
    <w:rsid w:val="007A2855"/>
    <w:rsid w:val="007A2BBF"/>
    <w:rsid w:val="007A4D9A"/>
    <w:rsid w:val="007A568E"/>
    <w:rsid w:val="007A590E"/>
    <w:rsid w:val="007A597E"/>
    <w:rsid w:val="007A7AF2"/>
    <w:rsid w:val="007A7D2F"/>
    <w:rsid w:val="007B02F1"/>
    <w:rsid w:val="007B27AB"/>
    <w:rsid w:val="007B6305"/>
    <w:rsid w:val="007B7C9D"/>
    <w:rsid w:val="007C6FBB"/>
    <w:rsid w:val="007C75C5"/>
    <w:rsid w:val="007D32B0"/>
    <w:rsid w:val="007D4BD1"/>
    <w:rsid w:val="007D6E15"/>
    <w:rsid w:val="007D730F"/>
    <w:rsid w:val="007D74AD"/>
    <w:rsid w:val="007E0CBA"/>
    <w:rsid w:val="007E1A75"/>
    <w:rsid w:val="007E315D"/>
    <w:rsid w:val="007E4625"/>
    <w:rsid w:val="007E53E4"/>
    <w:rsid w:val="007E6120"/>
    <w:rsid w:val="007E66D3"/>
    <w:rsid w:val="007F1AA3"/>
    <w:rsid w:val="007F1F96"/>
    <w:rsid w:val="007F24FB"/>
    <w:rsid w:val="007F2702"/>
    <w:rsid w:val="007F2BF5"/>
    <w:rsid w:val="007F3E00"/>
    <w:rsid w:val="007F4460"/>
    <w:rsid w:val="007F5E79"/>
    <w:rsid w:val="007F6790"/>
    <w:rsid w:val="007F7F94"/>
    <w:rsid w:val="008027F3"/>
    <w:rsid w:val="00803856"/>
    <w:rsid w:val="00804852"/>
    <w:rsid w:val="00804BF6"/>
    <w:rsid w:val="008051E0"/>
    <w:rsid w:val="00806BCF"/>
    <w:rsid w:val="008077C8"/>
    <w:rsid w:val="00811BD0"/>
    <w:rsid w:val="00817ABF"/>
    <w:rsid w:val="00820CEE"/>
    <w:rsid w:val="008216AD"/>
    <w:rsid w:val="00821DAE"/>
    <w:rsid w:val="00824F13"/>
    <w:rsid w:val="00827BC0"/>
    <w:rsid w:val="008300D1"/>
    <w:rsid w:val="00831179"/>
    <w:rsid w:val="00834427"/>
    <w:rsid w:val="00840458"/>
    <w:rsid w:val="008435AB"/>
    <w:rsid w:val="00843A45"/>
    <w:rsid w:val="00847D40"/>
    <w:rsid w:val="00850DD9"/>
    <w:rsid w:val="0085389A"/>
    <w:rsid w:val="00863783"/>
    <w:rsid w:val="00865BA4"/>
    <w:rsid w:val="00865E65"/>
    <w:rsid w:val="008676EE"/>
    <w:rsid w:val="00872464"/>
    <w:rsid w:val="00873076"/>
    <w:rsid w:val="008736AC"/>
    <w:rsid w:val="00875546"/>
    <w:rsid w:val="00881D48"/>
    <w:rsid w:val="008825B6"/>
    <w:rsid w:val="008858DF"/>
    <w:rsid w:val="0088774C"/>
    <w:rsid w:val="008904D9"/>
    <w:rsid w:val="0089397A"/>
    <w:rsid w:val="00895986"/>
    <w:rsid w:val="0089623D"/>
    <w:rsid w:val="00897FDB"/>
    <w:rsid w:val="008A32A9"/>
    <w:rsid w:val="008A3B55"/>
    <w:rsid w:val="008B1E99"/>
    <w:rsid w:val="008B5484"/>
    <w:rsid w:val="008B6432"/>
    <w:rsid w:val="008C205F"/>
    <w:rsid w:val="008C2066"/>
    <w:rsid w:val="008C4AF6"/>
    <w:rsid w:val="008C5195"/>
    <w:rsid w:val="008D03BF"/>
    <w:rsid w:val="008D179D"/>
    <w:rsid w:val="008D2D98"/>
    <w:rsid w:val="008D5428"/>
    <w:rsid w:val="008D5991"/>
    <w:rsid w:val="008D59AD"/>
    <w:rsid w:val="008E0CB0"/>
    <w:rsid w:val="008E149C"/>
    <w:rsid w:val="008E23DA"/>
    <w:rsid w:val="008E40F1"/>
    <w:rsid w:val="008E4BF6"/>
    <w:rsid w:val="008E6EAA"/>
    <w:rsid w:val="008F0F3B"/>
    <w:rsid w:val="008F1E40"/>
    <w:rsid w:val="008F1FE5"/>
    <w:rsid w:val="008F2F4F"/>
    <w:rsid w:val="008F3FEE"/>
    <w:rsid w:val="008F4847"/>
    <w:rsid w:val="008F4BA3"/>
    <w:rsid w:val="008F6FEF"/>
    <w:rsid w:val="008F72A9"/>
    <w:rsid w:val="00900EC2"/>
    <w:rsid w:val="00901856"/>
    <w:rsid w:val="0090192E"/>
    <w:rsid w:val="00902112"/>
    <w:rsid w:val="00911CA2"/>
    <w:rsid w:val="00913F12"/>
    <w:rsid w:val="0091424B"/>
    <w:rsid w:val="00914297"/>
    <w:rsid w:val="00914DC8"/>
    <w:rsid w:val="00916ADA"/>
    <w:rsid w:val="009177C6"/>
    <w:rsid w:val="00922037"/>
    <w:rsid w:val="00922314"/>
    <w:rsid w:val="0092542C"/>
    <w:rsid w:val="00925C8C"/>
    <w:rsid w:val="009273E4"/>
    <w:rsid w:val="00930076"/>
    <w:rsid w:val="009303A6"/>
    <w:rsid w:val="00930A1F"/>
    <w:rsid w:val="00931A0B"/>
    <w:rsid w:val="009348FE"/>
    <w:rsid w:val="009357E1"/>
    <w:rsid w:val="00944037"/>
    <w:rsid w:val="00945DCF"/>
    <w:rsid w:val="009501EC"/>
    <w:rsid w:val="00951197"/>
    <w:rsid w:val="0095167F"/>
    <w:rsid w:val="009521B4"/>
    <w:rsid w:val="00954004"/>
    <w:rsid w:val="009553D0"/>
    <w:rsid w:val="0095606A"/>
    <w:rsid w:val="00957482"/>
    <w:rsid w:val="00957915"/>
    <w:rsid w:val="00963028"/>
    <w:rsid w:val="00963924"/>
    <w:rsid w:val="00971366"/>
    <w:rsid w:val="0097358A"/>
    <w:rsid w:val="0097573F"/>
    <w:rsid w:val="0097620D"/>
    <w:rsid w:val="00976D02"/>
    <w:rsid w:val="00977B5D"/>
    <w:rsid w:val="009802DB"/>
    <w:rsid w:val="009832DF"/>
    <w:rsid w:val="009835BE"/>
    <w:rsid w:val="009844A6"/>
    <w:rsid w:val="00986F80"/>
    <w:rsid w:val="0099031D"/>
    <w:rsid w:val="0099129E"/>
    <w:rsid w:val="00993714"/>
    <w:rsid w:val="00993763"/>
    <w:rsid w:val="00993EE3"/>
    <w:rsid w:val="00995087"/>
    <w:rsid w:val="009A0CCC"/>
    <w:rsid w:val="009A1CB7"/>
    <w:rsid w:val="009A5AA7"/>
    <w:rsid w:val="009A5E67"/>
    <w:rsid w:val="009A7C01"/>
    <w:rsid w:val="009B1989"/>
    <w:rsid w:val="009B2848"/>
    <w:rsid w:val="009B30C2"/>
    <w:rsid w:val="009B4C47"/>
    <w:rsid w:val="009B6766"/>
    <w:rsid w:val="009C1C90"/>
    <w:rsid w:val="009C527B"/>
    <w:rsid w:val="009D0217"/>
    <w:rsid w:val="009D0F23"/>
    <w:rsid w:val="009D1C9E"/>
    <w:rsid w:val="009D4780"/>
    <w:rsid w:val="009D4EF7"/>
    <w:rsid w:val="009D6833"/>
    <w:rsid w:val="009E27B2"/>
    <w:rsid w:val="009E2DD1"/>
    <w:rsid w:val="009E456B"/>
    <w:rsid w:val="009F0577"/>
    <w:rsid w:val="009F2B15"/>
    <w:rsid w:val="00A00ABC"/>
    <w:rsid w:val="00A0210E"/>
    <w:rsid w:val="00A021DD"/>
    <w:rsid w:val="00A031F2"/>
    <w:rsid w:val="00A04111"/>
    <w:rsid w:val="00A05F38"/>
    <w:rsid w:val="00A061E4"/>
    <w:rsid w:val="00A0678D"/>
    <w:rsid w:val="00A07AA2"/>
    <w:rsid w:val="00A12817"/>
    <w:rsid w:val="00A15A9C"/>
    <w:rsid w:val="00A15AC0"/>
    <w:rsid w:val="00A20AD9"/>
    <w:rsid w:val="00A21E8B"/>
    <w:rsid w:val="00A25C5C"/>
    <w:rsid w:val="00A264D4"/>
    <w:rsid w:val="00A269B8"/>
    <w:rsid w:val="00A27D3C"/>
    <w:rsid w:val="00A30637"/>
    <w:rsid w:val="00A35004"/>
    <w:rsid w:val="00A35199"/>
    <w:rsid w:val="00A35F3D"/>
    <w:rsid w:val="00A40F82"/>
    <w:rsid w:val="00A42BA2"/>
    <w:rsid w:val="00A45F8C"/>
    <w:rsid w:val="00A46328"/>
    <w:rsid w:val="00A4709C"/>
    <w:rsid w:val="00A5070C"/>
    <w:rsid w:val="00A53364"/>
    <w:rsid w:val="00A57494"/>
    <w:rsid w:val="00A57A24"/>
    <w:rsid w:val="00A602B4"/>
    <w:rsid w:val="00A61077"/>
    <w:rsid w:val="00A62B75"/>
    <w:rsid w:val="00A63D3A"/>
    <w:rsid w:val="00A64DE0"/>
    <w:rsid w:val="00A65651"/>
    <w:rsid w:val="00A661FC"/>
    <w:rsid w:val="00A70793"/>
    <w:rsid w:val="00A74B3D"/>
    <w:rsid w:val="00A74DAC"/>
    <w:rsid w:val="00A77605"/>
    <w:rsid w:val="00A80B8D"/>
    <w:rsid w:val="00A80C61"/>
    <w:rsid w:val="00A8108B"/>
    <w:rsid w:val="00A831FC"/>
    <w:rsid w:val="00A8346E"/>
    <w:rsid w:val="00A83963"/>
    <w:rsid w:val="00A84FF9"/>
    <w:rsid w:val="00A857B5"/>
    <w:rsid w:val="00A85D8F"/>
    <w:rsid w:val="00A87117"/>
    <w:rsid w:val="00A87455"/>
    <w:rsid w:val="00A91568"/>
    <w:rsid w:val="00A917FB"/>
    <w:rsid w:val="00A92691"/>
    <w:rsid w:val="00A95796"/>
    <w:rsid w:val="00AA401F"/>
    <w:rsid w:val="00AA7B70"/>
    <w:rsid w:val="00AB0AB7"/>
    <w:rsid w:val="00AB35AB"/>
    <w:rsid w:val="00AB57E0"/>
    <w:rsid w:val="00AB5E4C"/>
    <w:rsid w:val="00AC1F65"/>
    <w:rsid w:val="00AC399E"/>
    <w:rsid w:val="00AC3FE6"/>
    <w:rsid w:val="00AC596C"/>
    <w:rsid w:val="00AC5A52"/>
    <w:rsid w:val="00AD2E2A"/>
    <w:rsid w:val="00AD2EAF"/>
    <w:rsid w:val="00AD2F50"/>
    <w:rsid w:val="00AD564C"/>
    <w:rsid w:val="00AD6F6F"/>
    <w:rsid w:val="00AD7981"/>
    <w:rsid w:val="00AE0024"/>
    <w:rsid w:val="00AE0D5D"/>
    <w:rsid w:val="00AE21C6"/>
    <w:rsid w:val="00AE4490"/>
    <w:rsid w:val="00AE4982"/>
    <w:rsid w:val="00AE6771"/>
    <w:rsid w:val="00AF024F"/>
    <w:rsid w:val="00AF197F"/>
    <w:rsid w:val="00AF2AA2"/>
    <w:rsid w:val="00AF4339"/>
    <w:rsid w:val="00AF60AA"/>
    <w:rsid w:val="00B00228"/>
    <w:rsid w:val="00B007F1"/>
    <w:rsid w:val="00B010BA"/>
    <w:rsid w:val="00B01C2B"/>
    <w:rsid w:val="00B02EF2"/>
    <w:rsid w:val="00B06426"/>
    <w:rsid w:val="00B07D9F"/>
    <w:rsid w:val="00B11609"/>
    <w:rsid w:val="00B1366C"/>
    <w:rsid w:val="00B1408F"/>
    <w:rsid w:val="00B14347"/>
    <w:rsid w:val="00B17DAC"/>
    <w:rsid w:val="00B217E2"/>
    <w:rsid w:val="00B219A0"/>
    <w:rsid w:val="00B222E3"/>
    <w:rsid w:val="00B23C77"/>
    <w:rsid w:val="00B25561"/>
    <w:rsid w:val="00B302EF"/>
    <w:rsid w:val="00B31EEB"/>
    <w:rsid w:val="00B327F0"/>
    <w:rsid w:val="00B409E0"/>
    <w:rsid w:val="00B41D6D"/>
    <w:rsid w:val="00B42CBF"/>
    <w:rsid w:val="00B43237"/>
    <w:rsid w:val="00B44F8A"/>
    <w:rsid w:val="00B46224"/>
    <w:rsid w:val="00B474CD"/>
    <w:rsid w:val="00B47FA1"/>
    <w:rsid w:val="00B578C3"/>
    <w:rsid w:val="00B57AAA"/>
    <w:rsid w:val="00B622F7"/>
    <w:rsid w:val="00B63205"/>
    <w:rsid w:val="00B6482E"/>
    <w:rsid w:val="00B65F82"/>
    <w:rsid w:val="00B70971"/>
    <w:rsid w:val="00B70E04"/>
    <w:rsid w:val="00B71B72"/>
    <w:rsid w:val="00B71E23"/>
    <w:rsid w:val="00B73B28"/>
    <w:rsid w:val="00B76489"/>
    <w:rsid w:val="00B77127"/>
    <w:rsid w:val="00B77C01"/>
    <w:rsid w:val="00B77C6C"/>
    <w:rsid w:val="00B816BF"/>
    <w:rsid w:val="00B82B6A"/>
    <w:rsid w:val="00B85389"/>
    <w:rsid w:val="00B86756"/>
    <w:rsid w:val="00B90411"/>
    <w:rsid w:val="00B90E67"/>
    <w:rsid w:val="00B91708"/>
    <w:rsid w:val="00B9362E"/>
    <w:rsid w:val="00B949FE"/>
    <w:rsid w:val="00B94FD0"/>
    <w:rsid w:val="00B964A7"/>
    <w:rsid w:val="00BA1A0D"/>
    <w:rsid w:val="00BA2774"/>
    <w:rsid w:val="00BA2B1F"/>
    <w:rsid w:val="00BA39E6"/>
    <w:rsid w:val="00BA5EB6"/>
    <w:rsid w:val="00BB18E8"/>
    <w:rsid w:val="00BB2467"/>
    <w:rsid w:val="00BB266D"/>
    <w:rsid w:val="00BB2973"/>
    <w:rsid w:val="00BB32F9"/>
    <w:rsid w:val="00BB5969"/>
    <w:rsid w:val="00BD367A"/>
    <w:rsid w:val="00BD40E2"/>
    <w:rsid w:val="00BD4691"/>
    <w:rsid w:val="00BD7005"/>
    <w:rsid w:val="00BD7C5E"/>
    <w:rsid w:val="00BE2C04"/>
    <w:rsid w:val="00BE2EEF"/>
    <w:rsid w:val="00BF05DE"/>
    <w:rsid w:val="00BF117D"/>
    <w:rsid w:val="00BF1572"/>
    <w:rsid w:val="00BF1DCA"/>
    <w:rsid w:val="00BF2582"/>
    <w:rsid w:val="00BF5123"/>
    <w:rsid w:val="00BF5693"/>
    <w:rsid w:val="00BF7442"/>
    <w:rsid w:val="00BF774D"/>
    <w:rsid w:val="00C027F4"/>
    <w:rsid w:val="00C02B19"/>
    <w:rsid w:val="00C02F8D"/>
    <w:rsid w:val="00C0460B"/>
    <w:rsid w:val="00C0545B"/>
    <w:rsid w:val="00C1037F"/>
    <w:rsid w:val="00C11B5C"/>
    <w:rsid w:val="00C145DC"/>
    <w:rsid w:val="00C15C84"/>
    <w:rsid w:val="00C20A7F"/>
    <w:rsid w:val="00C20E58"/>
    <w:rsid w:val="00C23683"/>
    <w:rsid w:val="00C258ED"/>
    <w:rsid w:val="00C26161"/>
    <w:rsid w:val="00C27B4E"/>
    <w:rsid w:val="00C27C00"/>
    <w:rsid w:val="00C33ED9"/>
    <w:rsid w:val="00C3429C"/>
    <w:rsid w:val="00C3574C"/>
    <w:rsid w:val="00C357F8"/>
    <w:rsid w:val="00C45B31"/>
    <w:rsid w:val="00C507C4"/>
    <w:rsid w:val="00C559D2"/>
    <w:rsid w:val="00C57B93"/>
    <w:rsid w:val="00C60E54"/>
    <w:rsid w:val="00C622A1"/>
    <w:rsid w:val="00C63830"/>
    <w:rsid w:val="00C63CEE"/>
    <w:rsid w:val="00C63D74"/>
    <w:rsid w:val="00C640C1"/>
    <w:rsid w:val="00C650D2"/>
    <w:rsid w:val="00C663F3"/>
    <w:rsid w:val="00C7056F"/>
    <w:rsid w:val="00C70C94"/>
    <w:rsid w:val="00C712A8"/>
    <w:rsid w:val="00C712BC"/>
    <w:rsid w:val="00C71336"/>
    <w:rsid w:val="00C74E7E"/>
    <w:rsid w:val="00C751A4"/>
    <w:rsid w:val="00C7597F"/>
    <w:rsid w:val="00C760DF"/>
    <w:rsid w:val="00C77B89"/>
    <w:rsid w:val="00C8111F"/>
    <w:rsid w:val="00C81DD6"/>
    <w:rsid w:val="00C8298C"/>
    <w:rsid w:val="00C86A27"/>
    <w:rsid w:val="00C90DFB"/>
    <w:rsid w:val="00C92D10"/>
    <w:rsid w:val="00C96A3F"/>
    <w:rsid w:val="00CA0EE6"/>
    <w:rsid w:val="00CA492D"/>
    <w:rsid w:val="00CA5BD7"/>
    <w:rsid w:val="00CA6738"/>
    <w:rsid w:val="00CA6A47"/>
    <w:rsid w:val="00CB0CF8"/>
    <w:rsid w:val="00CB1B2E"/>
    <w:rsid w:val="00CB3194"/>
    <w:rsid w:val="00CB3D54"/>
    <w:rsid w:val="00CB4923"/>
    <w:rsid w:val="00CB58A6"/>
    <w:rsid w:val="00CB7A71"/>
    <w:rsid w:val="00CC2EC7"/>
    <w:rsid w:val="00CC44C4"/>
    <w:rsid w:val="00CC4AF5"/>
    <w:rsid w:val="00CC6C4A"/>
    <w:rsid w:val="00CD2301"/>
    <w:rsid w:val="00CD2863"/>
    <w:rsid w:val="00CD359B"/>
    <w:rsid w:val="00CD3DF8"/>
    <w:rsid w:val="00CD71B2"/>
    <w:rsid w:val="00CD7515"/>
    <w:rsid w:val="00CD7FED"/>
    <w:rsid w:val="00CE38B1"/>
    <w:rsid w:val="00CE38EC"/>
    <w:rsid w:val="00CE442B"/>
    <w:rsid w:val="00CE5D23"/>
    <w:rsid w:val="00CE672B"/>
    <w:rsid w:val="00CE69B2"/>
    <w:rsid w:val="00CE6D9D"/>
    <w:rsid w:val="00CF0AF8"/>
    <w:rsid w:val="00CF2604"/>
    <w:rsid w:val="00CF34EA"/>
    <w:rsid w:val="00CF3DDB"/>
    <w:rsid w:val="00CF766D"/>
    <w:rsid w:val="00D05A4E"/>
    <w:rsid w:val="00D10678"/>
    <w:rsid w:val="00D10E83"/>
    <w:rsid w:val="00D11163"/>
    <w:rsid w:val="00D113F0"/>
    <w:rsid w:val="00D122DE"/>
    <w:rsid w:val="00D12F73"/>
    <w:rsid w:val="00D13566"/>
    <w:rsid w:val="00D13DCF"/>
    <w:rsid w:val="00D21958"/>
    <w:rsid w:val="00D220FB"/>
    <w:rsid w:val="00D237FE"/>
    <w:rsid w:val="00D245D1"/>
    <w:rsid w:val="00D251CF"/>
    <w:rsid w:val="00D30272"/>
    <w:rsid w:val="00D34416"/>
    <w:rsid w:val="00D415AF"/>
    <w:rsid w:val="00D42B26"/>
    <w:rsid w:val="00D4393A"/>
    <w:rsid w:val="00D4484D"/>
    <w:rsid w:val="00D45B5E"/>
    <w:rsid w:val="00D514CA"/>
    <w:rsid w:val="00D520F7"/>
    <w:rsid w:val="00D53369"/>
    <w:rsid w:val="00D535CA"/>
    <w:rsid w:val="00D53EF7"/>
    <w:rsid w:val="00D53F4E"/>
    <w:rsid w:val="00D5498B"/>
    <w:rsid w:val="00D553B3"/>
    <w:rsid w:val="00D5689B"/>
    <w:rsid w:val="00D57262"/>
    <w:rsid w:val="00D57442"/>
    <w:rsid w:val="00D62C94"/>
    <w:rsid w:val="00D641DD"/>
    <w:rsid w:val="00D64647"/>
    <w:rsid w:val="00D64DAB"/>
    <w:rsid w:val="00D653C2"/>
    <w:rsid w:val="00D6566C"/>
    <w:rsid w:val="00D66A59"/>
    <w:rsid w:val="00D73E38"/>
    <w:rsid w:val="00D74D3E"/>
    <w:rsid w:val="00D75225"/>
    <w:rsid w:val="00D75CCD"/>
    <w:rsid w:val="00D806D0"/>
    <w:rsid w:val="00D80770"/>
    <w:rsid w:val="00D86C80"/>
    <w:rsid w:val="00D90076"/>
    <w:rsid w:val="00D90430"/>
    <w:rsid w:val="00D910D3"/>
    <w:rsid w:val="00D914F6"/>
    <w:rsid w:val="00D92055"/>
    <w:rsid w:val="00D923D1"/>
    <w:rsid w:val="00D943CE"/>
    <w:rsid w:val="00D9554A"/>
    <w:rsid w:val="00D95B65"/>
    <w:rsid w:val="00D9748A"/>
    <w:rsid w:val="00DA00A5"/>
    <w:rsid w:val="00DA0A92"/>
    <w:rsid w:val="00DA0E8D"/>
    <w:rsid w:val="00DA2AD4"/>
    <w:rsid w:val="00DA4CD3"/>
    <w:rsid w:val="00DA58DB"/>
    <w:rsid w:val="00DB0B0F"/>
    <w:rsid w:val="00DB0EC0"/>
    <w:rsid w:val="00DB1062"/>
    <w:rsid w:val="00DB2F88"/>
    <w:rsid w:val="00DB318C"/>
    <w:rsid w:val="00DB4FD7"/>
    <w:rsid w:val="00DC4089"/>
    <w:rsid w:val="00DC4C68"/>
    <w:rsid w:val="00DD0061"/>
    <w:rsid w:val="00DD18E7"/>
    <w:rsid w:val="00DD4542"/>
    <w:rsid w:val="00DD455E"/>
    <w:rsid w:val="00DD5C48"/>
    <w:rsid w:val="00DD7C60"/>
    <w:rsid w:val="00DE1210"/>
    <w:rsid w:val="00DE1479"/>
    <w:rsid w:val="00DE31E8"/>
    <w:rsid w:val="00DE4603"/>
    <w:rsid w:val="00DF1248"/>
    <w:rsid w:val="00DF4815"/>
    <w:rsid w:val="00DF5716"/>
    <w:rsid w:val="00E0056D"/>
    <w:rsid w:val="00E010D5"/>
    <w:rsid w:val="00E02C51"/>
    <w:rsid w:val="00E0359C"/>
    <w:rsid w:val="00E03D2C"/>
    <w:rsid w:val="00E03EFD"/>
    <w:rsid w:val="00E06768"/>
    <w:rsid w:val="00E067CC"/>
    <w:rsid w:val="00E10155"/>
    <w:rsid w:val="00E1086F"/>
    <w:rsid w:val="00E121BB"/>
    <w:rsid w:val="00E132CC"/>
    <w:rsid w:val="00E15ACA"/>
    <w:rsid w:val="00E243E4"/>
    <w:rsid w:val="00E30115"/>
    <w:rsid w:val="00E3328B"/>
    <w:rsid w:val="00E35626"/>
    <w:rsid w:val="00E37A5A"/>
    <w:rsid w:val="00E451F1"/>
    <w:rsid w:val="00E461BD"/>
    <w:rsid w:val="00E4765D"/>
    <w:rsid w:val="00E53E2E"/>
    <w:rsid w:val="00E55F0D"/>
    <w:rsid w:val="00E5746E"/>
    <w:rsid w:val="00E602BF"/>
    <w:rsid w:val="00E60E79"/>
    <w:rsid w:val="00E6141E"/>
    <w:rsid w:val="00E628B3"/>
    <w:rsid w:val="00E62A2D"/>
    <w:rsid w:val="00E63729"/>
    <w:rsid w:val="00E71E78"/>
    <w:rsid w:val="00E74652"/>
    <w:rsid w:val="00E74888"/>
    <w:rsid w:val="00E76654"/>
    <w:rsid w:val="00E76A79"/>
    <w:rsid w:val="00E76BB1"/>
    <w:rsid w:val="00E772E1"/>
    <w:rsid w:val="00E81578"/>
    <w:rsid w:val="00E86DE5"/>
    <w:rsid w:val="00E90221"/>
    <w:rsid w:val="00E93890"/>
    <w:rsid w:val="00E952F5"/>
    <w:rsid w:val="00E95653"/>
    <w:rsid w:val="00EA0F23"/>
    <w:rsid w:val="00EA159A"/>
    <w:rsid w:val="00EA1924"/>
    <w:rsid w:val="00EA2887"/>
    <w:rsid w:val="00EA5D30"/>
    <w:rsid w:val="00EB20C3"/>
    <w:rsid w:val="00EB3067"/>
    <w:rsid w:val="00EB34B2"/>
    <w:rsid w:val="00EB56F6"/>
    <w:rsid w:val="00EB5A7A"/>
    <w:rsid w:val="00EB718A"/>
    <w:rsid w:val="00EB7B58"/>
    <w:rsid w:val="00EC1366"/>
    <w:rsid w:val="00EC4661"/>
    <w:rsid w:val="00EC49E0"/>
    <w:rsid w:val="00EC49FE"/>
    <w:rsid w:val="00EC625A"/>
    <w:rsid w:val="00ED0C1F"/>
    <w:rsid w:val="00ED0FD6"/>
    <w:rsid w:val="00ED117E"/>
    <w:rsid w:val="00ED16CA"/>
    <w:rsid w:val="00ED722C"/>
    <w:rsid w:val="00EE5F93"/>
    <w:rsid w:val="00EE60B3"/>
    <w:rsid w:val="00EE6B50"/>
    <w:rsid w:val="00EE7668"/>
    <w:rsid w:val="00EF1757"/>
    <w:rsid w:val="00EF2831"/>
    <w:rsid w:val="00EF2AAC"/>
    <w:rsid w:val="00EF6085"/>
    <w:rsid w:val="00F01185"/>
    <w:rsid w:val="00F02044"/>
    <w:rsid w:val="00F02351"/>
    <w:rsid w:val="00F02E25"/>
    <w:rsid w:val="00F0416E"/>
    <w:rsid w:val="00F04F23"/>
    <w:rsid w:val="00F07250"/>
    <w:rsid w:val="00F109A0"/>
    <w:rsid w:val="00F118A9"/>
    <w:rsid w:val="00F11DD7"/>
    <w:rsid w:val="00F127F2"/>
    <w:rsid w:val="00F17F8F"/>
    <w:rsid w:val="00F215A7"/>
    <w:rsid w:val="00F238CF"/>
    <w:rsid w:val="00F255A0"/>
    <w:rsid w:val="00F27C9B"/>
    <w:rsid w:val="00F333E7"/>
    <w:rsid w:val="00F43B13"/>
    <w:rsid w:val="00F44A1D"/>
    <w:rsid w:val="00F45095"/>
    <w:rsid w:val="00F470AC"/>
    <w:rsid w:val="00F47619"/>
    <w:rsid w:val="00F52C4F"/>
    <w:rsid w:val="00F5453D"/>
    <w:rsid w:val="00F545AF"/>
    <w:rsid w:val="00F57B22"/>
    <w:rsid w:val="00F60594"/>
    <w:rsid w:val="00F60683"/>
    <w:rsid w:val="00F60733"/>
    <w:rsid w:val="00F62F50"/>
    <w:rsid w:val="00F64726"/>
    <w:rsid w:val="00F671CC"/>
    <w:rsid w:val="00F675D7"/>
    <w:rsid w:val="00F7549E"/>
    <w:rsid w:val="00F7773F"/>
    <w:rsid w:val="00F80F7F"/>
    <w:rsid w:val="00F8203D"/>
    <w:rsid w:val="00F8263B"/>
    <w:rsid w:val="00F83E8F"/>
    <w:rsid w:val="00F84031"/>
    <w:rsid w:val="00F84843"/>
    <w:rsid w:val="00F85296"/>
    <w:rsid w:val="00F852BA"/>
    <w:rsid w:val="00F85844"/>
    <w:rsid w:val="00F85C2C"/>
    <w:rsid w:val="00F879BB"/>
    <w:rsid w:val="00F87F3F"/>
    <w:rsid w:val="00F92145"/>
    <w:rsid w:val="00F9227E"/>
    <w:rsid w:val="00F9229F"/>
    <w:rsid w:val="00F92BD9"/>
    <w:rsid w:val="00F9790B"/>
    <w:rsid w:val="00F97A64"/>
    <w:rsid w:val="00FA0BB9"/>
    <w:rsid w:val="00FA150A"/>
    <w:rsid w:val="00FA1998"/>
    <w:rsid w:val="00FA5779"/>
    <w:rsid w:val="00FA7125"/>
    <w:rsid w:val="00FB0DE0"/>
    <w:rsid w:val="00FB22FC"/>
    <w:rsid w:val="00FB5788"/>
    <w:rsid w:val="00FB68ED"/>
    <w:rsid w:val="00FC0CE6"/>
    <w:rsid w:val="00FC10B2"/>
    <w:rsid w:val="00FC3EC7"/>
    <w:rsid w:val="00FC64B1"/>
    <w:rsid w:val="00FD06E6"/>
    <w:rsid w:val="00FD07BA"/>
    <w:rsid w:val="00FD19D4"/>
    <w:rsid w:val="00FD25C1"/>
    <w:rsid w:val="00FD4F21"/>
    <w:rsid w:val="00FD5171"/>
    <w:rsid w:val="00FD6A2D"/>
    <w:rsid w:val="00FD6DA2"/>
    <w:rsid w:val="00FD74C7"/>
    <w:rsid w:val="00FD7AED"/>
    <w:rsid w:val="00FE1108"/>
    <w:rsid w:val="00FE2253"/>
    <w:rsid w:val="00FE226B"/>
    <w:rsid w:val="00FE2FD7"/>
    <w:rsid w:val="00FE51BF"/>
    <w:rsid w:val="00FE63B7"/>
    <w:rsid w:val="00FF093F"/>
    <w:rsid w:val="00FF271A"/>
    <w:rsid w:val="00FF2FCE"/>
    <w:rsid w:val="00FF5A56"/>
    <w:rsid w:val="00FF69DA"/>
    <w:rsid w:val="0E5B6625"/>
    <w:rsid w:val="15995A08"/>
    <w:rsid w:val="222665A8"/>
    <w:rsid w:val="243418C8"/>
    <w:rsid w:val="273B3EE6"/>
    <w:rsid w:val="386C12AB"/>
    <w:rsid w:val="40881039"/>
    <w:rsid w:val="5F133C22"/>
    <w:rsid w:val="6206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005正文"/>
    <w:basedOn w:val="1"/>
    <w:link w:val="13"/>
    <w:qFormat/>
    <w:uiPriority w:val="0"/>
    <w:pPr>
      <w:spacing w:before="50" w:beforeLines="50" w:after="50" w:afterLines="50" w:line="360" w:lineRule="auto"/>
      <w:ind w:firstLine="200" w:firstLineChars="200"/>
    </w:pPr>
    <w:rPr>
      <w:sz w:val="24"/>
      <w:szCs w:val="22"/>
    </w:rPr>
  </w:style>
  <w:style w:type="character" w:customStyle="1" w:styleId="13">
    <w:name w:val="005正文 Char"/>
    <w:link w:val="12"/>
    <w:qFormat/>
    <w:uiPriority w:val="0"/>
    <w:rPr>
      <w:rFonts w:ascii="Times New Roman" w:hAnsi="Times New Roman" w:eastAsia="宋体" w:cs="Times New Roman"/>
      <w:sz w:val="24"/>
    </w:rPr>
  </w:style>
  <w:style w:type="paragraph" w:styleId="14">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15">
    <w:name w:val="0招股6正文"/>
    <w:link w:val="16"/>
    <w:qFormat/>
    <w:uiPriority w:val="0"/>
    <w:pPr>
      <w:spacing w:before="156" w:beforeLines="50" w:after="156" w:afterLines="50" w:line="360" w:lineRule="auto"/>
      <w:ind w:firstLine="480" w:firstLineChars="200"/>
      <w:jc w:val="both"/>
    </w:pPr>
    <w:rPr>
      <w:rFonts w:ascii="Times New Roman" w:hAnsi="Times New Roman" w:eastAsiaTheme="minorEastAsia" w:cstheme="minorBidi"/>
      <w:kern w:val="2"/>
      <w:sz w:val="24"/>
      <w:szCs w:val="21"/>
      <w:lang w:val="en-US" w:eastAsia="zh-CN" w:bidi="ar-SA"/>
    </w:rPr>
  </w:style>
  <w:style w:type="character" w:customStyle="1" w:styleId="16">
    <w:name w:val="0招股6正文 Char"/>
    <w:link w:val="15"/>
    <w:qFormat/>
    <w:uiPriority w:val="0"/>
    <w:rPr>
      <w:rFonts w:ascii="Times New Roman" w:hAnsi="Times New Roman"/>
      <w:sz w:val="24"/>
      <w:szCs w:val="21"/>
    </w:rPr>
  </w:style>
  <w:style w:type="character" w:customStyle="1" w:styleId="17">
    <w:name w:val="批注文字 Char"/>
    <w:basedOn w:val="8"/>
    <w:link w:val="2"/>
    <w:semiHidden/>
    <w:qFormat/>
    <w:uiPriority w:val="99"/>
    <w:rPr>
      <w:rFonts w:ascii="Times New Roman" w:hAnsi="Times New Roman" w:eastAsia="宋体" w:cs="Times New Roman"/>
      <w:szCs w:val="20"/>
    </w:rPr>
  </w:style>
  <w:style w:type="character" w:customStyle="1" w:styleId="18">
    <w:name w:val="批注主题 Char"/>
    <w:basedOn w:val="17"/>
    <w:link w:val="6"/>
    <w:semiHidden/>
    <w:qFormat/>
    <w:uiPriority w:val="99"/>
    <w:rPr>
      <w:rFonts w:ascii="Times New Roman" w:hAnsi="Times New Roman" w:eastAsia="宋体" w:cs="Times New Roman"/>
      <w:b/>
      <w:bCs/>
      <w:szCs w:val="20"/>
    </w:rPr>
  </w:style>
  <w:style w:type="character" w:customStyle="1" w:styleId="19">
    <w:name w:val="批注框文本 Char"/>
    <w:basedOn w:val="8"/>
    <w:link w:val="3"/>
    <w:semiHidden/>
    <w:qFormat/>
    <w:uiPriority w:val="99"/>
    <w:rPr>
      <w:rFonts w:ascii="Times New Roman" w:hAnsi="Times New Roman" w:eastAsia="宋体" w:cs="Times New Roman"/>
      <w:sz w:val="18"/>
      <w:szCs w:val="18"/>
    </w:rPr>
  </w:style>
  <w:style w:type="character" w:customStyle="1" w:styleId="20">
    <w:name w:val="无 A"/>
    <w:semiHidden/>
    <w:qFormat/>
    <w:uiPriority w:val="0"/>
  </w:style>
  <w:style w:type="character" w:customStyle="1" w:styleId="21">
    <w:name w:val="fontstyle01"/>
    <w:basedOn w:val="8"/>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6B07-5C0B-4945-9384-A90C36CFAC90}">
  <ds:schemaRefs/>
</ds:datastoreItem>
</file>

<file path=docProps/app.xml><?xml version="1.0" encoding="utf-8"?>
<Properties xmlns="http://schemas.openxmlformats.org/officeDocument/2006/extended-properties" xmlns:vt="http://schemas.openxmlformats.org/officeDocument/2006/docPropsVTypes">
  <Template>Normal</Template>
  <Pages>5</Pages>
  <Words>3636</Words>
  <Characters>3748</Characters>
  <Lines>8</Lines>
  <Paragraphs>2</Paragraphs>
  <TotalTime>24</TotalTime>
  <ScaleCrop>false</ScaleCrop>
  <LinksUpToDate>false</LinksUpToDate>
  <CharactersWithSpaces>3862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2024-03-04T08:06:00Z</dcterms:created>
  <dc:creator>weiyao</dc:creator>
  <cp:lastModifiedBy>zhangchen</cp:lastModifiedBy>
  <dcterms:modified xsi:type="dcterms:W3CDTF">2024-11-15T09:28:39Z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9D343478DF8846BEB37C67400284A487_13</vt:lpwstr>
  </property>
</Properties>
</file>