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252AA" w14:textId="117E83B7" w:rsidR="00321D5A" w:rsidRDefault="00C524E0" w:rsidP="00C524E0">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688103</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国力股份</w:t>
      </w:r>
    </w:p>
    <w:p w14:paraId="323F497C" w14:textId="40F2F10A" w:rsidR="00C524E0" w:rsidRPr="00C524E0" w:rsidRDefault="00C524E0" w:rsidP="00C524E0">
      <w:pPr>
        <w:spacing w:line="360" w:lineRule="auto"/>
        <w:rPr>
          <w:rFonts w:hint="eastAsia"/>
          <w:lang w:val="en-US"/>
        </w:rPr>
      </w:pPr>
      <w:r w:rsidRPr="001458A0">
        <w:rPr>
          <w:rFonts w:ascii="宋体" w:eastAsia="宋体" w:hAnsi="宋体" w:cs="宋体"/>
          <w:sz w:val="20"/>
          <w:szCs w:val="20"/>
          <w:lang w:val="en-US"/>
        </w:rPr>
        <w:t>转债代码：</w:t>
      </w:r>
      <w:r w:rsidRPr="001458A0">
        <w:rPr>
          <w:rFonts w:ascii="宋体" w:eastAsia="宋体" w:hAnsi="宋体" w:cs="宋体" w:hint="eastAsia"/>
          <w:sz w:val="20"/>
          <w:szCs w:val="20"/>
          <w:lang w:val="en-US"/>
        </w:rPr>
        <w:t>1</w:t>
      </w:r>
      <w:r w:rsidRPr="001458A0">
        <w:rPr>
          <w:rFonts w:ascii="宋体" w:eastAsia="宋体" w:hAnsi="宋体" w:cs="宋体"/>
          <w:sz w:val="20"/>
          <w:szCs w:val="20"/>
          <w:lang w:val="en-US"/>
        </w:rPr>
        <w:t>18035</w:t>
      </w:r>
      <w:r>
        <w:rPr>
          <w:rFonts w:ascii="宋体" w:eastAsia="宋体" w:hAnsi="宋体" w:cs="宋体"/>
          <w:sz w:val="20"/>
          <w:szCs w:val="20"/>
          <w:lang w:val="en-US"/>
        </w:rPr>
        <w:t xml:space="preserve">                                                </w:t>
      </w:r>
      <w:r w:rsidRPr="001458A0">
        <w:rPr>
          <w:rFonts w:ascii="宋体" w:eastAsia="宋体" w:hAnsi="宋体" w:cs="宋体"/>
          <w:sz w:val="20"/>
          <w:szCs w:val="20"/>
          <w:lang w:val="en-US"/>
        </w:rPr>
        <w:t>转债简称：国力转债</w:t>
      </w:r>
    </w:p>
    <w:p w14:paraId="1C04515D" w14:textId="77777777" w:rsidR="00321D5A" w:rsidRDefault="00321D5A">
      <w:pPr>
        <w:spacing w:line="360" w:lineRule="auto"/>
        <w:jc w:val="center"/>
        <w:rPr>
          <w:rFonts w:ascii="宋体" w:eastAsia="宋体" w:hAnsi="宋体" w:cs="宋体"/>
          <w:b/>
          <w:bCs/>
          <w:sz w:val="44"/>
          <w:szCs w:val="44"/>
        </w:rPr>
      </w:pPr>
    </w:p>
    <w:p w14:paraId="131D29C9" w14:textId="77777777" w:rsidR="00321D5A" w:rsidRDefault="00C524E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4BDC6E56" w14:textId="77777777" w:rsidR="00321D5A" w:rsidRDefault="00C524E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8BE156D" w14:textId="39F945A9" w:rsidR="00321D5A" w:rsidRDefault="00C524E0" w:rsidP="00C524E0">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w:t>
      </w:r>
      <w:r>
        <w:rPr>
          <w:rFonts w:ascii="宋体" w:eastAsia="宋体" w:hAnsi="宋体" w:cs="宋体"/>
          <w:sz w:val="20"/>
          <w:szCs w:val="20"/>
        </w:rPr>
        <w:t>012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321D5A" w14:paraId="36C08468" w14:textId="77777777">
        <w:trPr>
          <w:trHeight w:val="2801"/>
          <w:jc w:val="center"/>
        </w:trPr>
        <w:tc>
          <w:tcPr>
            <w:tcW w:w="2580" w:type="dxa"/>
          </w:tcPr>
          <w:p w14:paraId="0E694A33" w14:textId="77777777" w:rsidR="00321D5A" w:rsidRDefault="00321D5A">
            <w:pPr>
              <w:pStyle w:val="TableParagraph"/>
              <w:spacing w:before="7"/>
              <w:rPr>
                <w:rFonts w:ascii="宋体" w:eastAsia="宋体" w:hAnsi="宋体" w:cs="宋体"/>
                <w:b/>
                <w:bCs/>
                <w:sz w:val="20"/>
                <w:szCs w:val="20"/>
              </w:rPr>
            </w:pPr>
          </w:p>
          <w:p w14:paraId="1A58B2F5"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DBD598E" w14:textId="77777777" w:rsidR="00321D5A" w:rsidRDefault="00321D5A">
            <w:pPr>
              <w:pStyle w:val="TableParagraph"/>
              <w:spacing w:before="7"/>
              <w:rPr>
                <w:rFonts w:ascii="宋体" w:eastAsia="宋体" w:hAnsi="宋体" w:cs="宋体"/>
                <w:sz w:val="20"/>
                <w:szCs w:val="20"/>
              </w:rPr>
            </w:pPr>
          </w:p>
          <w:p w14:paraId="4D548A25" w14:textId="77777777" w:rsidR="00321D5A" w:rsidRDefault="00C524E0">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818B3E0" w14:textId="77777777" w:rsidR="00321D5A" w:rsidRDefault="00321D5A">
            <w:pPr>
              <w:pStyle w:val="TableParagraph"/>
              <w:spacing w:before="11"/>
              <w:rPr>
                <w:rFonts w:ascii="宋体" w:eastAsia="宋体" w:hAnsi="宋体" w:cs="宋体"/>
                <w:sz w:val="20"/>
                <w:szCs w:val="20"/>
              </w:rPr>
            </w:pPr>
          </w:p>
          <w:p w14:paraId="6FD3880C" w14:textId="77777777" w:rsidR="00321D5A" w:rsidRDefault="00C524E0">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107528E4" w14:textId="77777777" w:rsidR="00321D5A" w:rsidRDefault="00321D5A">
            <w:pPr>
              <w:pStyle w:val="TableParagraph"/>
              <w:spacing w:before="8"/>
              <w:rPr>
                <w:rFonts w:ascii="宋体" w:eastAsia="宋体" w:hAnsi="宋体" w:cs="宋体"/>
                <w:sz w:val="20"/>
                <w:szCs w:val="20"/>
              </w:rPr>
            </w:pPr>
          </w:p>
          <w:p w14:paraId="00D18752" w14:textId="77777777" w:rsidR="00321D5A" w:rsidRDefault="00C524E0">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37CA4AE" w14:textId="77777777" w:rsidR="00321D5A" w:rsidRDefault="00321D5A">
            <w:pPr>
              <w:pStyle w:val="TableParagraph"/>
              <w:spacing w:before="8"/>
              <w:rPr>
                <w:rFonts w:ascii="宋体" w:eastAsia="宋体" w:hAnsi="宋体" w:cs="宋体"/>
                <w:sz w:val="20"/>
                <w:szCs w:val="20"/>
              </w:rPr>
            </w:pPr>
          </w:p>
          <w:p w14:paraId="69A63D7D" w14:textId="77777777" w:rsidR="00321D5A" w:rsidRDefault="00C524E0">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6E3B6112" w14:textId="77777777" w:rsidR="00321D5A" w:rsidRDefault="00321D5A">
            <w:pPr>
              <w:pStyle w:val="TableParagraph"/>
              <w:spacing w:before="11"/>
              <w:rPr>
                <w:rFonts w:ascii="宋体" w:eastAsia="宋体" w:hAnsi="宋体" w:cs="宋体"/>
                <w:sz w:val="20"/>
                <w:szCs w:val="20"/>
              </w:rPr>
            </w:pPr>
          </w:p>
          <w:p w14:paraId="3B0FE45C" w14:textId="77777777" w:rsidR="00321D5A" w:rsidRDefault="00C524E0">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321D5A" w14:paraId="4611D1CC" w14:textId="77777777">
        <w:trPr>
          <w:trHeight w:val="1120"/>
          <w:jc w:val="center"/>
        </w:trPr>
        <w:tc>
          <w:tcPr>
            <w:tcW w:w="2580" w:type="dxa"/>
            <w:vAlign w:val="center"/>
          </w:tcPr>
          <w:p w14:paraId="0896C5EE" w14:textId="77777777" w:rsidR="00321D5A" w:rsidRDefault="00C524E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5279DB5" w14:textId="77777777" w:rsidR="00321D5A" w:rsidRDefault="00C524E0">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线上参与公司</w:t>
            </w:r>
            <w:r>
              <w:rPr>
                <w:rFonts w:asciiTheme="minorEastAsia" w:eastAsiaTheme="minorEastAsia" w:hAnsiTheme="minorEastAsia" w:cs="宋体" w:hint="eastAsia"/>
                <w:sz w:val="20"/>
                <w:szCs w:val="20"/>
                <w:lang w:val="en-US"/>
              </w:rPr>
              <w:t>2024</w:t>
            </w:r>
            <w:r>
              <w:rPr>
                <w:rFonts w:asciiTheme="minorEastAsia" w:eastAsiaTheme="minorEastAsia" w:hAnsiTheme="minorEastAsia" w:cs="宋体" w:hint="eastAsia"/>
                <w:sz w:val="20"/>
                <w:szCs w:val="20"/>
                <w:lang w:val="en-US"/>
              </w:rPr>
              <w:t>年第三季度业绩说明会的投资者</w:t>
            </w:r>
          </w:p>
        </w:tc>
      </w:tr>
      <w:tr w:rsidR="00321D5A" w14:paraId="1F9A1333" w14:textId="77777777">
        <w:trPr>
          <w:trHeight w:val="558"/>
          <w:jc w:val="center"/>
        </w:trPr>
        <w:tc>
          <w:tcPr>
            <w:tcW w:w="2580" w:type="dxa"/>
            <w:vAlign w:val="center"/>
          </w:tcPr>
          <w:p w14:paraId="337A2F63"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419E230" w14:textId="77777777" w:rsidR="00321D5A" w:rsidRDefault="00C524E0">
            <w:pPr>
              <w:spacing w:before="100" w:beforeAutospacing="1" w:line="360" w:lineRule="auto"/>
              <w:rPr>
                <w:sz w:val="20"/>
                <w:szCs w:val="20"/>
              </w:rPr>
            </w:pPr>
            <w:r>
              <w:rPr>
                <w:rFonts w:asciiTheme="minorEastAsia" w:eastAsiaTheme="minorEastAsia" w:hAnsiTheme="minorEastAsia" w:cstheme="minorEastAsia" w:hint="eastAsia"/>
                <w:sz w:val="20"/>
                <w:szCs w:val="20"/>
              </w:rPr>
              <w:t>2024</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11</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18</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w:t>
            </w:r>
            <w:r>
              <w:rPr>
                <w:rFonts w:asciiTheme="minorEastAsia" w:eastAsiaTheme="minorEastAsia" w:hAnsiTheme="minorEastAsia" w:cstheme="minorEastAsia" w:hint="eastAsia"/>
                <w:sz w:val="20"/>
                <w:szCs w:val="20"/>
              </w:rPr>
              <w:t>15:00-16:30</w:t>
            </w:r>
          </w:p>
        </w:tc>
      </w:tr>
      <w:tr w:rsidR="00321D5A" w14:paraId="7D86F106" w14:textId="77777777">
        <w:trPr>
          <w:trHeight w:val="561"/>
          <w:jc w:val="center"/>
        </w:trPr>
        <w:tc>
          <w:tcPr>
            <w:tcW w:w="2580" w:type="dxa"/>
            <w:vAlign w:val="center"/>
          </w:tcPr>
          <w:p w14:paraId="607CDD52"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38CF2DB" w14:textId="77777777" w:rsidR="00321D5A" w:rsidRDefault="00C524E0">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321D5A" w14:paraId="1622F503" w14:textId="77777777">
        <w:trPr>
          <w:trHeight w:val="558"/>
          <w:jc w:val="center"/>
        </w:trPr>
        <w:tc>
          <w:tcPr>
            <w:tcW w:w="2580" w:type="dxa"/>
            <w:vAlign w:val="center"/>
          </w:tcPr>
          <w:p w14:paraId="76113F3A"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69BC367" w14:textId="77777777" w:rsidR="00321D5A" w:rsidRDefault="00C524E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sz w:val="20"/>
                <w:szCs w:val="20"/>
              </w:rPr>
              <w:t xml:space="preserve"> </w:t>
            </w:r>
            <w:r>
              <w:rPr>
                <w:rFonts w:ascii="宋体" w:eastAsia="宋体" w:hAnsi="宋体" w:cs="宋体"/>
                <w:sz w:val="20"/>
                <w:szCs w:val="20"/>
              </w:rPr>
              <w:t>尹剑平</w:t>
            </w:r>
            <w:r>
              <w:rPr>
                <w:rFonts w:ascii="宋体" w:eastAsia="宋体" w:hAnsi="宋体" w:cs="宋体"/>
                <w:sz w:val="20"/>
                <w:szCs w:val="20"/>
              </w:rPr>
              <w:br/>
            </w:r>
            <w:r>
              <w:rPr>
                <w:rFonts w:ascii="宋体" w:eastAsia="宋体" w:hAnsi="宋体" w:cs="宋体"/>
                <w:sz w:val="20"/>
                <w:szCs w:val="20"/>
              </w:rPr>
              <w:t>总经理</w:t>
            </w:r>
            <w:r>
              <w:rPr>
                <w:rFonts w:ascii="宋体" w:eastAsia="宋体" w:hAnsi="宋体" w:cs="宋体"/>
                <w:sz w:val="20"/>
                <w:szCs w:val="20"/>
              </w:rPr>
              <w:t xml:space="preserve"> </w:t>
            </w:r>
            <w:r>
              <w:rPr>
                <w:rFonts w:ascii="宋体" w:eastAsia="宋体" w:hAnsi="宋体" w:cs="宋体"/>
                <w:sz w:val="20"/>
                <w:szCs w:val="20"/>
              </w:rPr>
              <w:t>黄</w:t>
            </w:r>
            <w:proofErr w:type="gramStart"/>
            <w:r>
              <w:rPr>
                <w:rFonts w:ascii="宋体" w:eastAsia="宋体" w:hAnsi="宋体" w:cs="宋体"/>
                <w:sz w:val="20"/>
                <w:szCs w:val="20"/>
              </w:rPr>
              <w:t>浩</w:t>
            </w:r>
            <w:proofErr w:type="gramEnd"/>
            <w:r>
              <w:rPr>
                <w:rFonts w:ascii="宋体" w:eastAsia="宋体" w:hAnsi="宋体" w:cs="宋体"/>
                <w:sz w:val="20"/>
                <w:szCs w:val="20"/>
              </w:rPr>
              <w:br/>
            </w:r>
            <w:r>
              <w:rPr>
                <w:rFonts w:ascii="宋体" w:eastAsia="宋体" w:hAnsi="宋体" w:cs="宋体"/>
                <w:sz w:val="20"/>
                <w:szCs w:val="20"/>
              </w:rPr>
              <w:t>董事会秘书</w:t>
            </w:r>
            <w:r>
              <w:rPr>
                <w:rFonts w:ascii="宋体" w:eastAsia="宋体" w:hAnsi="宋体" w:cs="宋体"/>
                <w:sz w:val="20"/>
                <w:szCs w:val="20"/>
              </w:rPr>
              <w:t xml:space="preserve"> </w:t>
            </w:r>
            <w:r>
              <w:rPr>
                <w:rFonts w:ascii="宋体" w:eastAsia="宋体" w:hAnsi="宋体" w:cs="宋体"/>
                <w:sz w:val="20"/>
                <w:szCs w:val="20"/>
              </w:rPr>
              <w:t>张雪梅</w:t>
            </w:r>
            <w:r>
              <w:rPr>
                <w:rFonts w:ascii="宋体" w:eastAsia="宋体" w:hAnsi="宋体" w:cs="宋体"/>
                <w:sz w:val="20"/>
                <w:szCs w:val="20"/>
              </w:rPr>
              <w:br/>
            </w:r>
            <w:r>
              <w:rPr>
                <w:rFonts w:ascii="宋体" w:eastAsia="宋体" w:hAnsi="宋体" w:cs="宋体"/>
                <w:sz w:val="20"/>
                <w:szCs w:val="20"/>
              </w:rPr>
              <w:t>财务总监</w:t>
            </w:r>
            <w:r>
              <w:rPr>
                <w:rFonts w:ascii="宋体" w:eastAsia="宋体" w:hAnsi="宋体" w:cs="宋体"/>
                <w:sz w:val="20"/>
                <w:szCs w:val="20"/>
              </w:rPr>
              <w:t xml:space="preserve"> </w:t>
            </w:r>
            <w:r>
              <w:rPr>
                <w:rFonts w:ascii="宋体" w:eastAsia="宋体" w:hAnsi="宋体" w:cs="宋体"/>
                <w:sz w:val="20"/>
                <w:szCs w:val="20"/>
              </w:rPr>
              <w:t>李平</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proofErr w:type="gramStart"/>
            <w:r>
              <w:rPr>
                <w:rFonts w:ascii="宋体" w:eastAsia="宋体" w:hAnsi="宋体" w:cs="宋体"/>
                <w:sz w:val="20"/>
                <w:szCs w:val="20"/>
              </w:rPr>
              <w:t>陆利康</w:t>
            </w:r>
            <w:proofErr w:type="gramEnd"/>
          </w:p>
        </w:tc>
      </w:tr>
      <w:tr w:rsidR="00321D5A" w14:paraId="64DFBCC8" w14:textId="77777777">
        <w:trPr>
          <w:trHeight w:val="2800"/>
          <w:jc w:val="center"/>
        </w:trPr>
        <w:tc>
          <w:tcPr>
            <w:tcW w:w="2580" w:type="dxa"/>
          </w:tcPr>
          <w:p w14:paraId="0B8A8CC9" w14:textId="77777777" w:rsidR="00321D5A" w:rsidRDefault="00321D5A">
            <w:pPr>
              <w:pStyle w:val="TableParagraph"/>
              <w:rPr>
                <w:rFonts w:ascii="宋体" w:eastAsia="宋体" w:hAnsi="宋体" w:cs="宋体"/>
                <w:b/>
                <w:bCs/>
                <w:sz w:val="20"/>
                <w:szCs w:val="20"/>
              </w:rPr>
            </w:pPr>
          </w:p>
          <w:p w14:paraId="63CA20D5" w14:textId="77777777" w:rsidR="00321D5A" w:rsidRDefault="00321D5A">
            <w:pPr>
              <w:pStyle w:val="TableParagraph"/>
              <w:rPr>
                <w:rFonts w:ascii="宋体" w:eastAsia="宋体" w:hAnsi="宋体" w:cs="宋体"/>
                <w:b/>
                <w:bCs/>
                <w:sz w:val="20"/>
                <w:szCs w:val="20"/>
              </w:rPr>
            </w:pPr>
          </w:p>
          <w:p w14:paraId="5704B15C" w14:textId="77777777" w:rsidR="00321D5A" w:rsidRDefault="00321D5A">
            <w:pPr>
              <w:pStyle w:val="TableParagraph"/>
              <w:spacing w:before="5"/>
              <w:rPr>
                <w:rFonts w:ascii="宋体" w:eastAsia="宋体" w:hAnsi="宋体" w:cs="宋体"/>
                <w:b/>
                <w:bCs/>
                <w:sz w:val="20"/>
                <w:szCs w:val="20"/>
              </w:rPr>
            </w:pPr>
          </w:p>
          <w:p w14:paraId="443C642C" w14:textId="77777777" w:rsidR="00321D5A" w:rsidRDefault="00C524E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767DE639" w14:textId="359B0712" w:rsidR="00321D5A" w:rsidRPr="00C524E0" w:rsidRDefault="00C524E0" w:rsidP="00C524E0">
            <w:pPr>
              <w:pStyle w:val="TableParagraph"/>
              <w:spacing w:before="100" w:beforeAutospacing="1" w:line="360" w:lineRule="auto"/>
              <w:rPr>
                <w:rFonts w:ascii="宋体" w:eastAsia="宋体" w:hAnsi="宋体" w:cs="宋体"/>
                <w:sz w:val="20"/>
              </w:rPr>
            </w:pPr>
            <w:r>
              <w:rPr>
                <w:rFonts w:ascii="宋体" w:eastAsia="宋体" w:hAnsi="宋体" w:cs="宋体"/>
                <w:b/>
                <w:sz w:val="20"/>
              </w:rPr>
              <w:t>1.</w:t>
            </w:r>
            <w:r>
              <w:rPr>
                <w:rFonts w:ascii="宋体" w:eastAsia="宋体" w:hAnsi="宋体" w:cs="宋体"/>
                <w:b/>
                <w:sz w:val="20"/>
              </w:rPr>
              <w:t>第三季度营业收入同期增长</w:t>
            </w:r>
            <w:r>
              <w:rPr>
                <w:rFonts w:ascii="宋体" w:eastAsia="宋体" w:hAnsi="宋体" w:cs="宋体"/>
                <w:b/>
                <w:sz w:val="20"/>
              </w:rPr>
              <w:t xml:space="preserve"> 8.61%</w:t>
            </w:r>
            <w:r>
              <w:rPr>
                <w:rFonts w:ascii="宋体" w:eastAsia="宋体" w:hAnsi="宋体" w:cs="宋体"/>
                <w:b/>
                <w:sz w:val="20"/>
              </w:rPr>
              <w:t>，主要是哪些业务板块的增长带动的？各业务板块的增长幅度分别是多少？</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w:t>
            </w:r>
            <w:r>
              <w:rPr>
                <w:rFonts w:ascii="宋体" w:eastAsia="宋体" w:hAnsi="宋体" w:cs="宋体"/>
                <w:sz w:val="20"/>
              </w:rPr>
              <w:t>2024</w:t>
            </w:r>
            <w:r>
              <w:rPr>
                <w:rFonts w:ascii="宋体" w:eastAsia="宋体" w:hAnsi="宋体" w:cs="宋体"/>
                <w:sz w:val="20"/>
              </w:rPr>
              <w:t>年第三季度的营业收入为</w:t>
            </w:r>
            <w:r>
              <w:rPr>
                <w:rFonts w:ascii="宋体" w:eastAsia="宋体" w:hAnsi="宋体" w:cs="宋体"/>
                <w:sz w:val="20"/>
              </w:rPr>
              <w:t>21,361.77</w:t>
            </w:r>
            <w:r>
              <w:rPr>
                <w:rFonts w:ascii="宋体" w:eastAsia="宋体" w:hAnsi="宋体" w:cs="宋体"/>
                <w:sz w:val="20"/>
              </w:rPr>
              <w:t>万元，较去年同期增加了</w:t>
            </w:r>
            <w:r>
              <w:rPr>
                <w:rFonts w:ascii="宋体" w:eastAsia="宋体" w:hAnsi="宋体" w:cs="宋体"/>
                <w:sz w:val="20"/>
              </w:rPr>
              <w:t>8.61%</w:t>
            </w:r>
            <w:r>
              <w:rPr>
                <w:rFonts w:ascii="宋体" w:eastAsia="宋体" w:hAnsi="宋体" w:cs="宋体"/>
                <w:sz w:val="20"/>
              </w:rPr>
              <w:t>，主要系新能源汽车、半导体行业的景气度高，客户需求与去年同期相比增加较大所致。</w:t>
            </w:r>
            <w:r>
              <w:rPr>
                <w:rFonts w:ascii="宋体" w:eastAsia="宋体" w:hAnsi="宋体" w:cs="宋体"/>
                <w:sz w:val="20"/>
              </w:rPr>
              <w:t>2024</w:t>
            </w:r>
            <w:r>
              <w:rPr>
                <w:rFonts w:ascii="宋体" w:eastAsia="宋体" w:hAnsi="宋体" w:cs="宋体"/>
                <w:sz w:val="20"/>
              </w:rPr>
              <w:t>年前三季度，公司直流接触器产品的营业收入为</w:t>
            </w:r>
            <w:r>
              <w:rPr>
                <w:rFonts w:ascii="宋体" w:eastAsia="宋体" w:hAnsi="宋体" w:cs="宋体"/>
                <w:sz w:val="20"/>
              </w:rPr>
              <w:t>2.87</w:t>
            </w:r>
            <w:r>
              <w:rPr>
                <w:rFonts w:ascii="宋体" w:eastAsia="宋体" w:hAnsi="宋体" w:cs="宋体"/>
                <w:sz w:val="20"/>
              </w:rPr>
              <w:t>亿元，较去年同期增加</w:t>
            </w:r>
            <w:r>
              <w:rPr>
                <w:rFonts w:ascii="宋体" w:eastAsia="宋体" w:hAnsi="宋体" w:cs="宋体"/>
                <w:sz w:val="20"/>
              </w:rPr>
              <w:t>62.6%</w:t>
            </w:r>
            <w:r>
              <w:rPr>
                <w:rFonts w:ascii="宋体" w:eastAsia="宋体" w:hAnsi="宋体" w:cs="宋体"/>
                <w:sz w:val="20"/>
              </w:rPr>
              <w:t>，公司直流接触器的主要应用领域为新能源汽车及充电设施；</w:t>
            </w:r>
            <w:r>
              <w:rPr>
                <w:rFonts w:ascii="宋体" w:eastAsia="宋体" w:hAnsi="宋体" w:cs="宋体"/>
                <w:sz w:val="20"/>
              </w:rPr>
              <w:t>2024</w:t>
            </w:r>
            <w:r>
              <w:rPr>
                <w:rFonts w:ascii="宋体" w:eastAsia="宋体" w:hAnsi="宋体" w:cs="宋体"/>
                <w:sz w:val="20"/>
              </w:rPr>
              <w:t>年前三季度，公司真空电容器产品的营业收入</w:t>
            </w:r>
            <w:r>
              <w:rPr>
                <w:rFonts w:ascii="宋体" w:eastAsia="宋体" w:hAnsi="宋体" w:cs="宋体"/>
                <w:sz w:val="20"/>
              </w:rPr>
              <w:lastRenderedPageBreak/>
              <w:t>为</w:t>
            </w:r>
            <w:r>
              <w:rPr>
                <w:rFonts w:ascii="宋体" w:eastAsia="宋体" w:hAnsi="宋体" w:cs="宋体"/>
                <w:sz w:val="20"/>
              </w:rPr>
              <w:t>0.57</w:t>
            </w:r>
            <w:r>
              <w:rPr>
                <w:rFonts w:ascii="宋体" w:eastAsia="宋体" w:hAnsi="宋体" w:cs="宋体"/>
                <w:sz w:val="20"/>
              </w:rPr>
              <w:t>亿元，较去年同期增加</w:t>
            </w:r>
            <w:r>
              <w:rPr>
                <w:rFonts w:ascii="宋体" w:eastAsia="宋体" w:hAnsi="宋体" w:cs="宋体"/>
                <w:sz w:val="20"/>
              </w:rPr>
              <w:t>112.5%</w:t>
            </w:r>
            <w:r>
              <w:rPr>
                <w:rFonts w:ascii="宋体" w:eastAsia="宋体" w:hAnsi="宋体" w:cs="宋体"/>
                <w:sz w:val="20"/>
              </w:rPr>
              <w:t>，公司真空电容器的主要应用领域为半导体设备制造。感谢您的关注。</w:t>
            </w:r>
            <w:r>
              <w:rPr>
                <w:rFonts w:ascii="宋体" w:eastAsia="宋体" w:hAnsi="宋体" w:cs="宋体"/>
                <w:sz w:val="20"/>
              </w:rPr>
              <w:br/>
            </w:r>
            <w:r>
              <w:rPr>
                <w:rFonts w:ascii="宋体" w:eastAsia="宋体" w:hAnsi="宋体" w:cs="宋体"/>
                <w:b/>
                <w:sz w:val="20"/>
              </w:rPr>
              <w:t>2.</w:t>
            </w:r>
            <w:r>
              <w:rPr>
                <w:rFonts w:ascii="宋体" w:eastAsia="宋体" w:hAnsi="宋体" w:cs="宋体"/>
                <w:b/>
                <w:sz w:val="20"/>
              </w:rPr>
              <w:t>新能源汽车</w:t>
            </w:r>
            <w:r>
              <w:rPr>
                <w:rFonts w:ascii="宋体" w:eastAsia="宋体" w:hAnsi="宋体" w:cs="宋体"/>
                <w:b/>
                <w:sz w:val="20"/>
              </w:rPr>
              <w:t>业务量大幅增长，但整体产品毛利率有所下降，公司将采取哪些措施来改善这一情况？</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精益规划部将继续通过精益管理等先进的管理理念和工具，对公司内部运营流程进行全面梳理和优化，剔除冗余环节，提升业务流程效率；战略采购部将继续以客户需求为导向，定期召开产销</w:t>
            </w:r>
            <w:proofErr w:type="gramStart"/>
            <w:r>
              <w:rPr>
                <w:rFonts w:ascii="宋体" w:eastAsia="宋体" w:hAnsi="宋体" w:cs="宋体"/>
                <w:sz w:val="20"/>
              </w:rPr>
              <w:t>存协调</w:t>
            </w:r>
            <w:proofErr w:type="gramEnd"/>
            <w:r>
              <w:rPr>
                <w:rFonts w:ascii="宋体" w:eastAsia="宋体" w:hAnsi="宋体" w:cs="宋体"/>
                <w:sz w:val="20"/>
              </w:rPr>
              <w:t>会，</w:t>
            </w:r>
            <w:proofErr w:type="gramStart"/>
            <w:r>
              <w:rPr>
                <w:rFonts w:ascii="宋体" w:eastAsia="宋体" w:hAnsi="宋体" w:cs="宋体"/>
                <w:sz w:val="20"/>
              </w:rPr>
              <w:t>明确短</w:t>
            </w:r>
            <w:proofErr w:type="gramEnd"/>
            <w:r>
              <w:rPr>
                <w:rFonts w:ascii="宋体" w:eastAsia="宋体" w:hAnsi="宋体" w:cs="宋体"/>
                <w:sz w:val="20"/>
              </w:rPr>
              <w:t>中长期的客户需求、生产计划和采购任务，采用</w:t>
            </w:r>
            <w:r>
              <w:rPr>
                <w:rFonts w:ascii="宋体" w:eastAsia="宋体" w:hAnsi="宋体" w:cs="宋体"/>
                <w:sz w:val="20"/>
              </w:rPr>
              <w:t>JIT</w:t>
            </w:r>
            <w:r>
              <w:rPr>
                <w:rFonts w:ascii="宋体" w:eastAsia="宋体" w:hAnsi="宋体" w:cs="宋体"/>
                <w:sz w:val="20"/>
              </w:rPr>
              <w:t>或</w:t>
            </w:r>
            <w:r>
              <w:rPr>
                <w:rFonts w:ascii="宋体" w:eastAsia="宋体" w:hAnsi="宋体" w:cs="宋体"/>
                <w:sz w:val="20"/>
              </w:rPr>
              <w:t>VMI</w:t>
            </w:r>
            <w:r>
              <w:rPr>
                <w:rFonts w:ascii="宋体" w:eastAsia="宋体" w:hAnsi="宋体" w:cs="宋体"/>
                <w:sz w:val="20"/>
              </w:rPr>
              <w:t>或连续分批交付的方式进行，做好原材料库存水平和原材料准时交付的平衡，最大效率的合理利用公司的资金资源。同时，公司也会逐步加大控制盒产品的销售。在上述多重积极因</w:t>
            </w:r>
            <w:r>
              <w:rPr>
                <w:rFonts w:ascii="宋体" w:eastAsia="宋体" w:hAnsi="宋体" w:cs="宋体"/>
                <w:sz w:val="20"/>
              </w:rPr>
              <w:t>素的影响下，公司毛利率水平会得到较好的恢复。感谢您的关注。</w:t>
            </w:r>
            <w:r>
              <w:rPr>
                <w:rFonts w:ascii="宋体" w:eastAsia="宋体" w:hAnsi="宋体" w:cs="宋体"/>
                <w:sz w:val="20"/>
              </w:rPr>
              <w:br/>
            </w:r>
            <w:r>
              <w:rPr>
                <w:rFonts w:ascii="宋体" w:eastAsia="宋体" w:hAnsi="宋体" w:cs="宋体"/>
                <w:b/>
                <w:sz w:val="20"/>
              </w:rPr>
              <w:t>3.</w:t>
            </w:r>
            <w:r>
              <w:rPr>
                <w:rFonts w:ascii="宋体" w:eastAsia="宋体" w:hAnsi="宋体" w:cs="宋体"/>
                <w:b/>
                <w:sz w:val="20"/>
              </w:rPr>
              <w:t>研发投入在本报告期增长</w:t>
            </w:r>
            <w:r>
              <w:rPr>
                <w:rFonts w:ascii="宋体" w:eastAsia="宋体" w:hAnsi="宋体" w:cs="宋体"/>
                <w:b/>
                <w:sz w:val="20"/>
              </w:rPr>
              <w:t xml:space="preserve"> 62.57%</w:t>
            </w:r>
            <w:r>
              <w:rPr>
                <w:rFonts w:ascii="宋体" w:eastAsia="宋体" w:hAnsi="宋体" w:cs="宋体"/>
                <w:b/>
                <w:sz w:val="20"/>
              </w:rPr>
              <w:t>，主要投入在哪些研发项目上？这些项目的预期成果和对公司未来发展的影响如何？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2024</w:t>
            </w:r>
            <w:r>
              <w:rPr>
                <w:rFonts w:ascii="宋体" w:eastAsia="宋体" w:hAnsi="宋体" w:cs="宋体"/>
                <w:sz w:val="20"/>
              </w:rPr>
              <w:t>年第三季度公司持续进行技术和产品创新，加大对研发项目的直接投入和引入优秀的研发技术人才，对应的研发投入较去年同期增加</w:t>
            </w:r>
            <w:r>
              <w:rPr>
                <w:rFonts w:ascii="宋体" w:eastAsia="宋体" w:hAnsi="宋体" w:cs="宋体"/>
                <w:sz w:val="20"/>
              </w:rPr>
              <w:t>62.57%</w:t>
            </w:r>
            <w:r>
              <w:rPr>
                <w:rFonts w:ascii="宋体" w:eastAsia="宋体" w:hAnsi="宋体" w:cs="宋体"/>
                <w:sz w:val="20"/>
              </w:rPr>
              <w:t>，主要投向新能源汽车、航天航空及军工及半导体领域的研发项目。公司研发是发展的基石，通过增强研发强度，持续探寻新技术、新产品与新服务模式，从而在市场竞争中获得优势</w:t>
            </w:r>
            <w:r>
              <w:rPr>
                <w:rFonts w:ascii="宋体" w:eastAsia="宋体" w:hAnsi="宋体" w:cs="宋体"/>
                <w:sz w:val="20"/>
              </w:rPr>
              <w:t>，强化企业的核心竞争优势。感谢您的关注。</w:t>
            </w:r>
            <w:r>
              <w:rPr>
                <w:rFonts w:ascii="宋体" w:eastAsia="宋体" w:hAnsi="宋体" w:cs="宋体"/>
                <w:sz w:val="20"/>
              </w:rPr>
              <w:br/>
            </w:r>
            <w:r>
              <w:rPr>
                <w:rFonts w:ascii="宋体" w:eastAsia="宋体" w:hAnsi="宋体" w:cs="宋体"/>
                <w:b/>
                <w:sz w:val="20"/>
              </w:rPr>
              <w:t>4.</w:t>
            </w:r>
            <w:proofErr w:type="gramStart"/>
            <w:r>
              <w:rPr>
                <w:rFonts w:ascii="宋体" w:eastAsia="宋体" w:hAnsi="宋体" w:cs="宋体"/>
                <w:b/>
                <w:sz w:val="20"/>
              </w:rPr>
              <w:t>请问回</w:t>
            </w:r>
            <w:proofErr w:type="gramEnd"/>
            <w:r>
              <w:rPr>
                <w:rFonts w:ascii="宋体" w:eastAsia="宋体" w:hAnsi="宋体" w:cs="宋体"/>
                <w:b/>
                <w:sz w:val="20"/>
              </w:rPr>
              <w:t>购股份的进展如何？回购股份的用途是否有明确规划？</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11</w:t>
            </w:r>
            <w:r>
              <w:rPr>
                <w:rFonts w:ascii="宋体" w:eastAsia="宋体" w:hAnsi="宋体" w:cs="宋体"/>
                <w:sz w:val="20"/>
              </w:rPr>
              <w:t>月</w:t>
            </w:r>
            <w:r>
              <w:rPr>
                <w:rFonts w:ascii="宋体" w:eastAsia="宋体" w:hAnsi="宋体" w:cs="宋体"/>
                <w:sz w:val="20"/>
              </w:rPr>
              <w:t>6</w:t>
            </w:r>
            <w:r>
              <w:rPr>
                <w:rFonts w:ascii="宋体" w:eastAsia="宋体" w:hAnsi="宋体" w:cs="宋体"/>
                <w:sz w:val="20"/>
              </w:rPr>
              <w:t>日，公司通过上海证券交易所系统以集中竞价交易方式累计回购公司股份</w:t>
            </w:r>
            <w:r>
              <w:rPr>
                <w:rFonts w:ascii="宋体" w:eastAsia="宋体" w:hAnsi="宋体" w:cs="宋体"/>
                <w:sz w:val="20"/>
              </w:rPr>
              <w:t>619,468</w:t>
            </w:r>
            <w:r>
              <w:rPr>
                <w:rFonts w:ascii="宋体" w:eastAsia="宋体" w:hAnsi="宋体" w:cs="宋体"/>
                <w:sz w:val="20"/>
              </w:rPr>
              <w:t>股，占公司目前总股本的</w:t>
            </w:r>
            <w:r>
              <w:rPr>
                <w:rFonts w:ascii="宋体" w:eastAsia="宋体" w:hAnsi="宋体" w:cs="宋体"/>
                <w:sz w:val="20"/>
              </w:rPr>
              <w:t>0.6457%</w:t>
            </w:r>
            <w:r>
              <w:rPr>
                <w:rFonts w:ascii="宋体" w:eastAsia="宋体" w:hAnsi="宋体" w:cs="宋体"/>
                <w:sz w:val="20"/>
              </w:rPr>
              <w:t>，最高成交价为</w:t>
            </w:r>
            <w:r>
              <w:rPr>
                <w:rFonts w:ascii="宋体" w:eastAsia="宋体" w:hAnsi="宋体" w:cs="宋体"/>
                <w:sz w:val="20"/>
              </w:rPr>
              <w:t>43.70</w:t>
            </w:r>
            <w:r>
              <w:rPr>
                <w:rFonts w:ascii="宋体" w:eastAsia="宋体" w:hAnsi="宋体" w:cs="宋体"/>
                <w:sz w:val="20"/>
              </w:rPr>
              <w:t>元</w:t>
            </w:r>
            <w:r>
              <w:rPr>
                <w:rFonts w:ascii="宋体" w:eastAsia="宋体" w:hAnsi="宋体" w:cs="宋体"/>
                <w:sz w:val="20"/>
              </w:rPr>
              <w:t>/</w:t>
            </w:r>
            <w:r>
              <w:rPr>
                <w:rFonts w:ascii="宋体" w:eastAsia="宋体" w:hAnsi="宋体" w:cs="宋体"/>
                <w:sz w:val="20"/>
              </w:rPr>
              <w:t>股，最低成交价为</w:t>
            </w:r>
            <w:r>
              <w:rPr>
                <w:rFonts w:ascii="宋体" w:eastAsia="宋体" w:hAnsi="宋体" w:cs="宋体"/>
                <w:sz w:val="20"/>
              </w:rPr>
              <w:t>28.76</w:t>
            </w:r>
            <w:r>
              <w:rPr>
                <w:rFonts w:ascii="宋体" w:eastAsia="宋体" w:hAnsi="宋体" w:cs="宋体"/>
                <w:sz w:val="20"/>
              </w:rPr>
              <w:t>元</w:t>
            </w:r>
            <w:r>
              <w:rPr>
                <w:rFonts w:ascii="宋体" w:eastAsia="宋体" w:hAnsi="宋体" w:cs="宋体"/>
                <w:sz w:val="20"/>
              </w:rPr>
              <w:t>/</w:t>
            </w:r>
            <w:r>
              <w:rPr>
                <w:rFonts w:ascii="宋体" w:eastAsia="宋体" w:hAnsi="宋体" w:cs="宋体"/>
                <w:sz w:val="20"/>
              </w:rPr>
              <w:t>股，回购均价</w:t>
            </w:r>
            <w:r>
              <w:rPr>
                <w:rFonts w:ascii="宋体" w:eastAsia="宋体" w:hAnsi="宋体" w:cs="宋体"/>
                <w:sz w:val="20"/>
              </w:rPr>
              <w:t>33.89</w:t>
            </w:r>
            <w:r>
              <w:rPr>
                <w:rFonts w:ascii="宋体" w:eastAsia="宋体" w:hAnsi="宋体" w:cs="宋体"/>
                <w:sz w:val="20"/>
              </w:rPr>
              <w:t>元</w:t>
            </w:r>
            <w:r>
              <w:rPr>
                <w:rFonts w:ascii="宋体" w:eastAsia="宋体" w:hAnsi="宋体" w:cs="宋体"/>
                <w:sz w:val="20"/>
              </w:rPr>
              <w:t>/</w:t>
            </w:r>
            <w:r>
              <w:rPr>
                <w:rFonts w:ascii="宋体" w:eastAsia="宋体" w:hAnsi="宋体" w:cs="宋体"/>
                <w:sz w:val="20"/>
              </w:rPr>
              <w:t>股，支付的资金总额为人民币</w:t>
            </w:r>
            <w:r>
              <w:rPr>
                <w:rFonts w:ascii="宋体" w:eastAsia="宋体" w:hAnsi="宋体" w:cs="宋体"/>
                <w:sz w:val="20"/>
              </w:rPr>
              <w:t>20,992,808.84</w:t>
            </w:r>
            <w:r>
              <w:rPr>
                <w:rFonts w:ascii="宋体" w:eastAsia="宋体" w:hAnsi="宋体" w:cs="宋体"/>
                <w:sz w:val="20"/>
              </w:rPr>
              <w:t>元（不含印花税、交易佣金等交易费用）。具体内容详见公司于</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11</w:t>
            </w:r>
            <w:r>
              <w:rPr>
                <w:rFonts w:ascii="宋体" w:eastAsia="宋体" w:hAnsi="宋体" w:cs="宋体"/>
                <w:sz w:val="20"/>
              </w:rPr>
              <w:t>月</w:t>
            </w:r>
            <w:r>
              <w:rPr>
                <w:rFonts w:ascii="宋体" w:eastAsia="宋体" w:hAnsi="宋体" w:cs="宋体"/>
                <w:sz w:val="20"/>
              </w:rPr>
              <w:t>5</w:t>
            </w:r>
            <w:r>
              <w:rPr>
                <w:rFonts w:ascii="宋体" w:eastAsia="宋体" w:hAnsi="宋体" w:cs="宋体"/>
                <w:sz w:val="20"/>
              </w:rPr>
              <w:t>日披露的《昆山国力电子科</w:t>
            </w:r>
            <w:r>
              <w:rPr>
                <w:rFonts w:ascii="宋体" w:eastAsia="宋体" w:hAnsi="宋体" w:cs="宋体"/>
                <w:sz w:val="20"/>
              </w:rPr>
              <w:t>技股份有限公司关于股份回购实施结果暨股份变动的公告》。</w:t>
            </w:r>
            <w:r>
              <w:rPr>
                <w:rFonts w:ascii="宋体" w:eastAsia="宋体" w:hAnsi="宋体" w:cs="宋体"/>
                <w:sz w:val="20"/>
              </w:rPr>
              <w:t xml:space="preserve"> </w:t>
            </w:r>
            <w:r>
              <w:rPr>
                <w:rFonts w:ascii="宋体" w:eastAsia="宋体" w:hAnsi="宋体" w:cs="宋体"/>
                <w:sz w:val="20"/>
              </w:rPr>
              <w:t>本次的股份回购工作已经全部结束，公司本次回购股份总数为</w:t>
            </w:r>
            <w:r>
              <w:rPr>
                <w:rFonts w:ascii="宋体" w:eastAsia="宋体" w:hAnsi="宋体" w:cs="宋体"/>
                <w:sz w:val="20"/>
              </w:rPr>
              <w:t>619,468</w:t>
            </w:r>
            <w:r>
              <w:rPr>
                <w:rFonts w:ascii="宋体" w:eastAsia="宋体" w:hAnsi="宋体" w:cs="宋体"/>
                <w:sz w:val="20"/>
              </w:rPr>
              <w:t>股，已全部依法予以注销。感谢您的关注。</w:t>
            </w:r>
            <w:r>
              <w:rPr>
                <w:rFonts w:ascii="宋体" w:eastAsia="宋体" w:hAnsi="宋体" w:cs="宋体"/>
                <w:sz w:val="20"/>
              </w:rPr>
              <w:br/>
            </w:r>
            <w:r>
              <w:rPr>
                <w:rFonts w:ascii="宋体" w:eastAsia="宋体" w:hAnsi="宋体" w:cs="宋体"/>
                <w:b/>
                <w:sz w:val="20"/>
              </w:rPr>
              <w:t>5.</w:t>
            </w:r>
            <w:r>
              <w:rPr>
                <w:rFonts w:ascii="宋体" w:eastAsia="宋体" w:hAnsi="宋体" w:cs="宋体"/>
                <w:b/>
                <w:sz w:val="20"/>
              </w:rPr>
              <w:t>公司产品三季度在半导体领域营收及</w:t>
            </w:r>
            <w:proofErr w:type="gramStart"/>
            <w:r>
              <w:rPr>
                <w:rFonts w:ascii="宋体" w:eastAsia="宋体" w:hAnsi="宋体" w:cs="宋体"/>
                <w:b/>
                <w:sz w:val="20"/>
              </w:rPr>
              <w:t>市占率情况</w:t>
            </w:r>
            <w:proofErr w:type="gramEnd"/>
            <w:r>
              <w:rPr>
                <w:rFonts w:ascii="宋体" w:eastAsia="宋体" w:hAnsi="宋体" w:cs="宋体"/>
                <w:b/>
                <w:sz w:val="20"/>
              </w:rPr>
              <w:t>如何</w:t>
            </w:r>
            <w:r>
              <w:rPr>
                <w:rFonts w:ascii="宋体" w:eastAsia="宋体" w:hAnsi="宋体" w:cs="宋体"/>
                <w:b/>
                <w:sz w:val="20"/>
              </w:rPr>
              <w:t>?</w:t>
            </w:r>
            <w:r>
              <w:rPr>
                <w:rFonts w:ascii="宋体" w:eastAsia="宋体" w:hAnsi="宋体" w:cs="宋体"/>
                <w:b/>
                <w:sz w:val="20"/>
              </w:rPr>
              <w:t>对该领域未来的规划是怎样的？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2024</w:t>
            </w:r>
            <w:r>
              <w:rPr>
                <w:rFonts w:ascii="宋体" w:eastAsia="宋体" w:hAnsi="宋体" w:cs="宋体"/>
                <w:sz w:val="20"/>
              </w:rPr>
              <w:t>年前三季度，公司真空电容器</w:t>
            </w:r>
            <w:r>
              <w:rPr>
                <w:rFonts w:ascii="宋体" w:eastAsia="宋体" w:hAnsi="宋体" w:cs="宋体"/>
                <w:sz w:val="20"/>
              </w:rPr>
              <w:lastRenderedPageBreak/>
              <w:t>产品的营业收入为</w:t>
            </w:r>
            <w:r>
              <w:rPr>
                <w:rFonts w:ascii="宋体" w:eastAsia="宋体" w:hAnsi="宋体" w:cs="宋体"/>
                <w:sz w:val="20"/>
              </w:rPr>
              <w:t>0.57</w:t>
            </w:r>
            <w:r>
              <w:rPr>
                <w:rFonts w:ascii="宋体" w:eastAsia="宋体" w:hAnsi="宋体" w:cs="宋体"/>
                <w:sz w:val="20"/>
              </w:rPr>
              <w:t>亿元，较去年同期增加</w:t>
            </w:r>
            <w:r>
              <w:rPr>
                <w:rFonts w:ascii="宋体" w:eastAsia="宋体" w:hAnsi="宋体" w:cs="宋体"/>
                <w:sz w:val="20"/>
              </w:rPr>
              <w:t>112.5%</w:t>
            </w:r>
            <w:r>
              <w:rPr>
                <w:rFonts w:ascii="宋体" w:eastAsia="宋体" w:hAnsi="宋体" w:cs="宋体"/>
                <w:sz w:val="20"/>
              </w:rPr>
              <w:t>，公司真空电容器的主要应用领域为半导体设备制造。真空电容器是公司重点开发的产品项目，经过公司前期多年持续研发投入，积极与大客户应用项目推</w:t>
            </w:r>
            <w:r>
              <w:rPr>
                <w:rFonts w:ascii="宋体" w:eastAsia="宋体" w:hAnsi="宋体" w:cs="宋体"/>
                <w:sz w:val="20"/>
              </w:rPr>
              <w:t>动，市场空间持续打开，增长快速，应用市场覆盖面广，市场空间广阔，未来前景可期。公司将持续丰富真空电容器产品型号，积极抢抓国产替代和发展新质生产力的发展机遇，持续进行客户导入和良率提升，实现降本增效及国内外市场的进一步拓展。感谢您的关注。</w:t>
            </w:r>
            <w:r>
              <w:rPr>
                <w:rFonts w:ascii="宋体" w:eastAsia="宋体" w:hAnsi="宋体" w:cs="宋体"/>
                <w:sz w:val="20"/>
              </w:rPr>
              <w:br/>
            </w:r>
            <w:r>
              <w:rPr>
                <w:rFonts w:ascii="宋体" w:eastAsia="宋体" w:hAnsi="宋体" w:cs="宋体"/>
                <w:b/>
                <w:sz w:val="20"/>
              </w:rPr>
              <w:t>6.</w:t>
            </w:r>
            <w:r>
              <w:rPr>
                <w:rFonts w:ascii="宋体" w:eastAsia="宋体" w:hAnsi="宋体" w:cs="宋体"/>
                <w:b/>
                <w:sz w:val="20"/>
              </w:rPr>
              <w:t>新能源汽车业务具体涉及哪些产品或零部件？在该业务领域，目前与哪些主要客户建立了合作关系？</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尊敬的投资者，您好！公司新能源汽车业务领域的主要产品为直流接触器和接触点组，近年来，公司研制并推广了控制盒产品的应用。在新能源汽车领域，公司已与多家知名新能源电</w:t>
            </w:r>
            <w:r>
              <w:rPr>
                <w:rFonts w:ascii="宋体" w:eastAsia="宋体" w:hAnsi="宋体" w:cs="宋体"/>
                <w:sz w:val="20"/>
              </w:rPr>
              <w:t>池、电控行业龙头及整车厂商建立合作，产品技术水平及生产规模得到下游客户广泛认可，是市场主要参与者之一。同时，公司也正在进军海外市场，包括以技术授权与核心器件出口的方式与多家海外知名企业展开合作。感谢您的关注。</w:t>
            </w:r>
            <w:r>
              <w:rPr>
                <w:rFonts w:ascii="宋体" w:eastAsia="宋体" w:hAnsi="宋体" w:cs="宋体"/>
                <w:sz w:val="20"/>
              </w:rPr>
              <w:br/>
            </w:r>
            <w:r>
              <w:rPr>
                <w:rFonts w:ascii="宋体" w:eastAsia="宋体" w:hAnsi="宋体" w:cs="宋体"/>
                <w:b/>
                <w:sz w:val="20"/>
              </w:rPr>
              <w:t>7.</w:t>
            </w:r>
            <w:r>
              <w:rPr>
                <w:rFonts w:ascii="宋体" w:eastAsia="宋体" w:hAnsi="宋体" w:cs="宋体"/>
                <w:b/>
                <w:sz w:val="20"/>
              </w:rPr>
              <w:t>报告期内是否有新进入的市场领域或客户群体？如果有，新业务的发展前景和预期收益如何？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研发生产的电子真空器件产品下游应用领域主要为新能源汽车及充电设施、航天航空及军工、半导体设备制造、光伏风能及储能、传统能源、安检、辐照等领域。公司以电子真空制造平台为基础</w:t>
            </w:r>
            <w:r>
              <w:rPr>
                <w:rFonts w:ascii="宋体" w:eastAsia="宋体" w:hAnsi="宋体" w:cs="宋体"/>
                <w:sz w:val="20"/>
              </w:rPr>
              <w:t>，围绕客户在金属冶炼、金刚石、医疗、低空飞行、无人机等新型领域的需求开展研究，布局未来公司新的业务增长点。在某些特定领域，公司的产品具有唯一性，很多客户的创新性项目是找公司合作，因此，公司未来业务发展前景广阔。新业务要去研发开拓，但也要衡量项目开发的风险。公司会充分分析行业和市场的前景去开展新业务。感谢您的关注。</w:t>
            </w:r>
            <w:r>
              <w:rPr>
                <w:rFonts w:ascii="宋体" w:eastAsia="宋体" w:hAnsi="宋体" w:cs="宋体"/>
                <w:sz w:val="20"/>
              </w:rPr>
              <w:br/>
            </w:r>
            <w:r>
              <w:rPr>
                <w:rFonts w:ascii="宋体" w:eastAsia="宋体" w:hAnsi="宋体" w:cs="宋体"/>
                <w:b/>
                <w:sz w:val="20"/>
              </w:rPr>
              <w:t>8.</w:t>
            </w:r>
            <w:r>
              <w:rPr>
                <w:rFonts w:ascii="宋体" w:eastAsia="宋体" w:hAnsi="宋体" w:cs="宋体"/>
                <w:b/>
                <w:sz w:val="20"/>
              </w:rPr>
              <w:t>对于高端定制化产品的订单获取情况如何？满足客户定制</w:t>
            </w:r>
            <w:proofErr w:type="gramStart"/>
            <w:r>
              <w:rPr>
                <w:rFonts w:ascii="宋体" w:eastAsia="宋体" w:hAnsi="宋体" w:cs="宋体"/>
                <w:b/>
                <w:sz w:val="20"/>
              </w:rPr>
              <w:t>化需求</w:t>
            </w:r>
            <w:proofErr w:type="gramEnd"/>
            <w:r>
              <w:rPr>
                <w:rFonts w:ascii="宋体" w:eastAsia="宋体" w:hAnsi="宋体" w:cs="宋体"/>
                <w:b/>
                <w:sz w:val="20"/>
              </w:rPr>
              <w:t>的生产周期一般是多久？</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尊敬的投资者，您好！公司在半导体、航空航天及军工、大科学工程等领域的高端定制化产品的订单获取</w:t>
            </w:r>
            <w:r>
              <w:rPr>
                <w:rFonts w:ascii="宋体" w:eastAsia="宋体" w:hAnsi="宋体" w:cs="宋体"/>
                <w:sz w:val="20"/>
              </w:rPr>
              <w:t>良好。</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9</w:t>
            </w:r>
            <w:r>
              <w:rPr>
                <w:rFonts w:ascii="宋体" w:eastAsia="宋体" w:hAnsi="宋体" w:cs="宋体"/>
                <w:sz w:val="20"/>
              </w:rPr>
              <w:t>月，公司中标了</w:t>
            </w:r>
            <w:r>
              <w:rPr>
                <w:rFonts w:ascii="宋体" w:eastAsia="宋体" w:hAnsi="宋体" w:cs="宋体"/>
                <w:sz w:val="20"/>
              </w:rPr>
              <w:t>“</w:t>
            </w:r>
            <w:r>
              <w:rPr>
                <w:rFonts w:ascii="宋体" w:eastAsia="宋体" w:hAnsi="宋体" w:cs="宋体"/>
                <w:sz w:val="20"/>
              </w:rPr>
              <w:t>中国科学院高能物理研究所</w:t>
            </w:r>
            <w:r>
              <w:rPr>
                <w:rFonts w:ascii="宋体" w:eastAsia="宋体" w:hAnsi="宋体" w:cs="宋体"/>
                <w:sz w:val="20"/>
              </w:rPr>
              <w:t xml:space="preserve">CSNS-II </w:t>
            </w:r>
            <w:r>
              <w:rPr>
                <w:rFonts w:ascii="宋体" w:eastAsia="宋体" w:hAnsi="宋体" w:cs="宋体"/>
                <w:sz w:val="20"/>
              </w:rPr>
              <w:t>超导椭球腔和散束腔</w:t>
            </w:r>
            <w:r>
              <w:rPr>
                <w:rFonts w:ascii="宋体" w:eastAsia="宋体" w:hAnsi="宋体" w:cs="宋体"/>
                <w:sz w:val="20"/>
              </w:rPr>
              <w:t>648MHz</w:t>
            </w:r>
            <w:r>
              <w:rPr>
                <w:rFonts w:ascii="宋体" w:eastAsia="宋体" w:hAnsi="宋体" w:cs="宋体"/>
                <w:sz w:val="20"/>
              </w:rPr>
              <w:t>速调管采购项目（第二次）</w:t>
            </w:r>
            <w:r>
              <w:rPr>
                <w:rFonts w:ascii="宋体" w:eastAsia="宋体" w:hAnsi="宋体" w:cs="宋体"/>
                <w:sz w:val="20"/>
              </w:rPr>
              <w:t>”</w:t>
            </w:r>
            <w:r>
              <w:rPr>
                <w:rFonts w:ascii="宋体" w:eastAsia="宋体" w:hAnsi="宋体" w:cs="宋体"/>
                <w:sz w:val="20"/>
              </w:rPr>
              <w:t>的中标单位，中标价为</w:t>
            </w:r>
            <w:r>
              <w:rPr>
                <w:rFonts w:ascii="宋体" w:eastAsia="宋体" w:hAnsi="宋体" w:cs="宋体"/>
                <w:sz w:val="20"/>
              </w:rPr>
              <w:t>56,577,100</w:t>
            </w:r>
            <w:r>
              <w:rPr>
                <w:rFonts w:ascii="宋体" w:eastAsia="宋体" w:hAnsi="宋体" w:cs="宋体"/>
                <w:sz w:val="20"/>
              </w:rPr>
              <w:t>元；</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7</w:t>
            </w:r>
            <w:r>
              <w:rPr>
                <w:rFonts w:ascii="宋体" w:eastAsia="宋体" w:hAnsi="宋体" w:cs="宋体"/>
                <w:sz w:val="20"/>
              </w:rPr>
              <w:t>月，公司收到一家国外知名汽车制造企</w:t>
            </w:r>
            <w:r>
              <w:rPr>
                <w:rFonts w:ascii="宋体" w:eastAsia="宋体" w:hAnsi="宋体" w:cs="宋体"/>
                <w:sz w:val="20"/>
              </w:rPr>
              <w:lastRenderedPageBreak/>
              <w:t>业两个项目的定点通知书，</w:t>
            </w:r>
            <w:proofErr w:type="gramStart"/>
            <w:r>
              <w:rPr>
                <w:rFonts w:ascii="宋体" w:eastAsia="宋体" w:hAnsi="宋体" w:cs="宋体"/>
                <w:sz w:val="20"/>
              </w:rPr>
              <w:t>确认国力</w:t>
            </w:r>
            <w:proofErr w:type="gramEnd"/>
            <w:r>
              <w:rPr>
                <w:rFonts w:ascii="宋体" w:eastAsia="宋体" w:hAnsi="宋体" w:cs="宋体"/>
                <w:sz w:val="20"/>
              </w:rPr>
              <w:t>源通为其</w:t>
            </w:r>
            <w:proofErr w:type="gramStart"/>
            <w:r>
              <w:rPr>
                <w:rFonts w:ascii="宋体" w:eastAsia="宋体" w:hAnsi="宋体" w:cs="宋体"/>
                <w:sz w:val="20"/>
              </w:rPr>
              <w:t>纯电项目和插混项目</w:t>
            </w:r>
            <w:proofErr w:type="gramEnd"/>
            <w:r>
              <w:rPr>
                <w:rFonts w:ascii="宋体" w:eastAsia="宋体" w:hAnsi="宋体" w:cs="宋体"/>
                <w:sz w:val="20"/>
              </w:rPr>
              <w:t>供应模块化轻量化配电装置，根据上述客户预测，本次定点的两个项目预计从</w:t>
            </w:r>
            <w:r>
              <w:rPr>
                <w:rFonts w:ascii="宋体" w:eastAsia="宋体" w:hAnsi="宋体" w:cs="宋体"/>
                <w:sz w:val="20"/>
              </w:rPr>
              <w:t>2025</w:t>
            </w:r>
            <w:r>
              <w:rPr>
                <w:rFonts w:ascii="宋体" w:eastAsia="宋体" w:hAnsi="宋体" w:cs="宋体"/>
                <w:sz w:val="20"/>
              </w:rPr>
              <w:t>年开始交付，生命周期均为</w:t>
            </w:r>
            <w:r>
              <w:rPr>
                <w:rFonts w:ascii="宋体" w:eastAsia="宋体" w:hAnsi="宋体" w:cs="宋体"/>
                <w:sz w:val="20"/>
              </w:rPr>
              <w:t>6</w:t>
            </w:r>
            <w:r>
              <w:rPr>
                <w:rFonts w:ascii="宋体" w:eastAsia="宋体" w:hAnsi="宋体" w:cs="宋体"/>
                <w:sz w:val="20"/>
              </w:rPr>
              <w:t>年，总金额约为</w:t>
            </w:r>
            <w:r>
              <w:rPr>
                <w:rFonts w:ascii="宋体" w:eastAsia="宋体" w:hAnsi="宋体" w:cs="宋体"/>
                <w:sz w:val="20"/>
              </w:rPr>
              <w:t>1.60</w:t>
            </w:r>
            <w:r>
              <w:rPr>
                <w:rFonts w:ascii="宋体" w:eastAsia="宋体" w:hAnsi="宋体" w:cs="宋体"/>
                <w:sz w:val="20"/>
              </w:rPr>
              <w:t>亿欧元（含税）。公司产品的生产周期依据产品类型差异较大，但实际交期需根据产能的饱和程度及订单量、快反需求等情况</w:t>
            </w:r>
            <w:r>
              <w:rPr>
                <w:rFonts w:ascii="宋体" w:eastAsia="宋体" w:hAnsi="宋体" w:cs="宋体"/>
                <w:sz w:val="20"/>
              </w:rPr>
              <w:t>具体而论。感谢您的关注。</w:t>
            </w:r>
            <w:r>
              <w:rPr>
                <w:rFonts w:ascii="宋体" w:eastAsia="宋体" w:hAnsi="宋体" w:cs="宋体"/>
                <w:sz w:val="20"/>
              </w:rPr>
              <w:br/>
            </w:r>
            <w:r>
              <w:rPr>
                <w:rFonts w:ascii="宋体" w:eastAsia="宋体" w:hAnsi="宋体" w:cs="宋体"/>
                <w:b/>
                <w:sz w:val="20"/>
              </w:rPr>
              <w:t>9.</w:t>
            </w:r>
            <w:r>
              <w:rPr>
                <w:rFonts w:ascii="宋体" w:eastAsia="宋体" w:hAnsi="宋体" w:cs="宋体"/>
                <w:b/>
                <w:sz w:val="20"/>
              </w:rPr>
              <w:t>目前海外市场的业务拓展情况以及计划是怎样的？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十分重视海外市场，海外市场是公司未来业务发展的重要增长点。目前公司已经打通以技术授权与核心器件出口的方式与海外客户展开合作的新模式。未来，公司也将进一步提供非标定制服务，丰富海外出口的产品种类，拓展多元化出海布局，以满足客户更具体、更个性化的需求。随着公司业务辐射到国际市场，公司将聚焦优势行业，实施关联性业务拓展，并提供全场景方案定制服务，致力于打造一站式系统解决方案，进一步提升海外市场份</w:t>
            </w:r>
            <w:r>
              <w:rPr>
                <w:rFonts w:ascii="宋体" w:eastAsia="宋体" w:hAnsi="宋体" w:cs="宋体"/>
                <w:sz w:val="20"/>
              </w:rPr>
              <w:t>额及品牌影响力。</w:t>
            </w:r>
            <w:r>
              <w:rPr>
                <w:rFonts w:ascii="宋体" w:eastAsia="宋体" w:hAnsi="宋体" w:cs="宋体"/>
                <w:sz w:val="20"/>
              </w:rPr>
              <w:t>未来，公司将继续以技术为驱动，占领更广阔的国际市场，将更多创新成果播撒至全球，实现海外市场的深度拓展与增长。感谢您的关注。</w:t>
            </w:r>
            <w:r>
              <w:rPr>
                <w:rFonts w:ascii="宋体" w:eastAsia="宋体" w:hAnsi="宋体" w:cs="宋体"/>
                <w:sz w:val="20"/>
              </w:rPr>
              <w:br/>
            </w:r>
            <w:r>
              <w:rPr>
                <w:rFonts w:ascii="宋体" w:eastAsia="宋体" w:hAnsi="宋体" w:cs="宋体"/>
                <w:b/>
                <w:sz w:val="20"/>
              </w:rPr>
              <w:t>10.</w:t>
            </w:r>
            <w:r>
              <w:rPr>
                <w:rFonts w:ascii="宋体" w:eastAsia="宋体" w:hAnsi="宋体" w:cs="宋体"/>
                <w:b/>
                <w:sz w:val="20"/>
              </w:rPr>
              <w:t>公司在与供应商合作方面的策略和管理情况如何？如何保证原材料的供应稳定？</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成立了战略采购部门，负责供应商的开发和管理、生产性零部件和大额固定资产的核价、定点定价、价格管理和供应商质量管理等相关工作。各事业部的执行采购部门，负责零件的预测和交付工作。公司采购工作以客户需求为导向，用数据驱动的方式展开，定期召开产销</w:t>
            </w:r>
            <w:proofErr w:type="gramStart"/>
            <w:r>
              <w:rPr>
                <w:rFonts w:ascii="宋体" w:eastAsia="宋体" w:hAnsi="宋体" w:cs="宋体"/>
                <w:sz w:val="20"/>
              </w:rPr>
              <w:t>存协调</w:t>
            </w:r>
            <w:proofErr w:type="gramEnd"/>
            <w:r>
              <w:rPr>
                <w:rFonts w:ascii="宋体" w:eastAsia="宋体" w:hAnsi="宋体" w:cs="宋体"/>
                <w:sz w:val="20"/>
              </w:rPr>
              <w:t>会，</w:t>
            </w:r>
            <w:proofErr w:type="gramStart"/>
            <w:r>
              <w:rPr>
                <w:rFonts w:ascii="宋体" w:eastAsia="宋体" w:hAnsi="宋体" w:cs="宋体"/>
                <w:sz w:val="20"/>
              </w:rPr>
              <w:t>明</w:t>
            </w:r>
            <w:r>
              <w:rPr>
                <w:rFonts w:ascii="宋体" w:eastAsia="宋体" w:hAnsi="宋体" w:cs="宋体"/>
                <w:sz w:val="20"/>
              </w:rPr>
              <w:t>确短</w:t>
            </w:r>
            <w:proofErr w:type="gramEnd"/>
            <w:r>
              <w:rPr>
                <w:rFonts w:ascii="宋体" w:eastAsia="宋体" w:hAnsi="宋体" w:cs="宋体"/>
                <w:sz w:val="20"/>
              </w:rPr>
              <w:t>中长期的客户需求、生产计划和采购任务。采用</w:t>
            </w:r>
            <w:r>
              <w:rPr>
                <w:rFonts w:ascii="宋体" w:eastAsia="宋体" w:hAnsi="宋体" w:cs="宋体"/>
                <w:sz w:val="20"/>
              </w:rPr>
              <w:t>JIT</w:t>
            </w:r>
            <w:r>
              <w:rPr>
                <w:rFonts w:ascii="宋体" w:eastAsia="宋体" w:hAnsi="宋体" w:cs="宋体"/>
                <w:sz w:val="20"/>
              </w:rPr>
              <w:t>（直供上线）、</w:t>
            </w:r>
            <w:r>
              <w:rPr>
                <w:rFonts w:ascii="宋体" w:eastAsia="宋体" w:hAnsi="宋体" w:cs="宋体"/>
                <w:sz w:val="20"/>
              </w:rPr>
              <w:t>VMI</w:t>
            </w:r>
            <w:r>
              <w:rPr>
                <w:rFonts w:ascii="宋体" w:eastAsia="宋体" w:hAnsi="宋体" w:cs="宋体"/>
                <w:sz w:val="20"/>
              </w:rPr>
              <w:t>（供应</w:t>
            </w:r>
            <w:proofErr w:type="gramStart"/>
            <w:r>
              <w:rPr>
                <w:rFonts w:ascii="宋体" w:eastAsia="宋体" w:hAnsi="宋体" w:cs="宋体"/>
                <w:sz w:val="20"/>
              </w:rPr>
              <w:t>商管理</w:t>
            </w:r>
            <w:proofErr w:type="gramEnd"/>
            <w:r>
              <w:rPr>
                <w:rFonts w:ascii="宋体" w:eastAsia="宋体" w:hAnsi="宋体" w:cs="宋体"/>
                <w:sz w:val="20"/>
              </w:rPr>
              <w:t>库存）或连续分批交付的方式进行，做好原材料库存水平和原材料准时交付的平衡，最大效率的合理利用公司的资金资源。公司制定了完备的《国力供应商管理规定》和《国力采购管理程序》等制度，对供应商进行控制管理，确保供应商能够长期、稳定的提供产品和服务。新供应商的选择需要经过公司战略采购、</w:t>
            </w:r>
            <w:r>
              <w:rPr>
                <w:rFonts w:ascii="宋体" w:eastAsia="宋体" w:hAnsi="宋体" w:cs="宋体"/>
                <w:sz w:val="20"/>
              </w:rPr>
              <w:t>SQE</w:t>
            </w:r>
            <w:r>
              <w:rPr>
                <w:rFonts w:ascii="宋体" w:eastAsia="宋体" w:hAnsi="宋体" w:cs="宋体"/>
                <w:sz w:val="20"/>
              </w:rPr>
              <w:t>和研发技术三个部门的联合审核，确保入选《国力合格供应商池》的供应商具备</w:t>
            </w:r>
            <w:proofErr w:type="gramStart"/>
            <w:r>
              <w:rPr>
                <w:rFonts w:ascii="宋体" w:eastAsia="宋体" w:hAnsi="宋体" w:cs="宋体"/>
                <w:sz w:val="20"/>
              </w:rPr>
              <w:t>以下能力</w:t>
            </w:r>
            <w:proofErr w:type="gramEnd"/>
            <w:r>
              <w:rPr>
                <w:rFonts w:ascii="宋体" w:eastAsia="宋体" w:hAnsi="宋体" w:cs="宋体"/>
                <w:sz w:val="20"/>
              </w:rPr>
              <w:t>——</w:t>
            </w:r>
            <w:r>
              <w:rPr>
                <w:rFonts w:ascii="宋体" w:eastAsia="宋体" w:hAnsi="宋体" w:cs="宋体"/>
                <w:sz w:val="20"/>
              </w:rPr>
              <w:t>价格有优势、商务低风险、质量策划管控和技术有创新。感谢您的关注。</w:t>
            </w:r>
            <w:r>
              <w:rPr>
                <w:rFonts w:ascii="宋体" w:eastAsia="宋体" w:hAnsi="宋体" w:cs="宋体"/>
                <w:sz w:val="20"/>
              </w:rPr>
              <w:br/>
            </w:r>
            <w:r>
              <w:rPr>
                <w:rFonts w:ascii="宋体" w:eastAsia="宋体" w:hAnsi="宋体" w:cs="宋体"/>
                <w:b/>
                <w:sz w:val="20"/>
              </w:rPr>
              <w:t>11.</w:t>
            </w:r>
            <w:r>
              <w:rPr>
                <w:rFonts w:ascii="宋体" w:eastAsia="宋体" w:hAnsi="宋体" w:cs="宋体"/>
                <w:b/>
                <w:sz w:val="20"/>
              </w:rPr>
              <w:t>如何应对新能源汽车业务中电池技术变革对产品需求的影响？是否有相关的技术储备或合作计划？</w:t>
            </w:r>
            <w:r>
              <w:rPr>
                <w:rFonts w:ascii="宋体" w:eastAsia="宋体" w:hAnsi="宋体" w:cs="宋体"/>
                <w:b/>
                <w:sz w:val="20"/>
              </w:rPr>
              <w:br/>
            </w:r>
            <w:r>
              <w:rPr>
                <w:rFonts w:ascii="宋体" w:eastAsia="宋体" w:hAnsi="宋体" w:cs="宋体"/>
                <w:sz w:val="20"/>
              </w:rPr>
              <w:lastRenderedPageBreak/>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尊敬的投资者，您好！新型电池技术如固态电池、钠离子电池技术快速发展，使得市场竞争加剧，公司需要不断创新以保持竞争优势。公司已与国内固态电池龙头企业签订战略合作协议，双方建立</w:t>
            </w:r>
            <w:r>
              <w:rPr>
                <w:rFonts w:ascii="宋体" w:eastAsia="宋体" w:hAnsi="宋体" w:cs="宋体"/>
                <w:sz w:val="20"/>
              </w:rPr>
              <w:t>“</w:t>
            </w:r>
            <w:r>
              <w:rPr>
                <w:rFonts w:ascii="宋体" w:eastAsia="宋体" w:hAnsi="宋体" w:cs="宋体"/>
                <w:sz w:val="20"/>
              </w:rPr>
              <w:t>共创、共担、共赢</w:t>
            </w:r>
            <w:r>
              <w:rPr>
                <w:rFonts w:ascii="宋体" w:eastAsia="宋体" w:hAnsi="宋体" w:cs="宋体"/>
                <w:sz w:val="20"/>
              </w:rPr>
              <w:t>”</w:t>
            </w:r>
            <w:r>
              <w:rPr>
                <w:rFonts w:ascii="宋体" w:eastAsia="宋体" w:hAnsi="宋体" w:cs="宋体"/>
                <w:sz w:val="20"/>
              </w:rPr>
              <w:t>战略合作伙伴关系，在技术研发、市场开拓、品牌合作等方面开展深度合作。公司自主研发的高压直流接触器是电源控制的关键安全器件，在电池控制系统和整车高压配电系统起到连接和分断作用，相较于传统空气式接触器载流能力</w:t>
            </w:r>
            <w:r>
              <w:rPr>
                <w:rFonts w:ascii="宋体" w:eastAsia="宋体" w:hAnsi="宋体" w:cs="宋体"/>
                <w:sz w:val="20"/>
              </w:rPr>
              <w:t>更强安全性能更高。感谢您的关注。</w:t>
            </w:r>
            <w:r>
              <w:rPr>
                <w:rFonts w:ascii="宋体" w:eastAsia="宋体" w:hAnsi="宋体" w:cs="宋体"/>
                <w:sz w:val="20"/>
              </w:rPr>
              <w:br/>
            </w:r>
            <w:r>
              <w:rPr>
                <w:rFonts w:ascii="宋体" w:eastAsia="宋体" w:hAnsi="宋体" w:cs="宋体"/>
                <w:b/>
                <w:sz w:val="20"/>
              </w:rPr>
              <w:t>12.</w:t>
            </w:r>
            <w:r>
              <w:rPr>
                <w:rFonts w:ascii="宋体" w:eastAsia="宋体" w:hAnsi="宋体" w:cs="宋体"/>
                <w:b/>
                <w:sz w:val="20"/>
              </w:rPr>
              <w:t>在与航天航空及军工领域客户的合作中，公司面临的主要挑战是什么？以及如何确保产品的高质量和高可靠性，以满足该领域的严格要求？</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航天航空及军工领域对产品的性能、可靠性和安全性要求极高，公司需要不断进行技术创新和研发投入，以满足这些高标准。另外，航天航空及军工项目的周期通常较长，从项目启动到交付可能需要数年时间，公司需要有长期的资金规划和风险控制能力。公司招聘和培养了一批具备高技术水平和丰富经验的专业人才，特别是在关键技术和管理岗位上</w:t>
            </w:r>
            <w:r>
              <w:rPr>
                <w:rFonts w:ascii="宋体" w:eastAsia="宋体" w:hAnsi="宋体" w:cs="宋体"/>
                <w:sz w:val="20"/>
              </w:rPr>
              <w:t>，通过建立高效的团队协作机制，确保各个部门之间的协调和配合。同时，公司也先后设立了成都办事处和苏州办事处，及时响应客户需求，建立和维护良好的客户关系，确保客户的满意度和信任。感谢您的关注。</w:t>
            </w:r>
            <w:r>
              <w:rPr>
                <w:rFonts w:ascii="宋体" w:eastAsia="宋体" w:hAnsi="宋体" w:cs="宋体"/>
                <w:sz w:val="20"/>
              </w:rPr>
              <w:br/>
            </w:r>
            <w:r>
              <w:rPr>
                <w:rFonts w:ascii="宋体" w:eastAsia="宋体" w:hAnsi="宋体" w:cs="宋体"/>
                <w:b/>
                <w:sz w:val="20"/>
              </w:rPr>
              <w:t>13.</w:t>
            </w:r>
            <w:r>
              <w:rPr>
                <w:rFonts w:ascii="宋体" w:eastAsia="宋体" w:hAnsi="宋体" w:cs="宋体"/>
                <w:b/>
                <w:sz w:val="20"/>
              </w:rPr>
              <w:t>公司的售后服务体系在三季度有哪些优化吗？如何提升客户满意度和忠诚度？</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在服务层面，公司重视售后服务体系，拥有一支受到过专业培训的、有经验的技术支持与售后服务队伍，为客户提供更及时的高效优质的售后服务。公司定期对售后服务团队进行培训，提升他们的专业技能和服务态度。同时，公司还定</w:t>
            </w:r>
            <w:r>
              <w:rPr>
                <w:rFonts w:ascii="宋体" w:eastAsia="宋体" w:hAnsi="宋体" w:cs="宋体"/>
                <w:sz w:val="20"/>
              </w:rPr>
              <w:t>期进行客户满意度调查，收集客户的反馈和建议，不断优化服务。后续公司将通过增加售后服务团队的培训频次、完善客户满意度调查问卷、建立</w:t>
            </w:r>
            <w:r>
              <w:rPr>
                <w:rFonts w:ascii="宋体" w:eastAsia="宋体" w:hAnsi="宋体" w:cs="宋体"/>
                <w:sz w:val="20"/>
              </w:rPr>
              <w:t>24</w:t>
            </w:r>
            <w:r>
              <w:rPr>
                <w:rFonts w:ascii="宋体" w:eastAsia="宋体" w:hAnsi="宋体" w:cs="宋体"/>
                <w:sz w:val="20"/>
              </w:rPr>
              <w:t>小时在线客服系统等多种形式，持续提升客户满意度和忠诚度。感谢您的关注。</w:t>
            </w:r>
          </w:p>
        </w:tc>
      </w:tr>
      <w:tr w:rsidR="00321D5A" w14:paraId="10DA00A6" w14:textId="77777777">
        <w:trPr>
          <w:trHeight w:val="999"/>
          <w:jc w:val="center"/>
        </w:trPr>
        <w:tc>
          <w:tcPr>
            <w:tcW w:w="2580" w:type="dxa"/>
            <w:vAlign w:val="center"/>
          </w:tcPr>
          <w:p w14:paraId="36C7496B" w14:textId="77777777" w:rsidR="00321D5A" w:rsidRDefault="00C524E0">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7BA509C" w14:textId="77777777" w:rsidR="00321D5A" w:rsidRDefault="00C524E0">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BC77A94" w14:textId="77777777" w:rsidR="00321D5A" w:rsidRDefault="00C524E0">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321D5A" w14:paraId="5FFC980B" w14:textId="77777777">
        <w:trPr>
          <w:trHeight w:val="558"/>
          <w:jc w:val="center"/>
        </w:trPr>
        <w:tc>
          <w:tcPr>
            <w:tcW w:w="2580" w:type="dxa"/>
            <w:vAlign w:val="center"/>
          </w:tcPr>
          <w:p w14:paraId="5EA52C6B"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168EE3D1" w14:textId="32FB9480" w:rsidR="00321D5A" w:rsidRDefault="00C524E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bookmarkStart w:id="0" w:name="_GoBack"/>
            <w:bookmarkEnd w:id="0"/>
          </w:p>
        </w:tc>
      </w:tr>
      <w:tr w:rsidR="00321D5A" w14:paraId="04AF3A02" w14:textId="77777777">
        <w:trPr>
          <w:trHeight w:val="558"/>
          <w:jc w:val="center"/>
        </w:trPr>
        <w:tc>
          <w:tcPr>
            <w:tcW w:w="2580" w:type="dxa"/>
            <w:vAlign w:val="center"/>
          </w:tcPr>
          <w:p w14:paraId="79E2FC94"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日期</w:t>
            </w:r>
          </w:p>
        </w:tc>
        <w:tc>
          <w:tcPr>
            <w:tcW w:w="5945" w:type="dxa"/>
            <w:vAlign w:val="center"/>
          </w:tcPr>
          <w:p w14:paraId="4020B3D6" w14:textId="77777777" w:rsidR="00321D5A" w:rsidRDefault="00C524E0">
            <w:pPr>
              <w:pStyle w:val="TableParagraph"/>
              <w:spacing w:before="100" w:beforeAutospacing="1"/>
              <w:rPr>
                <w:rFonts w:ascii="宋体" w:eastAsia="宋体" w:hAnsi="宋体" w:cs="宋体"/>
                <w:sz w:val="20"/>
                <w:szCs w:val="20"/>
              </w:rPr>
            </w:pPr>
            <w:r>
              <w:rPr>
                <w:rFonts w:ascii="宋体" w:eastAsia="宋体" w:hAnsi="宋体" w:cs="宋体"/>
                <w:sz w:val="20"/>
                <w:szCs w:val="20"/>
              </w:rPr>
              <w:t>2024</w:t>
            </w:r>
            <w:r>
              <w:rPr>
                <w:rFonts w:ascii="宋体" w:eastAsia="宋体" w:hAnsi="宋体" w:cs="宋体"/>
                <w:sz w:val="20"/>
                <w:szCs w:val="20"/>
              </w:rPr>
              <w:t>年</w:t>
            </w:r>
            <w:r>
              <w:rPr>
                <w:rFonts w:ascii="宋体" w:eastAsia="宋体" w:hAnsi="宋体" w:cs="宋体"/>
                <w:sz w:val="20"/>
                <w:szCs w:val="20"/>
              </w:rPr>
              <w:t>11</w:t>
            </w:r>
            <w:r>
              <w:rPr>
                <w:rFonts w:ascii="宋体" w:eastAsia="宋体" w:hAnsi="宋体" w:cs="宋体"/>
                <w:sz w:val="20"/>
                <w:szCs w:val="20"/>
              </w:rPr>
              <w:t>月</w:t>
            </w:r>
            <w:r>
              <w:rPr>
                <w:rFonts w:ascii="宋体" w:eastAsia="宋体" w:hAnsi="宋体" w:cs="宋体"/>
                <w:sz w:val="20"/>
                <w:szCs w:val="20"/>
              </w:rPr>
              <w:t>18</w:t>
            </w:r>
            <w:r>
              <w:rPr>
                <w:rFonts w:ascii="宋体" w:eastAsia="宋体" w:hAnsi="宋体" w:cs="宋体"/>
                <w:sz w:val="20"/>
                <w:szCs w:val="20"/>
              </w:rPr>
              <w:t>日</w:t>
            </w:r>
          </w:p>
        </w:tc>
      </w:tr>
    </w:tbl>
    <w:p w14:paraId="361A67B8" w14:textId="77777777" w:rsidR="00321D5A" w:rsidRDefault="00321D5A">
      <w:pPr>
        <w:rPr>
          <w:rFonts w:ascii="宋体" w:eastAsia="宋体" w:hAnsi="宋体" w:cs="宋体"/>
          <w:sz w:val="28"/>
          <w:szCs w:val="36"/>
        </w:rPr>
      </w:pPr>
    </w:p>
    <w:sectPr w:rsidR="00321D5A">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YzkwM2RjNTM4MDI1ZWI5Yjk1MTAwMzNkNTk2NmY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21D5A"/>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524E0"/>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C2611C4"/>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76ECD7-F6A1-42F3-B4F0-CC48EF2B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601E-26E5-436F-BA20-D9503C99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667</Words>
  <Characters>3802</Characters>
  <Application>Microsoft Office Word</Application>
  <DocSecurity>0</DocSecurity>
  <Lines>31</Lines>
  <Paragraphs>8</Paragraphs>
  <ScaleCrop>false</ScaleCrop>
  <Company>P R C</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9</cp:revision>
  <dcterms:created xsi:type="dcterms:W3CDTF">2022-04-12T06:10:00Z</dcterms:created>
  <dcterms:modified xsi:type="dcterms:W3CDTF">2024-11-18T08:39:00Z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