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7ADCA" w14:textId="36EFA421" w:rsidR="00747A31" w:rsidRPr="0080505B" w:rsidRDefault="009F72BA">
      <w:pPr>
        <w:spacing w:beforeLines="50" w:before="156" w:afterLines="50" w:after="156" w:line="400" w:lineRule="exact"/>
        <w:rPr>
          <w:rFonts w:ascii="Times New Roman" w:eastAsia="宋体" w:hAnsi="Times New Roman" w:cs="Times New Roman"/>
          <w:bCs/>
          <w:iCs/>
          <w:color w:val="000000"/>
          <w:sz w:val="24"/>
          <w:szCs w:val="24"/>
        </w:rPr>
      </w:pPr>
      <w:r>
        <w:rPr>
          <w:rFonts w:ascii="Times New Roman" w:eastAsia="宋体" w:hAnsi="Times New Roman" w:cs="Times New Roman"/>
          <w:bCs/>
          <w:iCs/>
          <w:color w:val="000000"/>
          <w:sz w:val="24"/>
          <w:szCs w:val="24"/>
        </w:rPr>
        <w:t>证券代码：</w:t>
      </w:r>
      <w:r>
        <w:rPr>
          <w:rFonts w:ascii="Times New Roman" w:eastAsia="宋体" w:hAnsi="Times New Roman" w:cs="Times New Roman"/>
          <w:bCs/>
          <w:iCs/>
          <w:color w:val="000000"/>
          <w:sz w:val="24"/>
          <w:szCs w:val="24"/>
        </w:rPr>
        <w:t>688</w:t>
      </w:r>
      <w:r w:rsidR="0055008F">
        <w:rPr>
          <w:rFonts w:ascii="Times New Roman" w:eastAsia="宋体" w:hAnsi="Times New Roman" w:cs="Times New Roman"/>
          <w:bCs/>
          <w:iCs/>
          <w:color w:val="000000"/>
          <w:sz w:val="24"/>
          <w:szCs w:val="24"/>
        </w:rPr>
        <w:t>267</w:t>
      </w:r>
      <w:r>
        <w:rPr>
          <w:rFonts w:ascii="Times New Roman" w:eastAsia="宋体" w:hAnsi="Times New Roman" w:cs="Times New Roman"/>
          <w:bCs/>
          <w:iCs/>
          <w:color w:val="000000"/>
          <w:sz w:val="24"/>
          <w:szCs w:val="24"/>
        </w:rPr>
        <w:t xml:space="preserve">                                </w:t>
      </w:r>
      <w:r w:rsidR="00AD1E8F">
        <w:rPr>
          <w:rFonts w:ascii="Times New Roman" w:eastAsia="宋体" w:hAnsi="Times New Roman" w:cs="Times New Roman"/>
          <w:bCs/>
          <w:iCs/>
          <w:color w:val="000000"/>
          <w:sz w:val="24"/>
          <w:szCs w:val="24"/>
        </w:rPr>
        <w:t xml:space="preserve">    </w:t>
      </w:r>
      <w:r>
        <w:rPr>
          <w:rFonts w:ascii="Times New Roman" w:eastAsia="宋体" w:hAnsi="Times New Roman" w:cs="Times New Roman"/>
          <w:bCs/>
          <w:iCs/>
          <w:color w:val="000000"/>
          <w:sz w:val="24"/>
          <w:szCs w:val="24"/>
        </w:rPr>
        <w:t xml:space="preserve"> </w:t>
      </w:r>
      <w:r>
        <w:rPr>
          <w:rFonts w:ascii="Times New Roman" w:eastAsia="宋体" w:hAnsi="Times New Roman" w:cs="Times New Roman"/>
          <w:bCs/>
          <w:iCs/>
          <w:color w:val="000000"/>
          <w:sz w:val="24"/>
          <w:szCs w:val="24"/>
        </w:rPr>
        <w:t>证券简称：</w:t>
      </w:r>
      <w:r w:rsidR="0055008F">
        <w:rPr>
          <w:rFonts w:ascii="Times New Roman" w:eastAsia="宋体" w:hAnsi="Times New Roman" w:cs="Times New Roman" w:hint="eastAsia"/>
          <w:bCs/>
          <w:iCs/>
          <w:color w:val="000000"/>
          <w:sz w:val="24"/>
          <w:szCs w:val="24"/>
        </w:rPr>
        <w:t>中触媒</w:t>
      </w:r>
    </w:p>
    <w:p w14:paraId="6D62D800" w14:textId="3374D6E1" w:rsidR="00747A31" w:rsidRDefault="0055008F">
      <w:pPr>
        <w:spacing w:beforeLines="50" w:before="156" w:afterLines="50" w:after="156" w:line="400" w:lineRule="exact"/>
        <w:jc w:val="center"/>
        <w:rPr>
          <w:rFonts w:ascii="黑体" w:eastAsia="黑体" w:hAnsi="黑体" w:cs="Times New Roman"/>
          <w:b/>
          <w:bCs/>
          <w:iCs/>
          <w:color w:val="000000"/>
          <w:sz w:val="32"/>
          <w:szCs w:val="32"/>
        </w:rPr>
      </w:pPr>
      <w:bookmarkStart w:id="0" w:name="_Hlk44675598"/>
      <w:r>
        <w:rPr>
          <w:rFonts w:ascii="黑体" w:eastAsia="黑体" w:hAnsi="黑体" w:cs="Times New Roman" w:hint="eastAsia"/>
          <w:b/>
          <w:bCs/>
          <w:iCs/>
          <w:color w:val="000000"/>
          <w:sz w:val="32"/>
          <w:szCs w:val="32"/>
        </w:rPr>
        <w:t>中触媒新材料股份</w:t>
      </w:r>
      <w:r w:rsidR="009F72BA">
        <w:rPr>
          <w:rFonts w:ascii="黑体" w:eastAsia="黑体" w:hAnsi="黑体" w:cs="Times New Roman" w:hint="eastAsia"/>
          <w:b/>
          <w:bCs/>
          <w:iCs/>
          <w:color w:val="000000"/>
          <w:sz w:val="32"/>
          <w:szCs w:val="32"/>
        </w:rPr>
        <w:t>有限公司</w:t>
      </w:r>
    </w:p>
    <w:p w14:paraId="04056BFE" w14:textId="77777777" w:rsidR="00747A31" w:rsidRDefault="009F72BA">
      <w:pPr>
        <w:spacing w:beforeLines="50" w:before="156" w:afterLines="50" w:after="156" w:line="400" w:lineRule="exact"/>
        <w:jc w:val="center"/>
        <w:rPr>
          <w:rFonts w:ascii="黑体" w:eastAsia="黑体" w:hAnsi="黑体" w:cs="Times New Roman"/>
          <w:b/>
          <w:bCs/>
          <w:iCs/>
          <w:color w:val="000000"/>
          <w:sz w:val="32"/>
          <w:szCs w:val="32"/>
        </w:rPr>
      </w:pPr>
      <w:r>
        <w:rPr>
          <w:rFonts w:ascii="黑体" w:eastAsia="黑体" w:hAnsi="黑体" w:cs="Times New Roman" w:hint="eastAsia"/>
          <w:b/>
          <w:bCs/>
          <w:iCs/>
          <w:color w:val="000000"/>
          <w:sz w:val="32"/>
          <w:szCs w:val="32"/>
        </w:rPr>
        <w:t>投资者关系活动记录表</w:t>
      </w:r>
    </w:p>
    <w:bookmarkEnd w:id="0"/>
    <w:p w14:paraId="5F0CA9A4" w14:textId="49BEA0DE" w:rsidR="00747A31" w:rsidRDefault="009F72BA">
      <w:pPr>
        <w:spacing w:line="400" w:lineRule="exact"/>
        <w:jc w:val="right"/>
        <w:rPr>
          <w:rFonts w:ascii="Times New Roman" w:eastAsia="宋体" w:hAnsi="Times New Roman" w:cs="Times New Roman"/>
          <w:bCs/>
          <w:iCs/>
          <w:color w:val="000000"/>
          <w:sz w:val="24"/>
          <w:szCs w:val="24"/>
        </w:rPr>
      </w:pPr>
      <w:r>
        <w:rPr>
          <w:rFonts w:ascii="Times New Roman" w:eastAsia="宋体" w:hAnsi="Times New Roman" w:cs="Times New Roman"/>
          <w:bCs/>
          <w:iCs/>
          <w:color w:val="000000"/>
          <w:sz w:val="24"/>
          <w:szCs w:val="24"/>
        </w:rPr>
        <w:t xml:space="preserve">               </w:t>
      </w:r>
      <w:r>
        <w:rPr>
          <w:rFonts w:ascii="Times New Roman" w:eastAsia="宋体" w:hAnsi="Times New Roman" w:cs="Times New Roman"/>
          <w:bCs/>
          <w:iCs/>
          <w:color w:val="000000"/>
          <w:sz w:val="24"/>
          <w:szCs w:val="24"/>
        </w:rPr>
        <w:t>编号：</w:t>
      </w:r>
      <w:r>
        <w:rPr>
          <w:rFonts w:ascii="Times New Roman" w:eastAsia="宋体" w:hAnsi="Times New Roman" w:cs="Times New Roman"/>
          <w:bCs/>
          <w:iCs/>
          <w:color w:val="000000"/>
          <w:sz w:val="24"/>
          <w:szCs w:val="24"/>
        </w:rPr>
        <w:t>202</w:t>
      </w:r>
      <w:r w:rsidR="002A7854">
        <w:rPr>
          <w:rFonts w:ascii="Times New Roman" w:eastAsia="宋体" w:hAnsi="Times New Roman" w:cs="Times New Roman"/>
          <w:bCs/>
          <w:iCs/>
          <w:color w:val="000000"/>
          <w:sz w:val="24"/>
          <w:szCs w:val="24"/>
        </w:rPr>
        <w:t>4</w:t>
      </w:r>
      <w:r>
        <w:rPr>
          <w:rFonts w:ascii="Times New Roman" w:eastAsia="宋体" w:hAnsi="Times New Roman" w:cs="Times New Roman"/>
          <w:bCs/>
          <w:iCs/>
          <w:color w:val="000000"/>
          <w:sz w:val="24"/>
          <w:szCs w:val="24"/>
        </w:rPr>
        <w:t>-00</w:t>
      </w:r>
      <w:r w:rsidR="002A3372">
        <w:rPr>
          <w:rFonts w:ascii="Times New Roman" w:eastAsia="宋体" w:hAnsi="Times New Roman" w:cs="Times New Roman" w:hint="eastAsia"/>
          <w:bCs/>
          <w:iCs/>
          <w:color w:val="000000"/>
          <w:sz w:val="24"/>
          <w:szCs w:val="24"/>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6600"/>
      </w:tblGrid>
      <w:tr w:rsidR="00747A31" w14:paraId="7471B493" w14:textId="77777777" w:rsidTr="002C5AC6">
        <w:trPr>
          <w:trHeight w:val="2445"/>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19762391" w14:textId="6663E545" w:rsidR="00747A31" w:rsidRPr="00621D5A" w:rsidRDefault="009F72BA" w:rsidP="002C5AC6">
            <w:pPr>
              <w:adjustRightInd w:val="0"/>
              <w:snapToGrid w:val="0"/>
              <w:jc w:val="center"/>
              <w:rPr>
                <w:rFonts w:asciiTheme="minorEastAsia" w:hAnsiTheme="minorEastAsia" w:cs="Times New Roman"/>
                <w:bCs/>
                <w:iCs/>
                <w:color w:val="000000"/>
                <w:sz w:val="24"/>
                <w:szCs w:val="24"/>
              </w:rPr>
            </w:pPr>
            <w:r w:rsidRPr="00621D5A">
              <w:rPr>
                <w:rFonts w:asciiTheme="minorEastAsia" w:hAnsiTheme="minorEastAsia" w:cs="Times New Roman" w:hint="eastAsia"/>
                <w:bCs/>
                <w:iCs/>
                <w:color w:val="000000"/>
                <w:sz w:val="24"/>
                <w:szCs w:val="24"/>
              </w:rPr>
              <w:t>投资者关系活动类别</w:t>
            </w:r>
          </w:p>
        </w:tc>
        <w:tc>
          <w:tcPr>
            <w:tcW w:w="6600" w:type="dxa"/>
            <w:tcBorders>
              <w:top w:val="single" w:sz="4" w:space="0" w:color="auto"/>
              <w:left w:val="single" w:sz="4" w:space="0" w:color="auto"/>
              <w:bottom w:val="single" w:sz="4" w:space="0" w:color="auto"/>
              <w:right w:val="single" w:sz="4" w:space="0" w:color="auto"/>
            </w:tcBorders>
            <w:shd w:val="clear" w:color="auto" w:fill="auto"/>
          </w:tcPr>
          <w:p w14:paraId="643F3C01" w14:textId="310053BF" w:rsidR="00747A31" w:rsidRPr="00621D5A" w:rsidRDefault="0064473C" w:rsidP="00EC2F9F">
            <w:pPr>
              <w:spacing w:line="360" w:lineRule="auto"/>
              <w:rPr>
                <w:rFonts w:asciiTheme="minorEastAsia" w:hAnsiTheme="minorEastAsia" w:cs="Times New Roman"/>
                <w:bCs/>
                <w:iCs/>
                <w:color w:val="000000"/>
                <w:sz w:val="24"/>
                <w:szCs w:val="24"/>
              </w:rPr>
            </w:pPr>
            <w:r w:rsidRPr="00621D5A">
              <w:rPr>
                <w:rFonts w:ascii="Segoe UI Symbol" w:hAnsi="Segoe UI Symbol" w:cs="Segoe UI Symbol"/>
                <w:b/>
                <w:iCs/>
                <w:color w:val="000000"/>
                <w:sz w:val="24"/>
                <w:szCs w:val="24"/>
              </w:rPr>
              <w:t>☑</w:t>
            </w:r>
            <w:r w:rsidR="009F72BA" w:rsidRPr="00621D5A">
              <w:rPr>
                <w:rFonts w:asciiTheme="minorEastAsia" w:hAnsiTheme="minorEastAsia" w:cs="Times New Roman" w:hint="eastAsia"/>
                <w:sz w:val="24"/>
                <w:szCs w:val="24"/>
              </w:rPr>
              <w:t xml:space="preserve">特定对象调研        </w:t>
            </w:r>
            <w:r w:rsidR="000E24E7" w:rsidRPr="00621D5A">
              <w:rPr>
                <w:rFonts w:asciiTheme="minorEastAsia" w:hAnsiTheme="minorEastAsia" w:cs="Times New Roman" w:hint="eastAsia"/>
                <w:bCs/>
                <w:iCs/>
                <w:color w:val="000000"/>
                <w:sz w:val="24"/>
                <w:szCs w:val="24"/>
              </w:rPr>
              <w:t>□</w:t>
            </w:r>
            <w:r w:rsidR="009F72BA" w:rsidRPr="00621D5A">
              <w:rPr>
                <w:rFonts w:asciiTheme="minorEastAsia" w:hAnsiTheme="minorEastAsia" w:cs="Times New Roman" w:hint="eastAsia"/>
                <w:sz w:val="24"/>
                <w:szCs w:val="24"/>
              </w:rPr>
              <w:t>分析师会议</w:t>
            </w:r>
          </w:p>
          <w:p w14:paraId="68EDD365" w14:textId="3DEE4F82" w:rsidR="00747A31" w:rsidRPr="00621D5A" w:rsidRDefault="009F72BA" w:rsidP="00EC2F9F">
            <w:pPr>
              <w:spacing w:line="360" w:lineRule="auto"/>
              <w:rPr>
                <w:rFonts w:asciiTheme="minorEastAsia" w:hAnsiTheme="minorEastAsia" w:cs="Times New Roman"/>
                <w:bCs/>
                <w:iCs/>
                <w:color w:val="000000"/>
                <w:sz w:val="24"/>
                <w:szCs w:val="24"/>
              </w:rPr>
            </w:pPr>
            <w:r w:rsidRPr="00621D5A">
              <w:rPr>
                <w:rFonts w:asciiTheme="minorEastAsia" w:hAnsiTheme="minorEastAsia" w:cs="Times New Roman" w:hint="eastAsia"/>
                <w:bCs/>
                <w:iCs/>
                <w:color w:val="000000"/>
                <w:sz w:val="24"/>
                <w:szCs w:val="24"/>
              </w:rPr>
              <w:t>□</w:t>
            </w:r>
            <w:r w:rsidRPr="00621D5A">
              <w:rPr>
                <w:rFonts w:asciiTheme="minorEastAsia" w:hAnsiTheme="minorEastAsia" w:cs="Times New Roman" w:hint="eastAsia"/>
                <w:sz w:val="24"/>
                <w:szCs w:val="24"/>
              </w:rPr>
              <w:t xml:space="preserve">媒体采访            </w:t>
            </w:r>
            <w:r w:rsidR="0064473C" w:rsidRPr="00621D5A">
              <w:rPr>
                <w:rFonts w:asciiTheme="minorEastAsia" w:hAnsiTheme="minorEastAsia" w:cs="Times New Roman" w:hint="eastAsia"/>
                <w:bCs/>
                <w:iCs/>
                <w:color w:val="000000"/>
                <w:sz w:val="24"/>
                <w:szCs w:val="24"/>
              </w:rPr>
              <w:t>□</w:t>
            </w:r>
            <w:r w:rsidRPr="00621D5A">
              <w:rPr>
                <w:rFonts w:asciiTheme="minorEastAsia" w:hAnsiTheme="minorEastAsia" w:cs="Times New Roman" w:hint="eastAsia"/>
                <w:sz w:val="24"/>
                <w:szCs w:val="24"/>
              </w:rPr>
              <w:t>业绩说明会</w:t>
            </w:r>
          </w:p>
          <w:p w14:paraId="06D3AC27" w14:textId="77777777" w:rsidR="00747A31" w:rsidRPr="00621D5A" w:rsidRDefault="009F72BA" w:rsidP="00EC2F9F">
            <w:pPr>
              <w:spacing w:line="360" w:lineRule="auto"/>
              <w:rPr>
                <w:rFonts w:asciiTheme="minorEastAsia" w:hAnsiTheme="minorEastAsia" w:cs="Times New Roman"/>
                <w:bCs/>
                <w:iCs/>
                <w:color w:val="000000"/>
                <w:sz w:val="24"/>
                <w:szCs w:val="24"/>
              </w:rPr>
            </w:pPr>
            <w:r w:rsidRPr="00621D5A">
              <w:rPr>
                <w:rFonts w:asciiTheme="minorEastAsia" w:hAnsiTheme="minorEastAsia" w:cs="Times New Roman" w:hint="eastAsia"/>
                <w:bCs/>
                <w:iCs/>
                <w:color w:val="000000"/>
                <w:sz w:val="24"/>
                <w:szCs w:val="24"/>
              </w:rPr>
              <w:t>□</w:t>
            </w:r>
            <w:r w:rsidRPr="00621D5A">
              <w:rPr>
                <w:rFonts w:asciiTheme="minorEastAsia" w:hAnsiTheme="minorEastAsia" w:cs="Times New Roman" w:hint="eastAsia"/>
                <w:sz w:val="24"/>
                <w:szCs w:val="24"/>
              </w:rPr>
              <w:t xml:space="preserve">新闻发布会          </w:t>
            </w:r>
            <w:r w:rsidRPr="00621D5A">
              <w:rPr>
                <w:rFonts w:asciiTheme="minorEastAsia" w:hAnsiTheme="minorEastAsia" w:cs="Times New Roman" w:hint="eastAsia"/>
                <w:bCs/>
                <w:iCs/>
                <w:color w:val="000000"/>
                <w:sz w:val="24"/>
                <w:szCs w:val="24"/>
              </w:rPr>
              <w:t>□</w:t>
            </w:r>
            <w:r w:rsidRPr="00621D5A">
              <w:rPr>
                <w:rFonts w:asciiTheme="minorEastAsia" w:hAnsiTheme="minorEastAsia" w:cs="Times New Roman" w:hint="eastAsia"/>
                <w:sz w:val="24"/>
                <w:szCs w:val="24"/>
              </w:rPr>
              <w:t>路演活动</w:t>
            </w:r>
          </w:p>
          <w:p w14:paraId="183A9EB3" w14:textId="4DE9FB52" w:rsidR="004240A3" w:rsidRDefault="009D7894" w:rsidP="00297748">
            <w:pPr>
              <w:tabs>
                <w:tab w:val="left" w:pos="3045"/>
                <w:tab w:val="center" w:pos="3199"/>
              </w:tabs>
              <w:spacing w:line="360" w:lineRule="auto"/>
              <w:rPr>
                <w:rFonts w:asciiTheme="minorEastAsia" w:hAnsiTheme="minorEastAsia" w:cs="Times New Roman"/>
                <w:sz w:val="24"/>
                <w:szCs w:val="24"/>
              </w:rPr>
            </w:pPr>
            <w:r w:rsidRPr="009D7894">
              <w:rPr>
                <w:rFonts w:ascii="Segoe UI Symbol" w:hAnsi="Segoe UI Symbol" w:cs="Segoe UI Symbol"/>
                <w:b/>
                <w:bCs/>
                <w:iCs/>
                <w:color w:val="000000"/>
                <w:sz w:val="24"/>
                <w:szCs w:val="24"/>
              </w:rPr>
              <w:t>☑</w:t>
            </w:r>
            <w:r w:rsidR="009F72BA" w:rsidRPr="00621D5A">
              <w:rPr>
                <w:rFonts w:asciiTheme="minorEastAsia" w:hAnsiTheme="minorEastAsia" w:cs="Times New Roman" w:hint="eastAsia"/>
                <w:sz w:val="24"/>
                <w:szCs w:val="24"/>
              </w:rPr>
              <w:t>现场参观</w:t>
            </w:r>
          </w:p>
          <w:p w14:paraId="25D4EC15" w14:textId="351277A3" w:rsidR="00747A31" w:rsidRPr="00621D5A" w:rsidRDefault="004240A3" w:rsidP="00297748">
            <w:pPr>
              <w:tabs>
                <w:tab w:val="left" w:pos="3045"/>
                <w:tab w:val="center" w:pos="3199"/>
              </w:tabs>
              <w:spacing w:line="360" w:lineRule="auto"/>
              <w:rPr>
                <w:rFonts w:asciiTheme="minorEastAsia" w:hAnsiTheme="minorEastAsia" w:cs="Times New Roman"/>
                <w:bCs/>
                <w:iCs/>
                <w:color w:val="000000"/>
                <w:sz w:val="24"/>
                <w:szCs w:val="24"/>
              </w:rPr>
            </w:pPr>
            <w:r w:rsidRPr="00621D5A">
              <w:rPr>
                <w:rFonts w:asciiTheme="minorEastAsia" w:hAnsiTheme="minorEastAsia" w:cs="Times New Roman" w:hint="eastAsia"/>
                <w:bCs/>
                <w:iCs/>
                <w:color w:val="000000"/>
                <w:sz w:val="24"/>
                <w:szCs w:val="24"/>
              </w:rPr>
              <w:t>□</w:t>
            </w:r>
            <w:r>
              <w:rPr>
                <w:rFonts w:asciiTheme="minorEastAsia" w:hAnsiTheme="minorEastAsia" w:cs="Times New Roman" w:hint="eastAsia"/>
                <w:bCs/>
                <w:iCs/>
                <w:color w:val="000000"/>
                <w:sz w:val="24"/>
                <w:szCs w:val="24"/>
              </w:rPr>
              <w:t>其他</w:t>
            </w:r>
            <w:r w:rsidR="009F72BA" w:rsidRPr="00621D5A">
              <w:rPr>
                <w:rFonts w:asciiTheme="minorEastAsia" w:hAnsiTheme="minorEastAsia" w:cs="Times New Roman" w:hint="eastAsia"/>
                <w:bCs/>
                <w:iCs/>
                <w:color w:val="000000"/>
                <w:sz w:val="24"/>
                <w:szCs w:val="24"/>
              </w:rPr>
              <w:tab/>
            </w:r>
          </w:p>
        </w:tc>
      </w:tr>
      <w:tr w:rsidR="00747A31" w14:paraId="6E3389C9" w14:textId="77777777" w:rsidTr="002C5AC6">
        <w:trPr>
          <w:trHeight w:val="510"/>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492953AA" w14:textId="57F918AF" w:rsidR="00747A31" w:rsidRDefault="009F72BA">
            <w:pPr>
              <w:adjustRightInd w:val="0"/>
              <w:snapToGrid w:val="0"/>
              <w:jc w:val="center"/>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参与单位名称</w:t>
            </w:r>
          </w:p>
        </w:tc>
        <w:tc>
          <w:tcPr>
            <w:tcW w:w="6600" w:type="dxa"/>
            <w:tcBorders>
              <w:top w:val="single" w:sz="4" w:space="0" w:color="auto"/>
              <w:left w:val="single" w:sz="4" w:space="0" w:color="auto"/>
              <w:bottom w:val="single" w:sz="4" w:space="0" w:color="auto"/>
              <w:right w:val="single" w:sz="4" w:space="0" w:color="auto"/>
            </w:tcBorders>
            <w:shd w:val="clear" w:color="auto" w:fill="auto"/>
            <w:vAlign w:val="center"/>
          </w:tcPr>
          <w:p w14:paraId="0A90C072" w14:textId="00EFCB84" w:rsidR="000E24E7" w:rsidRPr="0081595A" w:rsidRDefault="008415ED" w:rsidP="0081595A">
            <w:pPr>
              <w:spacing w:line="360" w:lineRule="auto"/>
              <w:rPr>
                <w:rFonts w:ascii="宋体" w:eastAsia="宋体" w:hAnsi="宋体"/>
                <w:sz w:val="24"/>
                <w:szCs w:val="24"/>
              </w:rPr>
            </w:pPr>
            <w:r w:rsidRPr="008415ED">
              <w:rPr>
                <w:rFonts w:ascii="宋体" w:eastAsia="宋体" w:hAnsi="宋体" w:hint="eastAsia"/>
                <w:sz w:val="24"/>
                <w:szCs w:val="24"/>
              </w:rPr>
              <w:t>中金银海（香港）基金、赢仕私募基金、诺泉私募基金</w:t>
            </w:r>
          </w:p>
        </w:tc>
      </w:tr>
      <w:tr w:rsidR="00747A31" w14:paraId="6BA68A3A" w14:textId="77777777" w:rsidTr="002C5AC6">
        <w:trPr>
          <w:trHeight w:val="559"/>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4A39E2F3" w14:textId="77777777" w:rsidR="00747A31" w:rsidRPr="00621D5A" w:rsidRDefault="009F72BA">
            <w:pPr>
              <w:jc w:val="center"/>
              <w:rPr>
                <w:rFonts w:asciiTheme="minorEastAsia" w:hAnsiTheme="minorEastAsia" w:cs="Times New Roman"/>
                <w:bCs/>
                <w:iCs/>
                <w:color w:val="000000"/>
                <w:sz w:val="24"/>
                <w:szCs w:val="24"/>
              </w:rPr>
            </w:pPr>
            <w:r w:rsidRPr="00621D5A">
              <w:rPr>
                <w:rFonts w:asciiTheme="minorEastAsia" w:hAnsiTheme="minorEastAsia" w:cs="Times New Roman" w:hint="eastAsia"/>
                <w:bCs/>
                <w:iCs/>
                <w:color w:val="000000"/>
                <w:sz w:val="24"/>
                <w:szCs w:val="24"/>
              </w:rPr>
              <w:t>时 间</w:t>
            </w:r>
          </w:p>
        </w:tc>
        <w:tc>
          <w:tcPr>
            <w:tcW w:w="6600" w:type="dxa"/>
            <w:tcBorders>
              <w:top w:val="single" w:sz="4" w:space="0" w:color="auto"/>
              <w:left w:val="single" w:sz="4" w:space="0" w:color="auto"/>
              <w:bottom w:val="single" w:sz="4" w:space="0" w:color="auto"/>
              <w:right w:val="single" w:sz="4" w:space="0" w:color="auto"/>
            </w:tcBorders>
            <w:shd w:val="clear" w:color="auto" w:fill="auto"/>
            <w:vAlign w:val="bottom"/>
          </w:tcPr>
          <w:p w14:paraId="29C452BB" w14:textId="3A55D04A" w:rsidR="00747A31" w:rsidRPr="00621D5A" w:rsidRDefault="000E24E7" w:rsidP="006977EA">
            <w:pPr>
              <w:adjustRightInd w:val="0"/>
              <w:snapToGrid w:val="0"/>
              <w:spacing w:line="360" w:lineRule="auto"/>
              <w:rPr>
                <w:rFonts w:asciiTheme="minorEastAsia" w:hAnsiTheme="minorEastAsia" w:cs="Times New Roman"/>
                <w:bCs/>
                <w:iCs/>
                <w:color w:val="000000"/>
                <w:sz w:val="24"/>
                <w:szCs w:val="24"/>
              </w:rPr>
            </w:pPr>
            <w:r w:rsidRPr="00621D5A">
              <w:rPr>
                <w:rFonts w:asciiTheme="minorEastAsia" w:hAnsiTheme="minorEastAsia" w:cs="Times New Roman"/>
                <w:bCs/>
                <w:iCs/>
                <w:color w:val="000000"/>
                <w:sz w:val="24"/>
                <w:szCs w:val="24"/>
              </w:rPr>
              <w:t>202</w:t>
            </w:r>
            <w:r w:rsidR="008566DD">
              <w:rPr>
                <w:rFonts w:asciiTheme="minorEastAsia" w:hAnsiTheme="minorEastAsia" w:cs="Times New Roman"/>
                <w:bCs/>
                <w:iCs/>
                <w:color w:val="000000"/>
                <w:sz w:val="24"/>
                <w:szCs w:val="24"/>
              </w:rPr>
              <w:t>4</w:t>
            </w:r>
            <w:r w:rsidRPr="00621D5A">
              <w:rPr>
                <w:rFonts w:asciiTheme="minorEastAsia" w:hAnsiTheme="minorEastAsia" w:cs="Times New Roman"/>
                <w:bCs/>
                <w:iCs/>
                <w:color w:val="000000"/>
                <w:sz w:val="24"/>
                <w:szCs w:val="24"/>
              </w:rPr>
              <w:t>年</w:t>
            </w:r>
            <w:r w:rsidR="0064473C">
              <w:rPr>
                <w:rFonts w:asciiTheme="minorEastAsia" w:hAnsiTheme="minorEastAsia" w:cs="Times New Roman" w:hint="eastAsia"/>
                <w:bCs/>
                <w:iCs/>
                <w:color w:val="000000"/>
                <w:sz w:val="24"/>
                <w:szCs w:val="24"/>
              </w:rPr>
              <w:t>1</w:t>
            </w:r>
            <w:r w:rsidR="002A3372">
              <w:rPr>
                <w:rFonts w:asciiTheme="minorEastAsia" w:hAnsiTheme="minorEastAsia" w:cs="Times New Roman" w:hint="eastAsia"/>
                <w:bCs/>
                <w:iCs/>
                <w:color w:val="000000"/>
                <w:sz w:val="24"/>
                <w:szCs w:val="24"/>
              </w:rPr>
              <w:t>1</w:t>
            </w:r>
            <w:r w:rsidRPr="00621D5A">
              <w:rPr>
                <w:rFonts w:asciiTheme="minorEastAsia" w:hAnsiTheme="minorEastAsia" w:cs="Times New Roman"/>
                <w:bCs/>
                <w:iCs/>
                <w:color w:val="000000"/>
                <w:sz w:val="24"/>
                <w:szCs w:val="24"/>
              </w:rPr>
              <w:t>月</w:t>
            </w:r>
            <w:r w:rsidR="0064473C">
              <w:rPr>
                <w:rFonts w:asciiTheme="minorEastAsia" w:hAnsiTheme="minorEastAsia" w:cs="Times New Roman" w:hint="eastAsia"/>
                <w:bCs/>
                <w:iCs/>
                <w:color w:val="000000"/>
                <w:sz w:val="24"/>
                <w:szCs w:val="24"/>
              </w:rPr>
              <w:t>2</w:t>
            </w:r>
            <w:r w:rsidR="002A3372">
              <w:rPr>
                <w:rFonts w:asciiTheme="minorEastAsia" w:hAnsiTheme="minorEastAsia" w:cs="Times New Roman" w:hint="eastAsia"/>
                <w:bCs/>
                <w:iCs/>
                <w:color w:val="000000"/>
                <w:sz w:val="24"/>
                <w:szCs w:val="24"/>
              </w:rPr>
              <w:t>1</w:t>
            </w:r>
            <w:r w:rsidR="0081595A">
              <w:rPr>
                <w:rFonts w:asciiTheme="minorEastAsia" w:hAnsiTheme="minorEastAsia" w:cs="Times New Roman" w:hint="eastAsia"/>
                <w:bCs/>
                <w:iCs/>
                <w:color w:val="000000"/>
                <w:sz w:val="24"/>
                <w:szCs w:val="24"/>
              </w:rPr>
              <w:t>日</w:t>
            </w:r>
          </w:p>
        </w:tc>
      </w:tr>
      <w:tr w:rsidR="00747A31" w14:paraId="6EC6370C" w14:textId="77777777" w:rsidTr="002C5AC6">
        <w:trPr>
          <w:trHeight w:val="553"/>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6F11B90C" w14:textId="77777777" w:rsidR="00747A31" w:rsidRPr="00621D5A" w:rsidRDefault="009F72BA">
            <w:pPr>
              <w:jc w:val="center"/>
              <w:rPr>
                <w:rFonts w:asciiTheme="minorEastAsia" w:hAnsiTheme="minorEastAsia" w:cs="Times New Roman"/>
                <w:bCs/>
                <w:iCs/>
                <w:color w:val="000000"/>
                <w:sz w:val="24"/>
                <w:szCs w:val="24"/>
              </w:rPr>
            </w:pPr>
            <w:r w:rsidRPr="00621D5A">
              <w:rPr>
                <w:rFonts w:asciiTheme="minorEastAsia" w:hAnsiTheme="minorEastAsia" w:cs="Times New Roman" w:hint="eastAsia"/>
                <w:bCs/>
                <w:iCs/>
                <w:color w:val="000000"/>
                <w:sz w:val="24"/>
                <w:szCs w:val="24"/>
              </w:rPr>
              <w:t>地 点</w:t>
            </w:r>
          </w:p>
        </w:tc>
        <w:tc>
          <w:tcPr>
            <w:tcW w:w="6600" w:type="dxa"/>
            <w:tcBorders>
              <w:top w:val="single" w:sz="4" w:space="0" w:color="auto"/>
              <w:left w:val="single" w:sz="4" w:space="0" w:color="auto"/>
              <w:bottom w:val="single" w:sz="4" w:space="0" w:color="auto"/>
              <w:right w:val="single" w:sz="4" w:space="0" w:color="auto"/>
            </w:tcBorders>
            <w:shd w:val="clear" w:color="auto" w:fill="auto"/>
            <w:vAlign w:val="center"/>
          </w:tcPr>
          <w:p w14:paraId="15F4E372" w14:textId="69041B2A" w:rsidR="00747A31" w:rsidRPr="00621D5A" w:rsidRDefault="00A87441" w:rsidP="00621D5A">
            <w:pPr>
              <w:spacing w:line="360" w:lineRule="auto"/>
              <w:jc w:val="left"/>
              <w:rPr>
                <w:rFonts w:asciiTheme="minorEastAsia" w:hAnsiTheme="minorEastAsia" w:cs="Times New Roman"/>
                <w:bCs/>
                <w:iCs/>
                <w:color w:val="000000"/>
                <w:sz w:val="24"/>
                <w:szCs w:val="24"/>
              </w:rPr>
            </w:pPr>
            <w:r>
              <w:rPr>
                <w:rFonts w:asciiTheme="minorEastAsia" w:hAnsiTheme="minorEastAsia" w:cs="Times New Roman" w:hint="eastAsia"/>
                <w:bCs/>
                <w:iCs/>
                <w:color w:val="000000"/>
                <w:sz w:val="24"/>
                <w:szCs w:val="24"/>
              </w:rPr>
              <w:t>公司会议室</w:t>
            </w:r>
          </w:p>
        </w:tc>
      </w:tr>
      <w:tr w:rsidR="00747A31" w14:paraId="73AB73DC" w14:textId="77777777" w:rsidTr="002C5AC6">
        <w:trPr>
          <w:trHeight w:val="1092"/>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453AAEC3" w14:textId="77777777" w:rsidR="00747A31" w:rsidRDefault="009F72BA">
            <w:pPr>
              <w:jc w:val="center"/>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上市公司接待人员姓名</w:t>
            </w:r>
          </w:p>
        </w:tc>
        <w:tc>
          <w:tcPr>
            <w:tcW w:w="6600" w:type="dxa"/>
            <w:tcBorders>
              <w:top w:val="single" w:sz="4" w:space="0" w:color="auto"/>
              <w:left w:val="single" w:sz="4" w:space="0" w:color="auto"/>
              <w:bottom w:val="single" w:sz="4" w:space="0" w:color="auto"/>
              <w:right w:val="single" w:sz="4" w:space="0" w:color="auto"/>
            </w:tcBorders>
            <w:shd w:val="clear" w:color="auto" w:fill="auto"/>
            <w:vAlign w:val="center"/>
          </w:tcPr>
          <w:p w14:paraId="2DC12590" w14:textId="20EA8DA0" w:rsidR="0055008F" w:rsidRDefault="00EC2F9F" w:rsidP="00A87441">
            <w:pPr>
              <w:adjustRightInd w:val="0"/>
              <w:spacing w:line="360" w:lineRule="auto"/>
              <w:contextualSpacing/>
              <w:rPr>
                <w:rFonts w:ascii="宋体" w:eastAsia="宋体" w:hAnsi="宋体" w:cs="Times New Roman"/>
                <w:bCs/>
                <w:iCs/>
                <w:color w:val="000000"/>
                <w:sz w:val="24"/>
                <w:szCs w:val="24"/>
              </w:rPr>
            </w:pPr>
            <w:r w:rsidRPr="00EC2F9F">
              <w:rPr>
                <w:rFonts w:ascii="宋体" w:eastAsia="宋体" w:hAnsi="宋体" w:cs="Times New Roman" w:hint="eastAsia"/>
                <w:bCs/>
                <w:iCs/>
                <w:color w:val="000000"/>
                <w:sz w:val="24"/>
                <w:szCs w:val="24"/>
              </w:rPr>
              <w:t>董事、</w:t>
            </w:r>
            <w:r w:rsidR="00657069">
              <w:rPr>
                <w:rFonts w:ascii="宋体" w:eastAsia="宋体" w:hAnsi="宋体" w:cs="Times New Roman" w:hint="eastAsia"/>
                <w:bCs/>
                <w:iCs/>
                <w:color w:val="000000"/>
                <w:sz w:val="24"/>
                <w:szCs w:val="24"/>
              </w:rPr>
              <w:t>副总经理、</w:t>
            </w:r>
            <w:r w:rsidRPr="00EC2F9F">
              <w:rPr>
                <w:rFonts w:ascii="宋体" w:eastAsia="宋体" w:hAnsi="宋体" w:cs="Times New Roman" w:hint="eastAsia"/>
                <w:bCs/>
                <w:iCs/>
                <w:color w:val="000000"/>
                <w:sz w:val="24"/>
                <w:szCs w:val="24"/>
              </w:rPr>
              <w:t>董事会秘书</w:t>
            </w:r>
            <w:r>
              <w:rPr>
                <w:rFonts w:ascii="宋体" w:eastAsia="宋体" w:hAnsi="宋体" w:cs="Times New Roman" w:hint="eastAsia"/>
                <w:bCs/>
                <w:iCs/>
                <w:color w:val="000000"/>
                <w:sz w:val="24"/>
                <w:szCs w:val="24"/>
              </w:rPr>
              <w:t>：</w:t>
            </w:r>
            <w:r w:rsidR="0055008F">
              <w:rPr>
                <w:rFonts w:ascii="宋体" w:eastAsia="宋体" w:hAnsi="宋体" w:cs="Times New Roman" w:hint="eastAsia"/>
                <w:bCs/>
                <w:iCs/>
                <w:color w:val="000000"/>
                <w:sz w:val="24"/>
                <w:szCs w:val="24"/>
              </w:rPr>
              <w:t>金钟先生</w:t>
            </w:r>
          </w:p>
          <w:p w14:paraId="143FEE73" w14:textId="057E71D9" w:rsidR="008566DD" w:rsidRDefault="00A87441" w:rsidP="00A87441">
            <w:pPr>
              <w:adjustRightInd w:val="0"/>
              <w:spacing w:line="360" w:lineRule="auto"/>
              <w:contextualSpacing/>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证券事务代表</w:t>
            </w:r>
            <w:r w:rsidR="008566DD">
              <w:rPr>
                <w:rFonts w:ascii="宋体" w:eastAsia="宋体" w:hAnsi="宋体" w:cs="Times New Roman" w:hint="eastAsia"/>
                <w:bCs/>
                <w:iCs/>
                <w:color w:val="000000"/>
                <w:sz w:val="24"/>
                <w:szCs w:val="24"/>
              </w:rPr>
              <w:t>：</w:t>
            </w:r>
            <w:r>
              <w:rPr>
                <w:rFonts w:ascii="宋体" w:eastAsia="宋体" w:hAnsi="宋体" w:cs="Times New Roman" w:hint="eastAsia"/>
                <w:bCs/>
                <w:iCs/>
                <w:color w:val="000000"/>
                <w:sz w:val="24"/>
                <w:szCs w:val="24"/>
              </w:rPr>
              <w:t>赵克伟</w:t>
            </w:r>
            <w:r w:rsidR="008566DD">
              <w:rPr>
                <w:rFonts w:ascii="宋体" w:eastAsia="宋体" w:hAnsi="宋体" w:cs="Times New Roman" w:hint="eastAsia"/>
                <w:bCs/>
                <w:iCs/>
                <w:color w:val="000000"/>
                <w:sz w:val="24"/>
                <w:szCs w:val="24"/>
              </w:rPr>
              <w:t>先生</w:t>
            </w:r>
          </w:p>
        </w:tc>
      </w:tr>
      <w:tr w:rsidR="00747A31" w14:paraId="48E8618D" w14:textId="77777777" w:rsidTr="002C5AC6">
        <w:trPr>
          <w:trHeight w:val="558"/>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1388C712" w14:textId="77777777" w:rsidR="00747A31" w:rsidRDefault="009F72BA">
            <w:pPr>
              <w:jc w:val="center"/>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投资者关系活动主要内容介绍</w:t>
            </w:r>
          </w:p>
        </w:tc>
        <w:tc>
          <w:tcPr>
            <w:tcW w:w="6600" w:type="dxa"/>
            <w:tcBorders>
              <w:top w:val="single" w:sz="4" w:space="0" w:color="auto"/>
              <w:left w:val="single" w:sz="4" w:space="0" w:color="auto"/>
              <w:bottom w:val="single" w:sz="4" w:space="0" w:color="auto"/>
              <w:right w:val="single" w:sz="4" w:space="0" w:color="auto"/>
            </w:tcBorders>
            <w:shd w:val="clear" w:color="auto" w:fill="auto"/>
            <w:vAlign w:val="center"/>
          </w:tcPr>
          <w:p w14:paraId="361804CB" w14:textId="30BA2D1F" w:rsidR="005A31D1" w:rsidRPr="00A87441" w:rsidRDefault="00A87441" w:rsidP="00A87441">
            <w:pPr>
              <w:pStyle w:val="TableParagraph"/>
              <w:spacing w:before="3" w:line="360" w:lineRule="auto"/>
              <w:ind w:left="0" w:firstLineChars="200" w:firstLine="482"/>
              <w:rPr>
                <w:sz w:val="24"/>
                <w:szCs w:val="24"/>
              </w:rPr>
            </w:pPr>
            <w:r w:rsidRPr="002B1F84">
              <w:rPr>
                <w:rFonts w:hint="eastAsia"/>
                <w:b/>
                <w:bCs/>
                <w:sz w:val="24"/>
                <w:szCs w:val="24"/>
              </w:rPr>
              <w:t>投资者交流的主要问题及答复如下：</w:t>
            </w:r>
          </w:p>
          <w:p w14:paraId="512A7B24" w14:textId="07515034" w:rsidR="0089092E" w:rsidRDefault="0081595A" w:rsidP="0081595A">
            <w:pPr>
              <w:spacing w:line="360" w:lineRule="auto"/>
              <w:ind w:firstLineChars="200" w:firstLine="482"/>
              <w:rPr>
                <w:rFonts w:ascii="宋体" w:eastAsia="宋体" w:hAnsi="宋体"/>
                <w:b/>
                <w:bCs/>
                <w:sz w:val="24"/>
                <w:szCs w:val="24"/>
              </w:rPr>
            </w:pPr>
            <w:r w:rsidRPr="000F4CD7">
              <w:rPr>
                <w:rFonts w:ascii="宋体" w:eastAsia="宋体" w:hAnsi="宋体" w:hint="eastAsia"/>
                <w:b/>
                <w:bCs/>
                <w:sz w:val="24"/>
                <w:szCs w:val="24"/>
              </w:rPr>
              <w:t>问</w:t>
            </w:r>
            <w:r>
              <w:rPr>
                <w:rFonts w:ascii="宋体" w:eastAsia="宋体" w:hAnsi="宋体" w:hint="eastAsia"/>
                <w:b/>
                <w:bCs/>
                <w:sz w:val="24"/>
                <w:szCs w:val="24"/>
              </w:rPr>
              <w:t>题1</w:t>
            </w:r>
            <w:r w:rsidR="007240F6">
              <w:rPr>
                <w:rFonts w:ascii="宋体" w:eastAsia="宋体" w:hAnsi="宋体" w:hint="eastAsia"/>
                <w:b/>
                <w:bCs/>
                <w:sz w:val="24"/>
                <w:szCs w:val="24"/>
              </w:rPr>
              <w:t>.</w:t>
            </w:r>
            <w:r w:rsidR="0089092E" w:rsidRPr="0089092E">
              <w:rPr>
                <w:rFonts w:ascii="宋体" w:eastAsia="宋体" w:hAnsi="宋体" w:hint="eastAsia"/>
                <w:b/>
                <w:bCs/>
                <w14:ligatures w14:val="standardContextual"/>
              </w:rPr>
              <w:t xml:space="preserve"> </w:t>
            </w:r>
            <w:r w:rsidR="00BD5D22" w:rsidRPr="00934ADB">
              <w:rPr>
                <w:rFonts w:ascii="宋体" w:eastAsia="宋体" w:hAnsi="宋体" w:hint="eastAsia"/>
                <w:b/>
                <w:bCs/>
                <w:sz w:val="24"/>
                <w:szCs w:val="24"/>
              </w:rPr>
              <w:t>请简单介绍一下公司的主要产品及今年经营情况？</w:t>
            </w:r>
          </w:p>
          <w:p w14:paraId="5C8E050D" w14:textId="7E9C19D4" w:rsidR="0081595A" w:rsidRPr="000F4CD7" w:rsidRDefault="0081595A" w:rsidP="0081595A">
            <w:pPr>
              <w:spacing w:line="360" w:lineRule="auto"/>
              <w:ind w:firstLineChars="200" w:firstLine="480"/>
              <w:rPr>
                <w:rFonts w:ascii="宋体" w:eastAsia="宋体" w:hAnsi="宋体"/>
                <w:sz w:val="24"/>
                <w:szCs w:val="24"/>
              </w:rPr>
            </w:pPr>
            <w:r w:rsidRPr="00C22341">
              <w:rPr>
                <w:rFonts w:ascii="宋体" w:eastAsia="宋体" w:hAnsi="宋体" w:hint="eastAsia"/>
                <w:sz w:val="24"/>
                <w:szCs w:val="24"/>
              </w:rPr>
              <w:t>答：</w:t>
            </w:r>
            <w:r w:rsidR="00BD5D22" w:rsidRPr="00934ADB">
              <w:rPr>
                <w:rFonts w:ascii="宋体" w:eastAsia="宋体" w:hAnsi="宋体" w:hint="eastAsia"/>
                <w:sz w:val="24"/>
                <w:szCs w:val="24"/>
              </w:rPr>
              <w:t>公司主要产品为特种分子筛及催化剂、非分子筛催化剂、催化应用工艺及化工技术服务三大类，其中特种分子筛及催化剂为公司报告期内的主要收入来源。非分子筛催化剂系列包括金属催化剂及其他催化剂系列产品。技术服务收入指公司为特种分子筛、催化剂产品在下游市场生产过程提供的化工专利技术或化学生产技术。公司2024年前三季度实现营业收入5.23亿元，实现净利润1.14亿元</w:t>
            </w:r>
            <w:r w:rsidR="00406FA3">
              <w:rPr>
                <w:rFonts w:ascii="宋体" w:eastAsia="宋体" w:hAnsi="宋体" w:hint="eastAsia"/>
                <w:sz w:val="24"/>
                <w:szCs w:val="24"/>
              </w:rPr>
              <w:t>，</w:t>
            </w:r>
            <w:r w:rsidR="00BD5D22" w:rsidRPr="00934ADB">
              <w:rPr>
                <w:rFonts w:ascii="宋体" w:eastAsia="宋体" w:hAnsi="宋体" w:hint="eastAsia"/>
                <w:sz w:val="24"/>
                <w:szCs w:val="24"/>
              </w:rPr>
              <w:t>分别较去年同期增长43.57%及162.63%</w:t>
            </w:r>
            <w:r w:rsidR="0089092E" w:rsidRPr="0089092E">
              <w:rPr>
                <w:rFonts w:ascii="宋体" w:eastAsia="宋体" w:hAnsi="宋体" w:hint="eastAsia"/>
                <w:sz w:val="24"/>
                <w:szCs w:val="24"/>
              </w:rPr>
              <w:t>。</w:t>
            </w:r>
          </w:p>
          <w:p w14:paraId="4F64A1E8" w14:textId="77777777" w:rsidR="0081595A" w:rsidRPr="000F4CD7" w:rsidRDefault="0081595A" w:rsidP="0081595A"/>
          <w:p w14:paraId="62A4277B" w14:textId="3EE2F6B2" w:rsidR="0081595A" w:rsidRPr="008E25CA" w:rsidRDefault="0081595A" w:rsidP="0081595A">
            <w:pPr>
              <w:spacing w:line="360" w:lineRule="auto"/>
              <w:ind w:firstLineChars="200" w:firstLine="482"/>
              <w:rPr>
                <w:rFonts w:ascii="宋体" w:eastAsia="宋体" w:hAnsi="宋体"/>
                <w:sz w:val="24"/>
                <w:szCs w:val="24"/>
              </w:rPr>
            </w:pPr>
            <w:r w:rsidRPr="008E25CA">
              <w:rPr>
                <w:rFonts w:ascii="宋体" w:eastAsia="宋体" w:hAnsi="宋体" w:hint="eastAsia"/>
                <w:b/>
                <w:bCs/>
                <w:sz w:val="24"/>
                <w:szCs w:val="24"/>
              </w:rPr>
              <w:t>问</w:t>
            </w:r>
            <w:r>
              <w:rPr>
                <w:rFonts w:ascii="宋体" w:eastAsia="宋体" w:hAnsi="宋体" w:hint="eastAsia"/>
                <w:b/>
                <w:bCs/>
                <w:sz w:val="24"/>
                <w:szCs w:val="24"/>
              </w:rPr>
              <w:t>题2</w:t>
            </w:r>
            <w:r w:rsidR="007240F6">
              <w:rPr>
                <w:rFonts w:ascii="宋体" w:eastAsia="宋体" w:hAnsi="宋体" w:hint="eastAsia"/>
                <w:b/>
                <w:bCs/>
                <w:sz w:val="24"/>
                <w:szCs w:val="24"/>
              </w:rPr>
              <w:t>.</w:t>
            </w:r>
            <w:r w:rsidR="0089092E" w:rsidRPr="0089092E">
              <w:rPr>
                <w:rFonts w:ascii="宋体" w:eastAsia="宋体" w:hAnsi="宋体" w:hint="eastAsia"/>
                <w:b/>
                <w:bCs/>
                <w14:ligatures w14:val="standardContextual"/>
              </w:rPr>
              <w:t xml:space="preserve"> </w:t>
            </w:r>
            <w:r w:rsidR="00BD5D22" w:rsidRPr="00934ADB">
              <w:rPr>
                <w:rFonts w:ascii="宋体" w:eastAsia="宋体" w:hAnsi="宋体" w:hint="eastAsia"/>
                <w:b/>
                <w:bCs/>
                <w:sz w:val="24"/>
                <w:szCs w:val="24"/>
              </w:rPr>
              <w:t>前三季度主要利润贡献点有哪些？</w:t>
            </w:r>
          </w:p>
          <w:p w14:paraId="674EACA9" w14:textId="38615A99" w:rsidR="0081595A" w:rsidRDefault="0081595A" w:rsidP="00BD5D22">
            <w:pPr>
              <w:spacing w:line="360" w:lineRule="auto"/>
              <w:ind w:firstLineChars="200" w:firstLine="480"/>
              <w:rPr>
                <w:rFonts w:ascii="宋体" w:eastAsia="宋体" w:hAnsi="宋体"/>
                <w:sz w:val="24"/>
                <w:szCs w:val="24"/>
              </w:rPr>
            </w:pPr>
            <w:r w:rsidRPr="00683B62">
              <w:rPr>
                <w:rFonts w:ascii="宋体" w:eastAsia="宋体" w:hAnsi="宋体" w:hint="eastAsia"/>
                <w:sz w:val="24"/>
                <w:szCs w:val="24"/>
              </w:rPr>
              <w:lastRenderedPageBreak/>
              <w:t>答：</w:t>
            </w:r>
            <w:r w:rsidR="00BD5D22" w:rsidRPr="00934ADB">
              <w:rPr>
                <w:rFonts w:ascii="宋体" w:eastAsia="宋体" w:hAnsi="宋体" w:hint="eastAsia"/>
                <w:sz w:val="24"/>
                <w:szCs w:val="24"/>
              </w:rPr>
              <w:t>销售给巴斯夫使用公司专利技术的新型号移动源脱硝分子筛产品成为公司2024年前三季度</w:t>
            </w:r>
            <w:r w:rsidR="006E6B9A">
              <w:rPr>
                <w:rFonts w:ascii="宋体" w:eastAsia="宋体" w:hAnsi="宋体" w:hint="eastAsia"/>
                <w:sz w:val="24"/>
                <w:szCs w:val="24"/>
              </w:rPr>
              <w:t>业绩</w:t>
            </w:r>
            <w:r w:rsidR="00BD5D22" w:rsidRPr="00934ADB">
              <w:rPr>
                <w:rFonts w:ascii="宋体" w:eastAsia="宋体" w:hAnsi="宋体" w:hint="eastAsia"/>
                <w:sz w:val="24"/>
                <w:szCs w:val="24"/>
              </w:rPr>
              <w:t>主要增长点，同时钛硅分子筛、</w:t>
            </w:r>
            <w:r w:rsidR="00BD5D22" w:rsidRPr="00934ADB">
              <w:rPr>
                <w:rFonts w:ascii="宋体" w:eastAsia="宋体" w:hAnsi="宋体"/>
                <w:sz w:val="24"/>
                <w:szCs w:val="24"/>
              </w:rPr>
              <w:t>甲醛催化剂</w:t>
            </w:r>
            <w:r w:rsidR="00BD5D22" w:rsidRPr="00934ADB">
              <w:rPr>
                <w:rFonts w:ascii="宋体" w:eastAsia="宋体" w:hAnsi="宋体" w:hint="eastAsia"/>
                <w:sz w:val="24"/>
                <w:szCs w:val="24"/>
              </w:rPr>
              <w:t>、</w:t>
            </w:r>
            <w:r w:rsidR="00BD5D22" w:rsidRPr="00934ADB">
              <w:rPr>
                <w:rFonts w:ascii="宋体" w:eastAsia="宋体" w:hAnsi="宋体"/>
                <w:sz w:val="24"/>
                <w:szCs w:val="24"/>
              </w:rPr>
              <w:t>钯催化剂</w:t>
            </w:r>
            <w:r w:rsidR="006E6B9A">
              <w:rPr>
                <w:rFonts w:ascii="宋体" w:eastAsia="宋体" w:hAnsi="宋体" w:hint="eastAsia"/>
                <w:sz w:val="24"/>
                <w:szCs w:val="24"/>
              </w:rPr>
              <w:t>销售额</w:t>
            </w:r>
            <w:r w:rsidR="00BD5D22" w:rsidRPr="00934ADB">
              <w:rPr>
                <w:rFonts w:ascii="宋体" w:eastAsia="宋体" w:hAnsi="宋体" w:hint="eastAsia"/>
                <w:sz w:val="24"/>
                <w:szCs w:val="24"/>
              </w:rPr>
              <w:t>同比增长较高</w:t>
            </w:r>
            <w:r w:rsidR="0089092E" w:rsidRPr="0089092E">
              <w:rPr>
                <w:rFonts w:ascii="宋体" w:eastAsia="宋体" w:hAnsi="宋体" w:hint="eastAsia"/>
                <w:sz w:val="24"/>
                <w:szCs w:val="24"/>
              </w:rPr>
              <w:t>。</w:t>
            </w:r>
          </w:p>
          <w:p w14:paraId="1998B3C2" w14:textId="77777777" w:rsidR="0089092E" w:rsidRDefault="0089092E" w:rsidP="0081595A">
            <w:pPr>
              <w:spacing w:line="360" w:lineRule="auto"/>
              <w:rPr>
                <w:rFonts w:ascii="宋体" w:eastAsia="宋体" w:hAnsi="宋体"/>
                <w:sz w:val="24"/>
                <w:szCs w:val="24"/>
              </w:rPr>
            </w:pPr>
          </w:p>
          <w:p w14:paraId="5042BBE4" w14:textId="0E67E379" w:rsidR="0081595A" w:rsidRPr="00C22341" w:rsidRDefault="0081595A" w:rsidP="0081595A">
            <w:pPr>
              <w:spacing w:line="360" w:lineRule="auto"/>
              <w:ind w:firstLineChars="200" w:firstLine="482"/>
              <w:rPr>
                <w:rFonts w:ascii="宋体" w:eastAsia="宋体" w:hAnsi="宋体"/>
                <w:b/>
                <w:bCs/>
                <w:sz w:val="24"/>
                <w:szCs w:val="24"/>
              </w:rPr>
            </w:pPr>
            <w:r>
              <w:rPr>
                <w:rFonts w:ascii="宋体" w:eastAsia="宋体" w:hAnsi="宋体" w:hint="eastAsia"/>
                <w:b/>
                <w:bCs/>
                <w:sz w:val="24"/>
                <w:szCs w:val="24"/>
              </w:rPr>
              <w:t>问题</w:t>
            </w:r>
            <w:r w:rsidRPr="00C22341">
              <w:rPr>
                <w:rFonts w:ascii="宋体" w:eastAsia="宋体" w:hAnsi="宋体" w:hint="eastAsia"/>
                <w:b/>
                <w:bCs/>
                <w:sz w:val="24"/>
                <w:szCs w:val="24"/>
              </w:rPr>
              <w:t>3</w:t>
            </w:r>
            <w:r w:rsidR="007240F6">
              <w:rPr>
                <w:rFonts w:ascii="宋体" w:eastAsia="宋体" w:hAnsi="宋体" w:hint="eastAsia"/>
                <w:b/>
                <w:bCs/>
                <w:sz w:val="24"/>
                <w:szCs w:val="24"/>
              </w:rPr>
              <w:t>.</w:t>
            </w:r>
            <w:r w:rsidR="00BD5D22" w:rsidRPr="00934ADB">
              <w:rPr>
                <w:rFonts w:ascii="宋体" w:eastAsia="宋体" w:hAnsi="宋体" w:hint="eastAsia"/>
                <w:b/>
                <w:bCs/>
                <w:sz w:val="24"/>
                <w:szCs w:val="24"/>
              </w:rPr>
              <w:t xml:space="preserve"> 公司产品的优势是什么？</w:t>
            </w:r>
          </w:p>
          <w:p w14:paraId="2B2EF445" w14:textId="51918B19" w:rsidR="0081595A" w:rsidRDefault="0081595A" w:rsidP="0081595A">
            <w:pPr>
              <w:spacing w:line="360" w:lineRule="auto"/>
              <w:ind w:firstLineChars="200" w:firstLine="480"/>
              <w:rPr>
                <w:rFonts w:ascii="宋体" w:eastAsia="宋体" w:hAnsi="宋体" w:cs="Helvetica"/>
                <w:color w:val="000000"/>
                <w:sz w:val="24"/>
                <w:szCs w:val="24"/>
                <w:shd w:val="clear" w:color="auto" w:fill="F9F9F9"/>
              </w:rPr>
            </w:pPr>
            <w:r>
              <w:rPr>
                <w:rFonts w:ascii="宋体" w:eastAsia="宋体" w:hAnsi="宋体" w:hint="eastAsia"/>
                <w:sz w:val="24"/>
                <w:szCs w:val="24"/>
              </w:rPr>
              <w:t>答：</w:t>
            </w:r>
            <w:r w:rsidR="00BD5D22" w:rsidRPr="00934ADB">
              <w:rPr>
                <w:rFonts w:ascii="宋体" w:eastAsia="宋体" w:hAnsi="宋体" w:hint="eastAsia"/>
                <w:sz w:val="24"/>
                <w:szCs w:val="24"/>
              </w:rPr>
              <w:t>公司经过多年发展，已经形成了较强的研发优势及技术优势，</w:t>
            </w:r>
            <w:r w:rsidR="00BD5D22" w:rsidRPr="00934ADB">
              <w:rPr>
                <w:rFonts w:ascii="宋体" w:eastAsia="宋体" w:hAnsi="宋体"/>
                <w:sz w:val="24"/>
                <w:szCs w:val="24"/>
              </w:rPr>
              <w:t>公司掌握了多项核心技术，</w:t>
            </w:r>
            <w:r w:rsidR="00BD5D22" w:rsidRPr="00934ADB">
              <w:rPr>
                <w:rFonts w:ascii="宋体" w:eastAsia="宋体" w:hAnsi="宋体" w:hint="eastAsia"/>
                <w:sz w:val="24"/>
                <w:szCs w:val="24"/>
              </w:rPr>
              <w:t>为辽宁省首家获得</w:t>
            </w:r>
            <w:r w:rsidR="00BD5D22" w:rsidRPr="00934ADB">
              <w:rPr>
                <w:rFonts w:ascii="宋体" w:eastAsia="宋体" w:hAnsi="宋体"/>
                <w:sz w:val="24"/>
                <w:szCs w:val="24"/>
              </w:rPr>
              <w:t>ISO 56005 2级证书</w:t>
            </w:r>
            <w:r w:rsidR="00BD5D22" w:rsidRPr="00934ADB">
              <w:rPr>
                <w:rFonts w:ascii="宋体" w:eastAsia="宋体" w:hAnsi="宋体" w:hint="eastAsia"/>
                <w:sz w:val="24"/>
                <w:szCs w:val="24"/>
              </w:rPr>
              <w:t>的</w:t>
            </w:r>
            <w:r w:rsidR="00BD5D22" w:rsidRPr="00934ADB">
              <w:rPr>
                <w:rFonts w:ascii="宋体" w:eastAsia="宋体" w:hAnsi="宋体"/>
                <w:sz w:val="24"/>
                <w:szCs w:val="24"/>
              </w:rPr>
              <w:t>企业</w:t>
            </w:r>
            <w:r w:rsidR="00BD5D22" w:rsidRPr="00934ADB">
              <w:rPr>
                <w:rFonts w:ascii="宋体" w:eastAsia="宋体" w:hAnsi="宋体" w:hint="eastAsia"/>
                <w:sz w:val="24"/>
                <w:szCs w:val="24"/>
              </w:rPr>
              <w:t>，截至2024年上半年末，公司及子公司累计获得国家专利</w:t>
            </w:r>
            <w:r w:rsidR="00BD5D22" w:rsidRPr="00934ADB">
              <w:rPr>
                <w:rFonts w:ascii="宋体" w:eastAsia="宋体" w:hAnsi="宋体"/>
                <w:sz w:val="24"/>
                <w:szCs w:val="24"/>
              </w:rPr>
              <w:t>237项</w:t>
            </w:r>
            <w:r w:rsidR="00BD5D22" w:rsidRPr="00934ADB">
              <w:rPr>
                <w:rFonts w:ascii="宋体" w:eastAsia="宋体" w:hAnsi="宋体" w:hint="eastAsia"/>
                <w:sz w:val="24"/>
                <w:szCs w:val="24"/>
              </w:rPr>
              <w:t>，</w:t>
            </w:r>
            <w:r w:rsidR="00BD5D22" w:rsidRPr="00934ADB">
              <w:rPr>
                <w:rFonts w:ascii="宋体" w:eastAsia="宋体" w:hAnsi="宋体"/>
                <w:sz w:val="24"/>
                <w:szCs w:val="24"/>
              </w:rPr>
              <w:t>多项专利已形成了公司主要产品及技术储备</w:t>
            </w:r>
            <w:r w:rsidR="00BD5D22" w:rsidRPr="00934ADB">
              <w:rPr>
                <w:rFonts w:ascii="宋体" w:eastAsia="宋体" w:hAnsi="宋体" w:hint="eastAsia"/>
                <w:sz w:val="24"/>
                <w:szCs w:val="24"/>
              </w:rPr>
              <w:t>，为公司长期发展奠定基础。同时公司在产品质量、配套工艺综合技术服务方面同样具有优势。公司通过了多项质量体系认证，建立了严格的质量控制标准。并且能够为客户设计相适应的工艺技术路线，提供全面的工艺技术服务</w:t>
            </w:r>
            <w:r w:rsidRPr="00AD1E7F">
              <w:rPr>
                <w:rFonts w:ascii="宋体" w:eastAsia="宋体" w:hAnsi="宋体" w:cs="Helvetica"/>
                <w:color w:val="000000"/>
                <w:sz w:val="24"/>
                <w:szCs w:val="24"/>
              </w:rPr>
              <w:t>。</w:t>
            </w:r>
          </w:p>
          <w:p w14:paraId="06AAB1A1" w14:textId="77777777" w:rsidR="00DB7624" w:rsidRDefault="00DB7624" w:rsidP="0081595A">
            <w:pPr>
              <w:spacing w:line="360" w:lineRule="auto"/>
              <w:ind w:firstLineChars="200" w:firstLine="482"/>
              <w:rPr>
                <w:rFonts w:ascii="宋体" w:eastAsia="宋体" w:hAnsi="宋体"/>
                <w:b/>
                <w:bCs/>
                <w:sz w:val="24"/>
                <w:szCs w:val="24"/>
              </w:rPr>
            </w:pPr>
          </w:p>
          <w:p w14:paraId="7D5F6C42" w14:textId="7D67801C" w:rsidR="0081595A" w:rsidRPr="00C22341" w:rsidRDefault="0081595A" w:rsidP="0081595A">
            <w:pPr>
              <w:spacing w:line="360" w:lineRule="auto"/>
              <w:ind w:firstLineChars="200" w:firstLine="482"/>
              <w:rPr>
                <w:rFonts w:ascii="宋体" w:eastAsia="宋体" w:hAnsi="宋体"/>
                <w:b/>
                <w:bCs/>
                <w:sz w:val="24"/>
                <w:szCs w:val="24"/>
              </w:rPr>
            </w:pPr>
            <w:r w:rsidRPr="00C22341">
              <w:rPr>
                <w:rFonts w:ascii="宋体" w:eastAsia="宋体" w:hAnsi="宋体" w:hint="eastAsia"/>
                <w:b/>
                <w:bCs/>
                <w:sz w:val="24"/>
                <w:szCs w:val="24"/>
              </w:rPr>
              <w:t>问</w:t>
            </w:r>
            <w:r>
              <w:rPr>
                <w:rFonts w:ascii="宋体" w:eastAsia="宋体" w:hAnsi="宋体" w:hint="eastAsia"/>
                <w:b/>
                <w:bCs/>
                <w:sz w:val="24"/>
                <w:szCs w:val="24"/>
              </w:rPr>
              <w:t>题</w:t>
            </w:r>
            <w:r w:rsidRPr="00C22341">
              <w:rPr>
                <w:rFonts w:ascii="宋体" w:eastAsia="宋体" w:hAnsi="宋体" w:hint="eastAsia"/>
                <w:b/>
                <w:bCs/>
                <w:sz w:val="24"/>
                <w:szCs w:val="24"/>
              </w:rPr>
              <w:t>4</w:t>
            </w:r>
            <w:r w:rsidR="007240F6">
              <w:rPr>
                <w:rFonts w:ascii="宋体" w:eastAsia="宋体" w:hAnsi="宋体" w:hint="eastAsia"/>
                <w:b/>
                <w:bCs/>
                <w:sz w:val="24"/>
                <w:szCs w:val="24"/>
              </w:rPr>
              <w:t>.</w:t>
            </w:r>
            <w:r w:rsidR="0089092E" w:rsidRPr="0089092E">
              <w:rPr>
                <w:rFonts w:ascii="宋体" w:eastAsia="宋体" w:hAnsi="宋体" w:hint="eastAsia"/>
                <w:b/>
                <w:bCs/>
                <w14:ligatures w14:val="standardContextual"/>
              </w:rPr>
              <w:t xml:space="preserve"> </w:t>
            </w:r>
            <w:r w:rsidR="00BD5D22" w:rsidRPr="00934ADB">
              <w:rPr>
                <w:rFonts w:ascii="宋体" w:eastAsia="宋体" w:hAnsi="宋体" w:hint="eastAsia"/>
                <w:b/>
                <w:bCs/>
                <w:sz w:val="24"/>
                <w:szCs w:val="24"/>
              </w:rPr>
              <w:t>客户使用移动源</w:t>
            </w:r>
            <w:r w:rsidR="006E6B9A">
              <w:rPr>
                <w:rFonts w:ascii="宋体" w:eastAsia="宋体" w:hAnsi="宋体" w:hint="eastAsia"/>
                <w:b/>
                <w:bCs/>
                <w:sz w:val="24"/>
                <w:szCs w:val="24"/>
              </w:rPr>
              <w:t>脱硝分子筛</w:t>
            </w:r>
            <w:r w:rsidR="00BD5D22" w:rsidRPr="00934ADB">
              <w:rPr>
                <w:rFonts w:ascii="宋体" w:eastAsia="宋体" w:hAnsi="宋体" w:hint="eastAsia"/>
                <w:b/>
                <w:bCs/>
                <w:sz w:val="24"/>
                <w:szCs w:val="24"/>
              </w:rPr>
              <w:t>产品更换周期一般是多久？更换标准是什么？技术迭代周期快么</w:t>
            </w:r>
            <w:r w:rsidR="006E6B9A">
              <w:rPr>
                <w:rFonts w:ascii="宋体" w:eastAsia="宋体" w:hAnsi="宋体" w:hint="eastAsia"/>
                <w:b/>
                <w:bCs/>
                <w:sz w:val="24"/>
                <w:szCs w:val="24"/>
              </w:rPr>
              <w:t>？</w:t>
            </w:r>
          </w:p>
          <w:p w14:paraId="4D99C541" w14:textId="2D250928" w:rsidR="0081595A" w:rsidRDefault="0081595A" w:rsidP="00DB7624">
            <w:pPr>
              <w:spacing w:line="360" w:lineRule="auto"/>
              <w:ind w:firstLineChars="200" w:firstLine="480"/>
              <w:rPr>
                <w:rFonts w:ascii="宋体" w:eastAsia="宋体" w:hAnsi="宋体"/>
                <w:sz w:val="24"/>
                <w:szCs w:val="24"/>
              </w:rPr>
            </w:pPr>
            <w:r w:rsidRPr="003276AE">
              <w:rPr>
                <w:rFonts w:ascii="宋体" w:eastAsia="宋体" w:hAnsi="宋体" w:hint="eastAsia"/>
                <w:sz w:val="24"/>
                <w:szCs w:val="24"/>
              </w:rPr>
              <w:t>答：</w:t>
            </w:r>
            <w:r w:rsidR="00BD5D22" w:rsidRPr="00934ADB">
              <w:rPr>
                <w:rFonts w:ascii="宋体" w:eastAsia="宋体" w:hAnsi="宋体" w:hint="eastAsia"/>
                <w:sz w:val="24"/>
                <w:szCs w:val="24"/>
              </w:rPr>
              <w:t>影响移动源</w:t>
            </w:r>
            <w:r w:rsidR="006E6B9A">
              <w:rPr>
                <w:rFonts w:ascii="宋体" w:eastAsia="宋体" w:hAnsi="宋体" w:hint="eastAsia"/>
                <w:sz w:val="24"/>
                <w:szCs w:val="24"/>
              </w:rPr>
              <w:t>脱硝</w:t>
            </w:r>
            <w:r w:rsidR="006E6B9A" w:rsidRPr="006E6B9A">
              <w:rPr>
                <w:rFonts w:ascii="宋体" w:eastAsia="宋体" w:hAnsi="宋体" w:hint="eastAsia"/>
                <w:sz w:val="24"/>
                <w:szCs w:val="24"/>
              </w:rPr>
              <w:t>分子筛</w:t>
            </w:r>
            <w:r w:rsidR="00BD5D22" w:rsidRPr="00934ADB">
              <w:rPr>
                <w:rFonts w:ascii="宋体" w:eastAsia="宋体" w:hAnsi="宋体" w:hint="eastAsia"/>
                <w:sz w:val="24"/>
                <w:szCs w:val="24"/>
              </w:rPr>
              <w:t>产品更换的因素较多，例如车辆行驶公里数、使用油品质量等。如果尾气排放达不到规定标准将会进行更换。移动源脱硝分子筛技术更新速度较快，</w:t>
            </w:r>
            <w:r w:rsidR="00DB7624">
              <w:rPr>
                <w:rFonts w:ascii="宋体" w:eastAsia="宋体" w:hAnsi="宋体" w:hint="eastAsia"/>
                <w:sz w:val="24"/>
                <w:szCs w:val="24"/>
              </w:rPr>
              <w:t>公司</w:t>
            </w:r>
            <w:r w:rsidR="00DB7624" w:rsidRPr="00DB7624">
              <w:rPr>
                <w:rFonts w:ascii="宋体" w:eastAsia="宋体" w:hAnsi="宋体" w:hint="eastAsia"/>
                <w:sz w:val="24"/>
                <w:szCs w:val="24"/>
              </w:rPr>
              <w:t>秉承“生产一代、储备一代、研发一代”的生产研发策略，持续推动现有产品的技术迭代，</w:t>
            </w:r>
            <w:r w:rsidR="00DB7624">
              <w:rPr>
                <w:rFonts w:ascii="宋体" w:eastAsia="宋体" w:hAnsi="宋体" w:hint="eastAsia"/>
                <w:sz w:val="24"/>
                <w:szCs w:val="24"/>
              </w:rPr>
              <w:t>目前公司</w:t>
            </w:r>
            <w:r w:rsidR="00DB7624" w:rsidRPr="00DB7624">
              <w:rPr>
                <w:rFonts w:ascii="宋体" w:eastAsia="宋体" w:hAnsi="宋体" w:hint="eastAsia"/>
                <w:sz w:val="24"/>
                <w:szCs w:val="24"/>
              </w:rPr>
              <w:t>已拥有的技术积淀能够为公司</w:t>
            </w:r>
            <w:r w:rsidR="00DB7624">
              <w:rPr>
                <w:rFonts w:ascii="宋体" w:eastAsia="宋体" w:hAnsi="宋体" w:hint="eastAsia"/>
                <w:sz w:val="24"/>
                <w:szCs w:val="24"/>
              </w:rPr>
              <w:t>在</w:t>
            </w:r>
            <w:r w:rsidR="00DB7624" w:rsidRPr="00DB7624">
              <w:rPr>
                <w:rFonts w:ascii="宋体" w:eastAsia="宋体" w:hAnsi="宋体" w:hint="eastAsia"/>
                <w:sz w:val="24"/>
                <w:szCs w:val="24"/>
              </w:rPr>
              <w:t>未来的市场竞争中提供一定竞争优势，并通过不断地技术研发</w:t>
            </w:r>
            <w:r w:rsidR="00DB7624">
              <w:rPr>
                <w:rFonts w:ascii="宋体" w:eastAsia="宋体" w:hAnsi="宋体" w:hint="eastAsia"/>
                <w:sz w:val="24"/>
                <w:szCs w:val="24"/>
              </w:rPr>
              <w:t>，</w:t>
            </w:r>
            <w:r w:rsidR="00DB7624" w:rsidRPr="00DB7624">
              <w:rPr>
                <w:rFonts w:ascii="宋体" w:eastAsia="宋体" w:hAnsi="宋体" w:hint="eastAsia"/>
                <w:sz w:val="24"/>
                <w:szCs w:val="24"/>
              </w:rPr>
              <w:t>提高产品质量，</w:t>
            </w:r>
            <w:r w:rsidR="00DB7624">
              <w:rPr>
                <w:rFonts w:ascii="宋体" w:eastAsia="宋体" w:hAnsi="宋体" w:hint="eastAsia"/>
                <w:sz w:val="24"/>
                <w:szCs w:val="24"/>
              </w:rPr>
              <w:t>以</w:t>
            </w:r>
            <w:r w:rsidR="00DB7624" w:rsidRPr="00934ADB">
              <w:rPr>
                <w:rFonts w:ascii="宋体" w:eastAsia="宋体" w:hAnsi="宋体" w:hint="eastAsia"/>
                <w:sz w:val="24"/>
                <w:szCs w:val="24"/>
              </w:rPr>
              <w:t>适应全球不同国家对尾气排放的标准的需要</w:t>
            </w:r>
            <w:r w:rsidR="00DB7624" w:rsidRPr="003276AE">
              <w:rPr>
                <w:rFonts w:ascii="宋体" w:eastAsia="宋体" w:hAnsi="宋体" w:hint="eastAsia"/>
                <w:sz w:val="24"/>
                <w:szCs w:val="24"/>
              </w:rPr>
              <w:t>。</w:t>
            </w:r>
          </w:p>
          <w:p w14:paraId="2D1581E5" w14:textId="77777777" w:rsidR="002816B0" w:rsidRPr="002816B0" w:rsidRDefault="002816B0" w:rsidP="00DB7624">
            <w:pPr>
              <w:spacing w:line="360" w:lineRule="auto"/>
              <w:ind w:firstLineChars="200" w:firstLine="480"/>
              <w:rPr>
                <w:rFonts w:ascii="宋体" w:eastAsia="宋体" w:hAnsi="宋体"/>
                <w:sz w:val="24"/>
                <w:szCs w:val="24"/>
              </w:rPr>
            </w:pPr>
          </w:p>
          <w:p w14:paraId="1F313591" w14:textId="2A420630" w:rsidR="0081595A" w:rsidRPr="00C22341" w:rsidRDefault="0081595A" w:rsidP="0081595A">
            <w:pPr>
              <w:spacing w:line="360" w:lineRule="auto"/>
              <w:ind w:firstLineChars="200" w:firstLine="482"/>
              <w:rPr>
                <w:rFonts w:ascii="宋体" w:eastAsia="宋体" w:hAnsi="宋体"/>
                <w:b/>
                <w:bCs/>
                <w:sz w:val="24"/>
                <w:szCs w:val="24"/>
              </w:rPr>
            </w:pPr>
            <w:r w:rsidRPr="00C22341">
              <w:rPr>
                <w:rFonts w:ascii="宋体" w:eastAsia="宋体" w:hAnsi="宋体" w:hint="eastAsia"/>
                <w:b/>
                <w:bCs/>
                <w:sz w:val="24"/>
                <w:szCs w:val="24"/>
              </w:rPr>
              <w:t>问</w:t>
            </w:r>
            <w:r>
              <w:rPr>
                <w:rFonts w:ascii="宋体" w:eastAsia="宋体" w:hAnsi="宋体" w:hint="eastAsia"/>
                <w:b/>
                <w:bCs/>
                <w:sz w:val="24"/>
                <w:szCs w:val="24"/>
              </w:rPr>
              <w:t>题</w:t>
            </w:r>
            <w:r w:rsidRPr="00C22341">
              <w:rPr>
                <w:rFonts w:ascii="宋体" w:eastAsia="宋体" w:hAnsi="宋体" w:hint="eastAsia"/>
                <w:b/>
                <w:bCs/>
                <w:sz w:val="24"/>
                <w:szCs w:val="24"/>
              </w:rPr>
              <w:t>5</w:t>
            </w:r>
            <w:r>
              <w:rPr>
                <w:rFonts w:ascii="宋体" w:eastAsia="宋体" w:hAnsi="宋体" w:hint="eastAsia"/>
                <w:b/>
                <w:bCs/>
                <w:sz w:val="24"/>
                <w:szCs w:val="24"/>
              </w:rPr>
              <w:t>.</w:t>
            </w:r>
            <w:r w:rsidR="0089092E" w:rsidRPr="0089092E">
              <w:rPr>
                <w:rFonts w:ascii="宋体" w:eastAsia="宋体" w:hAnsi="宋体" w:hint="eastAsia"/>
                <w:b/>
                <w:bCs/>
                <w14:ligatures w14:val="standardContextual"/>
              </w:rPr>
              <w:t xml:space="preserve"> </w:t>
            </w:r>
            <w:r w:rsidR="00BD5D22" w:rsidRPr="00934ADB">
              <w:rPr>
                <w:rFonts w:ascii="宋体" w:eastAsia="宋体" w:hAnsi="宋体" w:hint="eastAsia"/>
                <w:b/>
                <w:bCs/>
                <w:sz w:val="24"/>
                <w:szCs w:val="24"/>
              </w:rPr>
              <w:t>公司未来发展方向？</w:t>
            </w:r>
          </w:p>
          <w:p w14:paraId="3DE0C52E" w14:textId="19CBC0FA" w:rsidR="0081595A" w:rsidRDefault="0081595A" w:rsidP="0081595A">
            <w:pPr>
              <w:spacing w:line="360" w:lineRule="auto"/>
              <w:ind w:firstLineChars="200" w:firstLine="480"/>
              <w:rPr>
                <w:rFonts w:ascii="宋体" w:eastAsia="宋体" w:hAnsi="宋体"/>
                <w:sz w:val="24"/>
                <w:szCs w:val="24"/>
              </w:rPr>
            </w:pPr>
            <w:r>
              <w:rPr>
                <w:rFonts w:ascii="宋体" w:eastAsia="宋体" w:hAnsi="宋体" w:hint="eastAsia"/>
                <w:sz w:val="24"/>
                <w:szCs w:val="24"/>
              </w:rPr>
              <w:t>答：</w:t>
            </w:r>
            <w:r w:rsidR="00BD5D22" w:rsidRPr="00934ADB">
              <w:rPr>
                <w:rFonts w:ascii="宋体" w:eastAsia="宋体" w:hAnsi="宋体" w:hint="eastAsia"/>
                <w:sz w:val="24"/>
                <w:szCs w:val="24"/>
              </w:rPr>
              <w:t>公司未来发展方向主要有以下几个方面：1.继续夯实现有产品优势，利用多年积累的特种分子筛技术优势，拓宽产品应用范围，加速推广固定源脱硝分子筛产品在钢厂、电厂、</w:t>
            </w:r>
            <w:r w:rsidR="00BD5D22" w:rsidRPr="00934ADB">
              <w:rPr>
                <w:rFonts w:ascii="宋体" w:eastAsia="宋体" w:hAnsi="宋体" w:hint="eastAsia"/>
                <w:sz w:val="24"/>
                <w:szCs w:val="24"/>
              </w:rPr>
              <w:lastRenderedPageBreak/>
              <w:t>垃圾焚烧厂等废气处理的应用。2.大力推广发展金属催化剂，努力实现国产替代。3. 以“新材料”为发展突破方向，发展高纯氧化铝、高纯二氧化硅等产品，实现产品工业化</w:t>
            </w:r>
            <w:r w:rsidRPr="003276AE">
              <w:rPr>
                <w:rFonts w:ascii="宋体" w:eastAsia="宋体" w:hAnsi="宋体" w:hint="eastAsia"/>
                <w:sz w:val="24"/>
                <w:szCs w:val="24"/>
              </w:rPr>
              <w:t>。</w:t>
            </w:r>
          </w:p>
          <w:p w14:paraId="72F956D1" w14:textId="77777777" w:rsidR="0081595A" w:rsidRPr="00E361E0" w:rsidRDefault="0081595A" w:rsidP="0081595A">
            <w:pPr>
              <w:spacing w:line="360" w:lineRule="auto"/>
              <w:rPr>
                <w:rFonts w:ascii="宋体" w:eastAsia="宋体" w:hAnsi="宋体"/>
                <w:b/>
                <w:bCs/>
                <w:sz w:val="24"/>
                <w:szCs w:val="24"/>
              </w:rPr>
            </w:pPr>
          </w:p>
          <w:p w14:paraId="62847959" w14:textId="18340B6F" w:rsidR="0081595A" w:rsidRPr="00E361E0" w:rsidRDefault="0081595A" w:rsidP="0081595A">
            <w:pPr>
              <w:spacing w:line="360" w:lineRule="auto"/>
              <w:ind w:firstLineChars="200" w:firstLine="482"/>
              <w:rPr>
                <w:rFonts w:ascii="宋体" w:eastAsia="宋体" w:hAnsi="宋体"/>
                <w:b/>
                <w:bCs/>
                <w:sz w:val="24"/>
                <w:szCs w:val="24"/>
              </w:rPr>
            </w:pPr>
            <w:r w:rsidRPr="00E361E0">
              <w:rPr>
                <w:rFonts w:ascii="宋体" w:eastAsia="宋体" w:hAnsi="宋体" w:hint="eastAsia"/>
                <w:b/>
                <w:bCs/>
                <w:sz w:val="24"/>
                <w:szCs w:val="24"/>
              </w:rPr>
              <w:t>问题6</w:t>
            </w:r>
            <w:r>
              <w:rPr>
                <w:rFonts w:ascii="宋体" w:eastAsia="宋体" w:hAnsi="宋体" w:hint="eastAsia"/>
                <w:b/>
                <w:bCs/>
                <w:sz w:val="24"/>
                <w:szCs w:val="24"/>
              </w:rPr>
              <w:t>.</w:t>
            </w:r>
            <w:r w:rsidR="0089092E" w:rsidRPr="0089092E">
              <w:rPr>
                <w:rFonts w:ascii="宋体" w:eastAsia="宋体" w:hAnsi="宋体" w:hint="eastAsia"/>
                <w:b/>
                <w:bCs/>
                <w14:ligatures w14:val="standardContextual"/>
              </w:rPr>
              <w:t xml:space="preserve"> </w:t>
            </w:r>
            <w:r w:rsidR="00BD5D22" w:rsidRPr="00934ADB">
              <w:rPr>
                <w:rFonts w:ascii="宋体" w:eastAsia="宋体" w:hAnsi="宋体" w:hint="eastAsia"/>
                <w:b/>
                <w:bCs/>
                <w:sz w:val="24"/>
                <w:szCs w:val="24"/>
              </w:rPr>
              <w:t>公司的分红计划？是否有并购计划？</w:t>
            </w:r>
          </w:p>
          <w:p w14:paraId="306D5DB7" w14:textId="77777777" w:rsidR="000A5641" w:rsidRDefault="0081595A" w:rsidP="0081595A">
            <w:pPr>
              <w:adjustRightInd w:val="0"/>
              <w:snapToGrid w:val="0"/>
              <w:spacing w:line="360" w:lineRule="auto"/>
              <w:ind w:firstLineChars="200" w:firstLine="480"/>
              <w:contextualSpacing/>
              <w:rPr>
                <w:rFonts w:ascii="宋体" w:eastAsia="宋体" w:hAnsi="宋体"/>
                <w:sz w:val="24"/>
                <w:szCs w:val="24"/>
              </w:rPr>
            </w:pPr>
            <w:r>
              <w:rPr>
                <w:rFonts w:ascii="宋体" w:eastAsia="宋体" w:hAnsi="宋体" w:hint="eastAsia"/>
                <w:sz w:val="24"/>
                <w:szCs w:val="24"/>
              </w:rPr>
              <w:t>答：</w:t>
            </w:r>
            <w:r w:rsidR="00BD5D22" w:rsidRPr="00934ADB">
              <w:rPr>
                <w:rFonts w:ascii="宋体" w:eastAsia="宋体" w:hAnsi="宋体" w:hint="eastAsia"/>
                <w:sz w:val="24"/>
                <w:szCs w:val="24"/>
              </w:rPr>
              <w:t>公司将继续保持每年不低于净利润30%的比例标准进行分红。公司目前暂无并购重组方面的计划。未来公司将积极围绕主营业务，考察公司战略协同一致的优质企业，在合适时机推进资本运作事项</w:t>
            </w:r>
            <w:r w:rsidRPr="006E21D7">
              <w:rPr>
                <w:rFonts w:ascii="宋体" w:eastAsia="宋体" w:hAnsi="宋体" w:hint="eastAsia"/>
                <w:sz w:val="24"/>
                <w:szCs w:val="24"/>
              </w:rPr>
              <w:t>。</w:t>
            </w:r>
          </w:p>
          <w:p w14:paraId="1871FC4D" w14:textId="77777777" w:rsidR="00BD5D22" w:rsidRDefault="00BD5D22" w:rsidP="0081595A">
            <w:pPr>
              <w:adjustRightInd w:val="0"/>
              <w:snapToGrid w:val="0"/>
              <w:spacing w:line="360" w:lineRule="auto"/>
              <w:ind w:firstLineChars="200" w:firstLine="480"/>
              <w:contextualSpacing/>
              <w:rPr>
                <w:rFonts w:ascii="宋体" w:eastAsia="宋体" w:hAnsi="宋体"/>
                <w:sz w:val="24"/>
                <w:szCs w:val="24"/>
              </w:rPr>
            </w:pPr>
          </w:p>
          <w:p w14:paraId="4E9EAC3E" w14:textId="77777777" w:rsidR="00BD5D22" w:rsidRDefault="00BD5D22" w:rsidP="0081595A">
            <w:pPr>
              <w:adjustRightInd w:val="0"/>
              <w:snapToGrid w:val="0"/>
              <w:spacing w:line="360" w:lineRule="auto"/>
              <w:ind w:firstLineChars="200" w:firstLine="482"/>
              <w:contextualSpacing/>
              <w:rPr>
                <w:rFonts w:ascii="宋体" w:eastAsia="宋体" w:hAnsi="宋体"/>
                <w:b/>
                <w:bCs/>
                <w:sz w:val="24"/>
                <w:szCs w:val="24"/>
              </w:rPr>
            </w:pPr>
            <w:r w:rsidRPr="00E361E0">
              <w:rPr>
                <w:rFonts w:ascii="宋体" w:eastAsia="宋体" w:hAnsi="宋体" w:hint="eastAsia"/>
                <w:b/>
                <w:bCs/>
                <w:sz w:val="24"/>
                <w:szCs w:val="24"/>
              </w:rPr>
              <w:t>问题</w:t>
            </w:r>
            <w:r>
              <w:rPr>
                <w:rFonts w:ascii="宋体" w:eastAsia="宋体" w:hAnsi="宋体" w:hint="eastAsia"/>
                <w:b/>
                <w:bCs/>
                <w:sz w:val="24"/>
                <w:szCs w:val="24"/>
              </w:rPr>
              <w:t>7.</w:t>
            </w:r>
            <w:r w:rsidRPr="00934ADB">
              <w:rPr>
                <w:rFonts w:ascii="宋体" w:eastAsia="宋体" w:hAnsi="宋体" w:hint="eastAsia"/>
                <w:b/>
                <w:bCs/>
                <w:sz w:val="24"/>
                <w:szCs w:val="24"/>
              </w:rPr>
              <w:t xml:space="preserve"> 公司大客户集中度较高，前五大客户占比是多少？</w:t>
            </w:r>
          </w:p>
          <w:p w14:paraId="3E0B0C6C" w14:textId="06059179" w:rsidR="00BD5D22" w:rsidRPr="00DB60B9" w:rsidRDefault="00BD5D22" w:rsidP="0081595A">
            <w:pPr>
              <w:adjustRightInd w:val="0"/>
              <w:snapToGrid w:val="0"/>
              <w:spacing w:line="360" w:lineRule="auto"/>
              <w:ind w:firstLineChars="200" w:firstLine="480"/>
              <w:contextualSpacing/>
              <w:rPr>
                <w:rFonts w:ascii="宋体" w:eastAsia="宋体" w:hAnsi="宋体" w:cs="Times New Roman"/>
                <w:bCs/>
                <w:iCs/>
                <w:color w:val="000000"/>
                <w:sz w:val="24"/>
                <w:szCs w:val="24"/>
              </w:rPr>
            </w:pPr>
            <w:r w:rsidRPr="00BD5D22">
              <w:rPr>
                <w:rFonts w:ascii="宋体" w:eastAsia="宋体" w:hAnsi="宋体" w:hint="eastAsia"/>
                <w:sz w:val="24"/>
                <w:szCs w:val="24"/>
              </w:rPr>
              <w:t>答：</w:t>
            </w:r>
            <w:r w:rsidRPr="00934ADB">
              <w:rPr>
                <w:rFonts w:ascii="宋体" w:eastAsia="宋体" w:hAnsi="宋体" w:hint="eastAsia"/>
                <w:sz w:val="24"/>
                <w:szCs w:val="24"/>
              </w:rPr>
              <w:t>前五大客户占比</w:t>
            </w:r>
            <w:r w:rsidR="0080505B">
              <w:rPr>
                <w:rFonts w:ascii="宋体" w:eastAsia="宋体" w:hAnsi="宋体" w:hint="eastAsia"/>
                <w:sz w:val="24"/>
                <w:szCs w:val="24"/>
              </w:rPr>
              <w:t>约</w:t>
            </w:r>
            <w:r w:rsidRPr="00934ADB">
              <w:rPr>
                <w:rFonts w:ascii="宋体" w:eastAsia="宋体" w:hAnsi="宋体" w:hint="eastAsia"/>
                <w:sz w:val="24"/>
                <w:szCs w:val="24"/>
              </w:rPr>
              <w:t>为90%左右。</w:t>
            </w:r>
          </w:p>
        </w:tc>
      </w:tr>
      <w:tr w:rsidR="00747A31" w14:paraId="69545370" w14:textId="77777777" w:rsidTr="002C5AC6">
        <w:trPr>
          <w:trHeight w:val="507"/>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15F341A8" w14:textId="77777777" w:rsidR="00747A31" w:rsidRDefault="009F72BA">
            <w:pPr>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lastRenderedPageBreak/>
              <w:t>附件清单（如有）</w:t>
            </w:r>
          </w:p>
        </w:tc>
        <w:tc>
          <w:tcPr>
            <w:tcW w:w="6600" w:type="dxa"/>
            <w:tcBorders>
              <w:top w:val="single" w:sz="4" w:space="0" w:color="auto"/>
              <w:left w:val="single" w:sz="4" w:space="0" w:color="auto"/>
              <w:bottom w:val="single" w:sz="4" w:space="0" w:color="auto"/>
              <w:right w:val="single" w:sz="4" w:space="0" w:color="auto"/>
            </w:tcBorders>
            <w:shd w:val="clear" w:color="auto" w:fill="auto"/>
            <w:vAlign w:val="center"/>
          </w:tcPr>
          <w:p w14:paraId="302A7EEF" w14:textId="77777777" w:rsidR="00747A31" w:rsidRDefault="009F72BA">
            <w:pPr>
              <w:jc w:val="left"/>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无</w:t>
            </w:r>
          </w:p>
        </w:tc>
      </w:tr>
      <w:tr w:rsidR="00747A31" w14:paraId="2AB40FD8" w14:textId="77777777" w:rsidTr="002C5AC6">
        <w:trPr>
          <w:trHeight w:val="566"/>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6311EDDD" w14:textId="77777777" w:rsidR="00747A31" w:rsidRDefault="009F72BA">
            <w:pPr>
              <w:jc w:val="center"/>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日 期</w:t>
            </w:r>
          </w:p>
        </w:tc>
        <w:tc>
          <w:tcPr>
            <w:tcW w:w="6600" w:type="dxa"/>
            <w:tcBorders>
              <w:top w:val="single" w:sz="4" w:space="0" w:color="auto"/>
              <w:left w:val="single" w:sz="4" w:space="0" w:color="auto"/>
              <w:bottom w:val="single" w:sz="4" w:space="0" w:color="auto"/>
              <w:right w:val="single" w:sz="4" w:space="0" w:color="auto"/>
            </w:tcBorders>
            <w:shd w:val="clear" w:color="auto" w:fill="auto"/>
            <w:vAlign w:val="center"/>
          </w:tcPr>
          <w:p w14:paraId="41DF32FE" w14:textId="0B45BEF5" w:rsidR="00747A31" w:rsidRDefault="00567447">
            <w:pPr>
              <w:rPr>
                <w:rFonts w:ascii="Times New Roman" w:eastAsia="宋体" w:hAnsi="Times New Roman" w:cs="Times New Roman"/>
                <w:bCs/>
                <w:iCs/>
                <w:color w:val="000000"/>
                <w:sz w:val="24"/>
                <w:szCs w:val="24"/>
              </w:rPr>
            </w:pPr>
            <w:r>
              <w:rPr>
                <w:rFonts w:ascii="Times New Roman" w:eastAsia="宋体" w:hAnsi="Times New Roman" w:cs="Times New Roman" w:hint="eastAsia"/>
                <w:bCs/>
                <w:iCs/>
                <w:color w:val="000000"/>
                <w:sz w:val="24"/>
                <w:szCs w:val="24"/>
              </w:rPr>
              <w:t>2</w:t>
            </w:r>
            <w:r>
              <w:rPr>
                <w:rFonts w:ascii="Times New Roman" w:eastAsia="宋体" w:hAnsi="Times New Roman" w:cs="Times New Roman"/>
                <w:bCs/>
                <w:iCs/>
                <w:color w:val="000000"/>
                <w:sz w:val="24"/>
                <w:szCs w:val="24"/>
              </w:rPr>
              <w:t>02</w:t>
            </w:r>
            <w:r w:rsidR="008566DD">
              <w:rPr>
                <w:rFonts w:ascii="Times New Roman" w:eastAsia="宋体" w:hAnsi="Times New Roman" w:cs="Times New Roman"/>
                <w:bCs/>
                <w:iCs/>
                <w:color w:val="000000"/>
                <w:sz w:val="24"/>
                <w:szCs w:val="24"/>
              </w:rPr>
              <w:t>4</w:t>
            </w:r>
            <w:r>
              <w:rPr>
                <w:rFonts w:ascii="Times New Roman" w:eastAsia="宋体" w:hAnsi="Times New Roman" w:cs="Times New Roman"/>
                <w:bCs/>
                <w:iCs/>
                <w:color w:val="000000"/>
                <w:sz w:val="24"/>
                <w:szCs w:val="24"/>
              </w:rPr>
              <w:t>年</w:t>
            </w:r>
            <w:r w:rsidR="00A87441">
              <w:rPr>
                <w:rFonts w:ascii="Times New Roman" w:eastAsia="宋体" w:hAnsi="Times New Roman" w:cs="Times New Roman" w:hint="eastAsia"/>
                <w:bCs/>
                <w:iCs/>
                <w:color w:val="000000"/>
                <w:sz w:val="24"/>
                <w:szCs w:val="24"/>
              </w:rPr>
              <w:t>1</w:t>
            </w:r>
            <w:r w:rsidR="005D3652">
              <w:rPr>
                <w:rFonts w:ascii="Times New Roman" w:eastAsia="宋体" w:hAnsi="Times New Roman" w:cs="Times New Roman" w:hint="eastAsia"/>
                <w:bCs/>
                <w:iCs/>
                <w:color w:val="000000"/>
                <w:sz w:val="24"/>
                <w:szCs w:val="24"/>
              </w:rPr>
              <w:t>1</w:t>
            </w:r>
            <w:r>
              <w:rPr>
                <w:rFonts w:ascii="Times New Roman" w:eastAsia="宋体" w:hAnsi="Times New Roman" w:cs="Times New Roman" w:hint="eastAsia"/>
                <w:bCs/>
                <w:iCs/>
                <w:color w:val="000000"/>
                <w:sz w:val="24"/>
                <w:szCs w:val="24"/>
              </w:rPr>
              <w:t>月</w:t>
            </w:r>
            <w:r w:rsidR="00A87441">
              <w:rPr>
                <w:rFonts w:ascii="Times New Roman" w:eastAsia="宋体" w:hAnsi="Times New Roman" w:cs="Times New Roman" w:hint="eastAsia"/>
                <w:bCs/>
                <w:iCs/>
                <w:color w:val="000000"/>
                <w:sz w:val="24"/>
                <w:szCs w:val="24"/>
              </w:rPr>
              <w:t>2</w:t>
            </w:r>
            <w:r w:rsidR="005D3652">
              <w:rPr>
                <w:rFonts w:ascii="Times New Roman" w:eastAsia="宋体" w:hAnsi="Times New Roman" w:cs="Times New Roman" w:hint="eastAsia"/>
                <w:bCs/>
                <w:iCs/>
                <w:color w:val="000000"/>
                <w:sz w:val="24"/>
                <w:szCs w:val="24"/>
              </w:rPr>
              <w:t>1</w:t>
            </w:r>
            <w:r>
              <w:rPr>
                <w:rFonts w:ascii="Times New Roman" w:eastAsia="宋体" w:hAnsi="Times New Roman" w:cs="Times New Roman"/>
                <w:bCs/>
                <w:iCs/>
                <w:color w:val="000000"/>
                <w:sz w:val="24"/>
                <w:szCs w:val="24"/>
              </w:rPr>
              <w:t>日</w:t>
            </w:r>
          </w:p>
        </w:tc>
      </w:tr>
    </w:tbl>
    <w:p w14:paraId="530D5264" w14:textId="6DD2AF20" w:rsidR="00747A31" w:rsidRDefault="00747A31">
      <w:pPr>
        <w:rPr>
          <w:rFonts w:ascii="Times New Roman" w:eastAsia="宋体" w:hAnsi="Times New Roman" w:cs="Times New Roman"/>
          <w:szCs w:val="24"/>
        </w:rPr>
      </w:pPr>
    </w:p>
    <w:sectPr w:rsidR="00747A3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1AF72" w14:textId="77777777" w:rsidR="006709D1" w:rsidRDefault="006709D1" w:rsidP="00815C05">
      <w:r>
        <w:separator/>
      </w:r>
    </w:p>
  </w:endnote>
  <w:endnote w:type="continuationSeparator" w:id="0">
    <w:p w14:paraId="19338F8E" w14:textId="77777777" w:rsidR="006709D1" w:rsidRDefault="006709D1" w:rsidP="00815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A6556" w14:textId="77777777" w:rsidR="006709D1" w:rsidRDefault="006709D1" w:rsidP="00815C05">
      <w:r>
        <w:separator/>
      </w:r>
    </w:p>
  </w:footnote>
  <w:footnote w:type="continuationSeparator" w:id="0">
    <w:p w14:paraId="7FAFBFB8" w14:textId="77777777" w:rsidR="006709D1" w:rsidRDefault="006709D1" w:rsidP="00815C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BB0C0A"/>
    <w:multiLevelType w:val="hybridMultilevel"/>
    <w:tmpl w:val="14E4D4E8"/>
    <w:lvl w:ilvl="0" w:tplc="1FDCAB32">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 w15:restartNumberingAfterBreak="0">
    <w:nsid w:val="6E4519C2"/>
    <w:multiLevelType w:val="hybridMultilevel"/>
    <w:tmpl w:val="5FF4782A"/>
    <w:lvl w:ilvl="0" w:tplc="FB2099E4">
      <w:start w:val="1"/>
      <w:numFmt w:val="japaneseCounting"/>
      <w:lvlText w:val="%1、"/>
      <w:lvlJc w:val="left"/>
      <w:pPr>
        <w:ind w:left="960" w:hanging="48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num w:numId="1" w16cid:durableId="79985928">
    <w:abstractNumId w:val="1"/>
  </w:num>
  <w:num w:numId="2" w16cid:durableId="1617788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AAF"/>
    <w:rsid w:val="0001305C"/>
    <w:rsid w:val="00021D20"/>
    <w:rsid w:val="00026C9D"/>
    <w:rsid w:val="00031608"/>
    <w:rsid w:val="000378CE"/>
    <w:rsid w:val="000446F1"/>
    <w:rsid w:val="000546D4"/>
    <w:rsid w:val="00057030"/>
    <w:rsid w:val="00075F87"/>
    <w:rsid w:val="00085EC0"/>
    <w:rsid w:val="00086894"/>
    <w:rsid w:val="00092B98"/>
    <w:rsid w:val="000A2543"/>
    <w:rsid w:val="000A267F"/>
    <w:rsid w:val="000A5641"/>
    <w:rsid w:val="000B0145"/>
    <w:rsid w:val="000E24E7"/>
    <w:rsid w:val="000E35E1"/>
    <w:rsid w:val="000E66EC"/>
    <w:rsid w:val="000F7106"/>
    <w:rsid w:val="00101B32"/>
    <w:rsid w:val="00107552"/>
    <w:rsid w:val="00111916"/>
    <w:rsid w:val="00142F3E"/>
    <w:rsid w:val="001508E3"/>
    <w:rsid w:val="0015208D"/>
    <w:rsid w:val="0016774E"/>
    <w:rsid w:val="0017296C"/>
    <w:rsid w:val="00173E46"/>
    <w:rsid w:val="00197FD9"/>
    <w:rsid w:val="001B146A"/>
    <w:rsid w:val="001F78F0"/>
    <w:rsid w:val="00212AFB"/>
    <w:rsid w:val="0021415D"/>
    <w:rsid w:val="0022197E"/>
    <w:rsid w:val="00227531"/>
    <w:rsid w:val="002472F8"/>
    <w:rsid w:val="00255E0D"/>
    <w:rsid w:val="00276A13"/>
    <w:rsid w:val="002816B0"/>
    <w:rsid w:val="00286BDC"/>
    <w:rsid w:val="00290A0A"/>
    <w:rsid w:val="00294165"/>
    <w:rsid w:val="0029442C"/>
    <w:rsid w:val="00297748"/>
    <w:rsid w:val="002A3372"/>
    <w:rsid w:val="002A56ED"/>
    <w:rsid w:val="002A7551"/>
    <w:rsid w:val="002A7854"/>
    <w:rsid w:val="002B4310"/>
    <w:rsid w:val="002B75BA"/>
    <w:rsid w:val="002C056B"/>
    <w:rsid w:val="002C5AC6"/>
    <w:rsid w:val="002D082B"/>
    <w:rsid w:val="002D4889"/>
    <w:rsid w:val="002D4AE8"/>
    <w:rsid w:val="00345A97"/>
    <w:rsid w:val="0035103F"/>
    <w:rsid w:val="003733E7"/>
    <w:rsid w:val="003759E3"/>
    <w:rsid w:val="00381AFB"/>
    <w:rsid w:val="003A1F61"/>
    <w:rsid w:val="003B4824"/>
    <w:rsid w:val="003C1881"/>
    <w:rsid w:val="003C2DBC"/>
    <w:rsid w:val="003C5F4C"/>
    <w:rsid w:val="003D0EF5"/>
    <w:rsid w:val="003D12D1"/>
    <w:rsid w:val="003D165D"/>
    <w:rsid w:val="003E1B3B"/>
    <w:rsid w:val="003E2220"/>
    <w:rsid w:val="003E5ACC"/>
    <w:rsid w:val="003F0870"/>
    <w:rsid w:val="003F10E6"/>
    <w:rsid w:val="003F3A30"/>
    <w:rsid w:val="003F5EFA"/>
    <w:rsid w:val="00406FA3"/>
    <w:rsid w:val="004240A3"/>
    <w:rsid w:val="00424B2D"/>
    <w:rsid w:val="00456C35"/>
    <w:rsid w:val="004658CD"/>
    <w:rsid w:val="00475F34"/>
    <w:rsid w:val="004912C1"/>
    <w:rsid w:val="004922A6"/>
    <w:rsid w:val="004B0C0B"/>
    <w:rsid w:val="004C06AA"/>
    <w:rsid w:val="004C3D5D"/>
    <w:rsid w:val="004D1633"/>
    <w:rsid w:val="004E0FCB"/>
    <w:rsid w:val="00521AAA"/>
    <w:rsid w:val="00533828"/>
    <w:rsid w:val="00534768"/>
    <w:rsid w:val="00536E34"/>
    <w:rsid w:val="0055008F"/>
    <w:rsid w:val="00557F36"/>
    <w:rsid w:val="00565BE4"/>
    <w:rsid w:val="00567447"/>
    <w:rsid w:val="005A31D1"/>
    <w:rsid w:val="005B10AE"/>
    <w:rsid w:val="005D3652"/>
    <w:rsid w:val="005E3910"/>
    <w:rsid w:val="00601320"/>
    <w:rsid w:val="00615EA2"/>
    <w:rsid w:val="00621D5A"/>
    <w:rsid w:val="006337C4"/>
    <w:rsid w:val="006374D0"/>
    <w:rsid w:val="0064473C"/>
    <w:rsid w:val="00657069"/>
    <w:rsid w:val="006709D1"/>
    <w:rsid w:val="00670B4D"/>
    <w:rsid w:val="006734C8"/>
    <w:rsid w:val="006977EA"/>
    <w:rsid w:val="006B2C78"/>
    <w:rsid w:val="006B7D59"/>
    <w:rsid w:val="006D6EE1"/>
    <w:rsid w:val="006E3AD9"/>
    <w:rsid w:val="006E6B9A"/>
    <w:rsid w:val="006F05F4"/>
    <w:rsid w:val="006F0BC8"/>
    <w:rsid w:val="00723250"/>
    <w:rsid w:val="007240F6"/>
    <w:rsid w:val="00732B6B"/>
    <w:rsid w:val="00746623"/>
    <w:rsid w:val="0074782F"/>
    <w:rsid w:val="00747A31"/>
    <w:rsid w:val="00753299"/>
    <w:rsid w:val="0075431C"/>
    <w:rsid w:val="00761A95"/>
    <w:rsid w:val="00773D3A"/>
    <w:rsid w:val="007750F7"/>
    <w:rsid w:val="0077650D"/>
    <w:rsid w:val="00781396"/>
    <w:rsid w:val="007A0045"/>
    <w:rsid w:val="007B5853"/>
    <w:rsid w:val="007C21F9"/>
    <w:rsid w:val="007D54B9"/>
    <w:rsid w:val="007D553A"/>
    <w:rsid w:val="007E707F"/>
    <w:rsid w:val="0080005F"/>
    <w:rsid w:val="00800532"/>
    <w:rsid w:val="0080445F"/>
    <w:rsid w:val="0080505B"/>
    <w:rsid w:val="00813883"/>
    <w:rsid w:val="0081595A"/>
    <w:rsid w:val="00815C05"/>
    <w:rsid w:val="008415ED"/>
    <w:rsid w:val="00842E7F"/>
    <w:rsid w:val="00850428"/>
    <w:rsid w:val="0085571F"/>
    <w:rsid w:val="008566DD"/>
    <w:rsid w:val="008610CF"/>
    <w:rsid w:val="0086646C"/>
    <w:rsid w:val="00871934"/>
    <w:rsid w:val="00872F17"/>
    <w:rsid w:val="00873FE2"/>
    <w:rsid w:val="0087607D"/>
    <w:rsid w:val="0089092E"/>
    <w:rsid w:val="00892D71"/>
    <w:rsid w:val="0089629C"/>
    <w:rsid w:val="00896E17"/>
    <w:rsid w:val="008C3789"/>
    <w:rsid w:val="008C58B6"/>
    <w:rsid w:val="008F12EE"/>
    <w:rsid w:val="008F40EE"/>
    <w:rsid w:val="0091046F"/>
    <w:rsid w:val="00910929"/>
    <w:rsid w:val="00914692"/>
    <w:rsid w:val="009818D0"/>
    <w:rsid w:val="00983D7B"/>
    <w:rsid w:val="0099367E"/>
    <w:rsid w:val="009A4FBA"/>
    <w:rsid w:val="009B072A"/>
    <w:rsid w:val="009B2C3E"/>
    <w:rsid w:val="009B7403"/>
    <w:rsid w:val="009B78DD"/>
    <w:rsid w:val="009D7894"/>
    <w:rsid w:val="009F4245"/>
    <w:rsid w:val="009F72BA"/>
    <w:rsid w:val="00A07D69"/>
    <w:rsid w:val="00A07FC3"/>
    <w:rsid w:val="00A12E0E"/>
    <w:rsid w:val="00A13A36"/>
    <w:rsid w:val="00A23594"/>
    <w:rsid w:val="00A271C0"/>
    <w:rsid w:val="00A46A93"/>
    <w:rsid w:val="00A55706"/>
    <w:rsid w:val="00A87441"/>
    <w:rsid w:val="00AA579F"/>
    <w:rsid w:val="00AB5546"/>
    <w:rsid w:val="00AC27E2"/>
    <w:rsid w:val="00AD1E7F"/>
    <w:rsid w:val="00AD1E8F"/>
    <w:rsid w:val="00AD4D7B"/>
    <w:rsid w:val="00AD7A86"/>
    <w:rsid w:val="00AE417D"/>
    <w:rsid w:val="00AF04AD"/>
    <w:rsid w:val="00AF6D4D"/>
    <w:rsid w:val="00B045EB"/>
    <w:rsid w:val="00B11C15"/>
    <w:rsid w:val="00B368B1"/>
    <w:rsid w:val="00B43302"/>
    <w:rsid w:val="00B4488C"/>
    <w:rsid w:val="00B64DCA"/>
    <w:rsid w:val="00B71B00"/>
    <w:rsid w:val="00BB7E5F"/>
    <w:rsid w:val="00BC75BB"/>
    <w:rsid w:val="00BD5D22"/>
    <w:rsid w:val="00BF2D61"/>
    <w:rsid w:val="00C03550"/>
    <w:rsid w:val="00C077D8"/>
    <w:rsid w:val="00C113C7"/>
    <w:rsid w:val="00C30377"/>
    <w:rsid w:val="00C35A9D"/>
    <w:rsid w:val="00C37C0B"/>
    <w:rsid w:val="00C57C4D"/>
    <w:rsid w:val="00C72343"/>
    <w:rsid w:val="00C763A9"/>
    <w:rsid w:val="00C77E4F"/>
    <w:rsid w:val="00C829C2"/>
    <w:rsid w:val="00C90E74"/>
    <w:rsid w:val="00C954D5"/>
    <w:rsid w:val="00CB7447"/>
    <w:rsid w:val="00CC3644"/>
    <w:rsid w:val="00CD343B"/>
    <w:rsid w:val="00CE6649"/>
    <w:rsid w:val="00CE6AA2"/>
    <w:rsid w:val="00CF2040"/>
    <w:rsid w:val="00CF6746"/>
    <w:rsid w:val="00D071B9"/>
    <w:rsid w:val="00D14196"/>
    <w:rsid w:val="00D239DE"/>
    <w:rsid w:val="00D31770"/>
    <w:rsid w:val="00D434EB"/>
    <w:rsid w:val="00D612E6"/>
    <w:rsid w:val="00D759F5"/>
    <w:rsid w:val="00D95A4D"/>
    <w:rsid w:val="00DA6583"/>
    <w:rsid w:val="00DB60B9"/>
    <w:rsid w:val="00DB7624"/>
    <w:rsid w:val="00DE274A"/>
    <w:rsid w:val="00DE316E"/>
    <w:rsid w:val="00DE7CA5"/>
    <w:rsid w:val="00DF6B32"/>
    <w:rsid w:val="00DF70E1"/>
    <w:rsid w:val="00E03034"/>
    <w:rsid w:val="00E1244B"/>
    <w:rsid w:val="00E17821"/>
    <w:rsid w:val="00E25B89"/>
    <w:rsid w:val="00E25D5E"/>
    <w:rsid w:val="00E35565"/>
    <w:rsid w:val="00E42E14"/>
    <w:rsid w:val="00E5301A"/>
    <w:rsid w:val="00E612B4"/>
    <w:rsid w:val="00E64056"/>
    <w:rsid w:val="00E76AED"/>
    <w:rsid w:val="00E77B16"/>
    <w:rsid w:val="00E8522F"/>
    <w:rsid w:val="00E8552A"/>
    <w:rsid w:val="00E969EF"/>
    <w:rsid w:val="00EA7329"/>
    <w:rsid w:val="00EC2F9F"/>
    <w:rsid w:val="00EC7DEA"/>
    <w:rsid w:val="00ED5A30"/>
    <w:rsid w:val="00EE0B9E"/>
    <w:rsid w:val="00EE233A"/>
    <w:rsid w:val="00F141A7"/>
    <w:rsid w:val="00F15AAF"/>
    <w:rsid w:val="00F300E9"/>
    <w:rsid w:val="00F30BF0"/>
    <w:rsid w:val="00F314CA"/>
    <w:rsid w:val="00F37520"/>
    <w:rsid w:val="00F44EC1"/>
    <w:rsid w:val="00F52AF6"/>
    <w:rsid w:val="00F82719"/>
    <w:rsid w:val="00F943D3"/>
    <w:rsid w:val="00F94462"/>
    <w:rsid w:val="00FA6109"/>
    <w:rsid w:val="00FB7241"/>
    <w:rsid w:val="00FC0573"/>
    <w:rsid w:val="00FC057A"/>
    <w:rsid w:val="00FE6A47"/>
    <w:rsid w:val="00FE7934"/>
    <w:rsid w:val="00FF1100"/>
    <w:rsid w:val="00FF24B3"/>
    <w:rsid w:val="0CB107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A14E3A"/>
  <w15:docId w15:val="{9B6EF42C-0241-49FA-93F6-561CA5F39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pPr>
      <w:ind w:left="120"/>
    </w:pPr>
    <w:rPr>
      <w:rFonts w:ascii="Microsoft JhengHei" w:eastAsia="Microsoft JhengHei" w:hAnsi="Microsoft JhengHei"/>
      <w:b/>
      <w:sz w:val="30"/>
      <w:szCs w:val="30"/>
    </w:r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footnote text"/>
    <w:basedOn w:val="a"/>
    <w:link w:val="ac"/>
    <w:uiPriority w:val="99"/>
    <w:semiHidden/>
    <w:unhideWhenUsed/>
    <w:qFormat/>
    <w:pPr>
      <w:widowControl/>
      <w:snapToGrid w:val="0"/>
      <w:spacing w:line="360" w:lineRule="auto"/>
      <w:jc w:val="left"/>
    </w:pPr>
    <w:rPr>
      <w:rFonts w:ascii="宋体" w:eastAsia="宋体" w:hAnsi="宋体" w:cs="宋体"/>
      <w:kern w:val="0"/>
      <w:sz w:val="18"/>
      <w:szCs w:val="18"/>
    </w:rPr>
  </w:style>
  <w:style w:type="table" w:styleId="ad">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qFormat/>
    <w:rPr>
      <w:b/>
    </w:rPr>
  </w:style>
  <w:style w:type="character" w:styleId="af">
    <w:name w:val="footnote reference"/>
    <w:uiPriority w:val="99"/>
    <w:qFormat/>
    <w:rPr>
      <w:vertAlign w:val="superscript"/>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paragraph" w:styleId="af0">
    <w:name w:val="List Paragraph"/>
    <w:basedOn w:val="a"/>
    <w:uiPriority w:val="34"/>
    <w:qFormat/>
    <w:pPr>
      <w:ind w:firstLineChars="200" w:firstLine="420"/>
    </w:pPr>
  </w:style>
  <w:style w:type="character" w:customStyle="1" w:styleId="a6">
    <w:name w:val="批注框文本 字符"/>
    <w:basedOn w:val="a0"/>
    <w:link w:val="a5"/>
    <w:uiPriority w:val="99"/>
    <w:semiHidden/>
    <w:rPr>
      <w:sz w:val="18"/>
      <w:szCs w:val="18"/>
    </w:rPr>
  </w:style>
  <w:style w:type="character" w:customStyle="1" w:styleId="a4">
    <w:name w:val="正文文本 字符"/>
    <w:basedOn w:val="a0"/>
    <w:link w:val="a3"/>
    <w:uiPriority w:val="1"/>
    <w:rPr>
      <w:rFonts w:ascii="Microsoft JhengHei" w:eastAsia="Microsoft JhengHei" w:hAnsi="Microsoft JhengHei"/>
      <w:b/>
      <w:sz w:val="30"/>
      <w:szCs w:val="30"/>
    </w:rPr>
  </w:style>
  <w:style w:type="paragraph" w:customStyle="1" w:styleId="005">
    <w:name w:val="005正文"/>
    <w:basedOn w:val="a"/>
    <w:qFormat/>
    <w:pPr>
      <w:spacing w:beforeLines="50"/>
    </w:pPr>
    <w:rPr>
      <w:rFonts w:ascii="Times New Roman" w:hAnsi="Times New Roman" w:cs="Times New Roman"/>
      <w:b/>
      <w:sz w:val="24"/>
      <w:szCs w:val="24"/>
    </w:rPr>
  </w:style>
  <w:style w:type="character" w:customStyle="1" w:styleId="ac">
    <w:name w:val="脚注文本 字符"/>
    <w:basedOn w:val="a0"/>
    <w:link w:val="ab"/>
    <w:uiPriority w:val="99"/>
    <w:semiHidden/>
    <w:qFormat/>
    <w:rPr>
      <w:rFonts w:ascii="宋体" w:eastAsia="宋体" w:hAnsi="宋体" w:cs="宋体"/>
      <w:kern w:val="0"/>
      <w:sz w:val="18"/>
      <w:szCs w:val="18"/>
    </w:rPr>
  </w:style>
  <w:style w:type="character" w:customStyle="1" w:styleId="fontstyle01">
    <w:name w:val="fontstyle01"/>
    <w:basedOn w:val="a0"/>
    <w:rsid w:val="000E24E7"/>
    <w:rPr>
      <w:rFonts w:ascii="宋体" w:eastAsia="宋体" w:hAnsi="宋体" w:hint="eastAsia"/>
      <w:b w:val="0"/>
      <w:bCs w:val="0"/>
      <w:i w:val="0"/>
      <w:iCs w:val="0"/>
      <w:color w:val="000000"/>
      <w:sz w:val="24"/>
      <w:szCs w:val="24"/>
    </w:rPr>
  </w:style>
  <w:style w:type="paragraph" w:styleId="af1">
    <w:name w:val="Revision"/>
    <w:hidden/>
    <w:uiPriority w:val="99"/>
    <w:semiHidden/>
    <w:rsid w:val="009B7403"/>
    <w:rPr>
      <w:kern w:val="2"/>
      <w:sz w:val="21"/>
      <w:szCs w:val="22"/>
    </w:rPr>
  </w:style>
  <w:style w:type="paragraph" w:styleId="HTML">
    <w:name w:val="HTML Preformatted"/>
    <w:basedOn w:val="a"/>
    <w:link w:val="HTML0"/>
    <w:uiPriority w:val="99"/>
    <w:semiHidden/>
    <w:unhideWhenUsed/>
    <w:rsid w:val="00983D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uiPriority w:val="99"/>
    <w:semiHidden/>
    <w:rsid w:val="00983D7B"/>
    <w:rPr>
      <w:rFonts w:ascii="宋体" w:eastAsia="宋体" w:hAnsi="宋体" w:cs="宋体"/>
      <w:sz w:val="24"/>
      <w:szCs w:val="24"/>
    </w:rPr>
  </w:style>
  <w:style w:type="paragraph" w:customStyle="1" w:styleId="TableParagraph">
    <w:name w:val="Table Paragraph"/>
    <w:basedOn w:val="a"/>
    <w:uiPriority w:val="1"/>
    <w:qFormat/>
    <w:rsid w:val="00A87441"/>
    <w:pPr>
      <w:autoSpaceDE w:val="0"/>
      <w:autoSpaceDN w:val="0"/>
      <w:ind w:left="107"/>
      <w:jc w:val="left"/>
    </w:pPr>
    <w:rPr>
      <w:rFonts w:ascii="宋体" w:eastAsia="宋体" w:hAnsi="宋体" w:cs="宋体"/>
      <w:kern w:val="0"/>
      <w:sz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66194">
      <w:bodyDiv w:val="1"/>
      <w:marLeft w:val="0"/>
      <w:marRight w:val="0"/>
      <w:marTop w:val="0"/>
      <w:marBottom w:val="0"/>
      <w:divBdr>
        <w:top w:val="none" w:sz="0" w:space="0" w:color="auto"/>
        <w:left w:val="none" w:sz="0" w:space="0" w:color="auto"/>
        <w:bottom w:val="none" w:sz="0" w:space="0" w:color="auto"/>
        <w:right w:val="none" w:sz="0" w:space="0" w:color="auto"/>
      </w:divBdr>
    </w:div>
    <w:div w:id="85855533">
      <w:bodyDiv w:val="1"/>
      <w:marLeft w:val="0"/>
      <w:marRight w:val="0"/>
      <w:marTop w:val="0"/>
      <w:marBottom w:val="0"/>
      <w:divBdr>
        <w:top w:val="none" w:sz="0" w:space="0" w:color="auto"/>
        <w:left w:val="none" w:sz="0" w:space="0" w:color="auto"/>
        <w:bottom w:val="none" w:sz="0" w:space="0" w:color="auto"/>
        <w:right w:val="none" w:sz="0" w:space="0" w:color="auto"/>
      </w:divBdr>
    </w:div>
    <w:div w:id="156313320">
      <w:bodyDiv w:val="1"/>
      <w:marLeft w:val="0"/>
      <w:marRight w:val="0"/>
      <w:marTop w:val="0"/>
      <w:marBottom w:val="0"/>
      <w:divBdr>
        <w:top w:val="none" w:sz="0" w:space="0" w:color="auto"/>
        <w:left w:val="none" w:sz="0" w:space="0" w:color="auto"/>
        <w:bottom w:val="none" w:sz="0" w:space="0" w:color="auto"/>
        <w:right w:val="none" w:sz="0" w:space="0" w:color="auto"/>
      </w:divBdr>
    </w:div>
    <w:div w:id="163402784">
      <w:bodyDiv w:val="1"/>
      <w:marLeft w:val="0"/>
      <w:marRight w:val="0"/>
      <w:marTop w:val="0"/>
      <w:marBottom w:val="0"/>
      <w:divBdr>
        <w:top w:val="none" w:sz="0" w:space="0" w:color="auto"/>
        <w:left w:val="none" w:sz="0" w:space="0" w:color="auto"/>
        <w:bottom w:val="none" w:sz="0" w:space="0" w:color="auto"/>
        <w:right w:val="none" w:sz="0" w:space="0" w:color="auto"/>
      </w:divBdr>
    </w:div>
    <w:div w:id="184834988">
      <w:bodyDiv w:val="1"/>
      <w:marLeft w:val="0"/>
      <w:marRight w:val="0"/>
      <w:marTop w:val="0"/>
      <w:marBottom w:val="0"/>
      <w:divBdr>
        <w:top w:val="none" w:sz="0" w:space="0" w:color="auto"/>
        <w:left w:val="none" w:sz="0" w:space="0" w:color="auto"/>
        <w:bottom w:val="none" w:sz="0" w:space="0" w:color="auto"/>
        <w:right w:val="none" w:sz="0" w:space="0" w:color="auto"/>
      </w:divBdr>
    </w:div>
    <w:div w:id="208416671">
      <w:bodyDiv w:val="1"/>
      <w:marLeft w:val="0"/>
      <w:marRight w:val="0"/>
      <w:marTop w:val="0"/>
      <w:marBottom w:val="0"/>
      <w:divBdr>
        <w:top w:val="none" w:sz="0" w:space="0" w:color="auto"/>
        <w:left w:val="none" w:sz="0" w:space="0" w:color="auto"/>
        <w:bottom w:val="none" w:sz="0" w:space="0" w:color="auto"/>
        <w:right w:val="none" w:sz="0" w:space="0" w:color="auto"/>
      </w:divBdr>
    </w:div>
    <w:div w:id="283198269">
      <w:bodyDiv w:val="1"/>
      <w:marLeft w:val="0"/>
      <w:marRight w:val="0"/>
      <w:marTop w:val="0"/>
      <w:marBottom w:val="0"/>
      <w:divBdr>
        <w:top w:val="none" w:sz="0" w:space="0" w:color="auto"/>
        <w:left w:val="none" w:sz="0" w:space="0" w:color="auto"/>
        <w:bottom w:val="none" w:sz="0" w:space="0" w:color="auto"/>
        <w:right w:val="none" w:sz="0" w:space="0" w:color="auto"/>
      </w:divBdr>
    </w:div>
    <w:div w:id="343483371">
      <w:bodyDiv w:val="1"/>
      <w:marLeft w:val="0"/>
      <w:marRight w:val="0"/>
      <w:marTop w:val="0"/>
      <w:marBottom w:val="0"/>
      <w:divBdr>
        <w:top w:val="none" w:sz="0" w:space="0" w:color="auto"/>
        <w:left w:val="none" w:sz="0" w:space="0" w:color="auto"/>
        <w:bottom w:val="none" w:sz="0" w:space="0" w:color="auto"/>
        <w:right w:val="none" w:sz="0" w:space="0" w:color="auto"/>
      </w:divBdr>
    </w:div>
    <w:div w:id="347603682">
      <w:bodyDiv w:val="1"/>
      <w:marLeft w:val="0"/>
      <w:marRight w:val="0"/>
      <w:marTop w:val="0"/>
      <w:marBottom w:val="0"/>
      <w:divBdr>
        <w:top w:val="none" w:sz="0" w:space="0" w:color="auto"/>
        <w:left w:val="none" w:sz="0" w:space="0" w:color="auto"/>
        <w:bottom w:val="none" w:sz="0" w:space="0" w:color="auto"/>
        <w:right w:val="none" w:sz="0" w:space="0" w:color="auto"/>
      </w:divBdr>
    </w:div>
    <w:div w:id="370109111">
      <w:bodyDiv w:val="1"/>
      <w:marLeft w:val="0"/>
      <w:marRight w:val="0"/>
      <w:marTop w:val="0"/>
      <w:marBottom w:val="0"/>
      <w:divBdr>
        <w:top w:val="none" w:sz="0" w:space="0" w:color="auto"/>
        <w:left w:val="none" w:sz="0" w:space="0" w:color="auto"/>
        <w:bottom w:val="none" w:sz="0" w:space="0" w:color="auto"/>
        <w:right w:val="none" w:sz="0" w:space="0" w:color="auto"/>
      </w:divBdr>
    </w:div>
    <w:div w:id="393087985">
      <w:bodyDiv w:val="1"/>
      <w:marLeft w:val="0"/>
      <w:marRight w:val="0"/>
      <w:marTop w:val="0"/>
      <w:marBottom w:val="0"/>
      <w:divBdr>
        <w:top w:val="none" w:sz="0" w:space="0" w:color="auto"/>
        <w:left w:val="none" w:sz="0" w:space="0" w:color="auto"/>
        <w:bottom w:val="none" w:sz="0" w:space="0" w:color="auto"/>
        <w:right w:val="none" w:sz="0" w:space="0" w:color="auto"/>
      </w:divBdr>
    </w:div>
    <w:div w:id="518281518">
      <w:bodyDiv w:val="1"/>
      <w:marLeft w:val="0"/>
      <w:marRight w:val="0"/>
      <w:marTop w:val="0"/>
      <w:marBottom w:val="0"/>
      <w:divBdr>
        <w:top w:val="none" w:sz="0" w:space="0" w:color="auto"/>
        <w:left w:val="none" w:sz="0" w:space="0" w:color="auto"/>
        <w:bottom w:val="none" w:sz="0" w:space="0" w:color="auto"/>
        <w:right w:val="none" w:sz="0" w:space="0" w:color="auto"/>
      </w:divBdr>
    </w:div>
    <w:div w:id="622006323">
      <w:bodyDiv w:val="1"/>
      <w:marLeft w:val="0"/>
      <w:marRight w:val="0"/>
      <w:marTop w:val="0"/>
      <w:marBottom w:val="0"/>
      <w:divBdr>
        <w:top w:val="none" w:sz="0" w:space="0" w:color="auto"/>
        <w:left w:val="none" w:sz="0" w:space="0" w:color="auto"/>
        <w:bottom w:val="none" w:sz="0" w:space="0" w:color="auto"/>
        <w:right w:val="none" w:sz="0" w:space="0" w:color="auto"/>
      </w:divBdr>
    </w:div>
    <w:div w:id="743651659">
      <w:bodyDiv w:val="1"/>
      <w:marLeft w:val="0"/>
      <w:marRight w:val="0"/>
      <w:marTop w:val="0"/>
      <w:marBottom w:val="0"/>
      <w:divBdr>
        <w:top w:val="none" w:sz="0" w:space="0" w:color="auto"/>
        <w:left w:val="none" w:sz="0" w:space="0" w:color="auto"/>
        <w:bottom w:val="none" w:sz="0" w:space="0" w:color="auto"/>
        <w:right w:val="none" w:sz="0" w:space="0" w:color="auto"/>
      </w:divBdr>
    </w:div>
    <w:div w:id="785664432">
      <w:bodyDiv w:val="1"/>
      <w:marLeft w:val="0"/>
      <w:marRight w:val="0"/>
      <w:marTop w:val="0"/>
      <w:marBottom w:val="0"/>
      <w:divBdr>
        <w:top w:val="none" w:sz="0" w:space="0" w:color="auto"/>
        <w:left w:val="none" w:sz="0" w:space="0" w:color="auto"/>
        <w:bottom w:val="none" w:sz="0" w:space="0" w:color="auto"/>
        <w:right w:val="none" w:sz="0" w:space="0" w:color="auto"/>
      </w:divBdr>
    </w:div>
    <w:div w:id="955798247">
      <w:bodyDiv w:val="1"/>
      <w:marLeft w:val="0"/>
      <w:marRight w:val="0"/>
      <w:marTop w:val="0"/>
      <w:marBottom w:val="0"/>
      <w:divBdr>
        <w:top w:val="none" w:sz="0" w:space="0" w:color="auto"/>
        <w:left w:val="none" w:sz="0" w:space="0" w:color="auto"/>
        <w:bottom w:val="none" w:sz="0" w:space="0" w:color="auto"/>
        <w:right w:val="none" w:sz="0" w:space="0" w:color="auto"/>
      </w:divBdr>
      <w:divsChild>
        <w:div w:id="1575045063">
          <w:marLeft w:val="0"/>
          <w:marRight w:val="0"/>
          <w:marTop w:val="0"/>
          <w:marBottom w:val="0"/>
          <w:divBdr>
            <w:top w:val="none" w:sz="0" w:space="0" w:color="auto"/>
            <w:left w:val="none" w:sz="0" w:space="0" w:color="auto"/>
            <w:bottom w:val="none" w:sz="0" w:space="0" w:color="auto"/>
            <w:right w:val="none" w:sz="0" w:space="0" w:color="auto"/>
          </w:divBdr>
          <w:divsChild>
            <w:div w:id="218709309">
              <w:marLeft w:val="0"/>
              <w:marRight w:val="0"/>
              <w:marTop w:val="0"/>
              <w:marBottom w:val="0"/>
              <w:divBdr>
                <w:top w:val="none" w:sz="0" w:space="0" w:color="auto"/>
                <w:left w:val="none" w:sz="0" w:space="0" w:color="auto"/>
                <w:bottom w:val="none" w:sz="0" w:space="0" w:color="auto"/>
                <w:right w:val="none" w:sz="0" w:space="0" w:color="auto"/>
              </w:divBdr>
              <w:divsChild>
                <w:div w:id="1751807528">
                  <w:marLeft w:val="0"/>
                  <w:marRight w:val="0"/>
                  <w:marTop w:val="0"/>
                  <w:marBottom w:val="0"/>
                  <w:divBdr>
                    <w:top w:val="none" w:sz="0" w:space="0" w:color="auto"/>
                    <w:left w:val="none" w:sz="0" w:space="0" w:color="auto"/>
                    <w:bottom w:val="none" w:sz="0" w:space="0" w:color="auto"/>
                    <w:right w:val="none" w:sz="0" w:space="0" w:color="auto"/>
                  </w:divBdr>
                  <w:divsChild>
                    <w:div w:id="505948626">
                      <w:marLeft w:val="0"/>
                      <w:marRight w:val="0"/>
                      <w:marTop w:val="0"/>
                      <w:marBottom w:val="0"/>
                      <w:divBdr>
                        <w:top w:val="none" w:sz="0" w:space="0" w:color="auto"/>
                        <w:left w:val="none" w:sz="0" w:space="0" w:color="auto"/>
                        <w:bottom w:val="none" w:sz="0" w:space="0" w:color="auto"/>
                        <w:right w:val="none" w:sz="0" w:space="0" w:color="auto"/>
                      </w:divBdr>
                      <w:divsChild>
                        <w:div w:id="527252852">
                          <w:marLeft w:val="0"/>
                          <w:marRight w:val="0"/>
                          <w:marTop w:val="0"/>
                          <w:marBottom w:val="0"/>
                          <w:divBdr>
                            <w:top w:val="none" w:sz="0" w:space="0" w:color="auto"/>
                            <w:left w:val="none" w:sz="0" w:space="0" w:color="auto"/>
                            <w:bottom w:val="none" w:sz="0" w:space="0" w:color="auto"/>
                            <w:right w:val="none" w:sz="0" w:space="0" w:color="auto"/>
                          </w:divBdr>
                          <w:divsChild>
                            <w:div w:id="850876917">
                              <w:marLeft w:val="4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2632254">
      <w:bodyDiv w:val="1"/>
      <w:marLeft w:val="0"/>
      <w:marRight w:val="0"/>
      <w:marTop w:val="0"/>
      <w:marBottom w:val="0"/>
      <w:divBdr>
        <w:top w:val="none" w:sz="0" w:space="0" w:color="auto"/>
        <w:left w:val="none" w:sz="0" w:space="0" w:color="auto"/>
        <w:bottom w:val="none" w:sz="0" w:space="0" w:color="auto"/>
        <w:right w:val="none" w:sz="0" w:space="0" w:color="auto"/>
      </w:divBdr>
    </w:div>
    <w:div w:id="1132594631">
      <w:bodyDiv w:val="1"/>
      <w:marLeft w:val="0"/>
      <w:marRight w:val="0"/>
      <w:marTop w:val="0"/>
      <w:marBottom w:val="0"/>
      <w:divBdr>
        <w:top w:val="none" w:sz="0" w:space="0" w:color="auto"/>
        <w:left w:val="none" w:sz="0" w:space="0" w:color="auto"/>
        <w:bottom w:val="none" w:sz="0" w:space="0" w:color="auto"/>
        <w:right w:val="none" w:sz="0" w:space="0" w:color="auto"/>
      </w:divBdr>
    </w:div>
    <w:div w:id="1336034796">
      <w:bodyDiv w:val="1"/>
      <w:marLeft w:val="0"/>
      <w:marRight w:val="0"/>
      <w:marTop w:val="0"/>
      <w:marBottom w:val="0"/>
      <w:divBdr>
        <w:top w:val="none" w:sz="0" w:space="0" w:color="auto"/>
        <w:left w:val="none" w:sz="0" w:space="0" w:color="auto"/>
        <w:bottom w:val="none" w:sz="0" w:space="0" w:color="auto"/>
        <w:right w:val="none" w:sz="0" w:space="0" w:color="auto"/>
      </w:divBdr>
    </w:div>
    <w:div w:id="1575237525">
      <w:bodyDiv w:val="1"/>
      <w:marLeft w:val="0"/>
      <w:marRight w:val="0"/>
      <w:marTop w:val="0"/>
      <w:marBottom w:val="0"/>
      <w:divBdr>
        <w:top w:val="none" w:sz="0" w:space="0" w:color="auto"/>
        <w:left w:val="none" w:sz="0" w:space="0" w:color="auto"/>
        <w:bottom w:val="none" w:sz="0" w:space="0" w:color="auto"/>
        <w:right w:val="none" w:sz="0" w:space="0" w:color="auto"/>
      </w:divBdr>
    </w:div>
    <w:div w:id="1602879855">
      <w:bodyDiv w:val="1"/>
      <w:marLeft w:val="0"/>
      <w:marRight w:val="0"/>
      <w:marTop w:val="0"/>
      <w:marBottom w:val="0"/>
      <w:divBdr>
        <w:top w:val="none" w:sz="0" w:space="0" w:color="auto"/>
        <w:left w:val="none" w:sz="0" w:space="0" w:color="auto"/>
        <w:bottom w:val="none" w:sz="0" w:space="0" w:color="auto"/>
        <w:right w:val="none" w:sz="0" w:space="0" w:color="auto"/>
      </w:divBdr>
    </w:div>
    <w:div w:id="1664504667">
      <w:bodyDiv w:val="1"/>
      <w:marLeft w:val="0"/>
      <w:marRight w:val="0"/>
      <w:marTop w:val="0"/>
      <w:marBottom w:val="0"/>
      <w:divBdr>
        <w:top w:val="none" w:sz="0" w:space="0" w:color="auto"/>
        <w:left w:val="none" w:sz="0" w:space="0" w:color="auto"/>
        <w:bottom w:val="none" w:sz="0" w:space="0" w:color="auto"/>
        <w:right w:val="none" w:sz="0" w:space="0" w:color="auto"/>
      </w:divBdr>
    </w:div>
    <w:div w:id="1763185292">
      <w:bodyDiv w:val="1"/>
      <w:marLeft w:val="0"/>
      <w:marRight w:val="0"/>
      <w:marTop w:val="0"/>
      <w:marBottom w:val="0"/>
      <w:divBdr>
        <w:top w:val="none" w:sz="0" w:space="0" w:color="auto"/>
        <w:left w:val="none" w:sz="0" w:space="0" w:color="auto"/>
        <w:bottom w:val="none" w:sz="0" w:space="0" w:color="auto"/>
        <w:right w:val="none" w:sz="0" w:space="0" w:color="auto"/>
      </w:divBdr>
    </w:div>
    <w:div w:id="1938292989">
      <w:bodyDiv w:val="1"/>
      <w:marLeft w:val="0"/>
      <w:marRight w:val="0"/>
      <w:marTop w:val="0"/>
      <w:marBottom w:val="0"/>
      <w:divBdr>
        <w:top w:val="none" w:sz="0" w:space="0" w:color="auto"/>
        <w:left w:val="none" w:sz="0" w:space="0" w:color="auto"/>
        <w:bottom w:val="none" w:sz="0" w:space="0" w:color="auto"/>
        <w:right w:val="none" w:sz="0" w:space="0" w:color="auto"/>
      </w:divBdr>
    </w:div>
    <w:div w:id="1998923348">
      <w:bodyDiv w:val="1"/>
      <w:marLeft w:val="0"/>
      <w:marRight w:val="0"/>
      <w:marTop w:val="0"/>
      <w:marBottom w:val="0"/>
      <w:divBdr>
        <w:top w:val="none" w:sz="0" w:space="0" w:color="auto"/>
        <w:left w:val="none" w:sz="0" w:space="0" w:color="auto"/>
        <w:bottom w:val="none" w:sz="0" w:space="0" w:color="auto"/>
        <w:right w:val="none" w:sz="0" w:space="0" w:color="auto"/>
      </w:divBdr>
    </w:div>
    <w:div w:id="20541916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70B3E6-079D-4F69-91F8-24F94B882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3</Pages>
  <Words>226</Words>
  <Characters>1291</Characters>
  <DocSecurity>0</DocSecurity>
  <Lines>10</Lines>
  <Paragraphs>3</Paragraphs>
  <ScaleCrop>false</ScaleCrop>
  <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2020-09-15T04:31:00Z</cp:lastPrinted>
  <dcterms:created xsi:type="dcterms:W3CDTF">2023-05-25T07:43:00Z</dcterms:created>
  <dcterms:modified xsi:type="dcterms:W3CDTF">2024-11-21T07:25:00Z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FEA967A5593C4067A0C04C5CA8EE416B</vt:lpwstr>
  </property>
</Properties>
</file>