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C5C7">
      <w:pPr>
        <w:rPr>
          <w:rFonts w:ascii="宋体" w:hAnsi="宋体" w:eastAsia="宋体"/>
          <w:sz w:val="28"/>
          <w:szCs w:val="28"/>
        </w:rPr>
      </w:pPr>
      <w:r>
        <w:rPr>
          <w:rFonts w:hint="eastAsia" w:ascii="宋体" w:hAnsi="宋体" w:eastAsia="宋体"/>
          <w:sz w:val="28"/>
          <w:szCs w:val="28"/>
        </w:rPr>
        <w:t>证券代码：688334</w:t>
      </w:r>
      <w:r>
        <w:rPr>
          <w:rFonts w:ascii="宋体" w:hAnsi="宋体" w:eastAsia="宋体"/>
          <w:sz w:val="28"/>
          <w:szCs w:val="28"/>
        </w:rPr>
        <w:t xml:space="preserve">   </w:t>
      </w: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8"/>
          <w:szCs w:val="28"/>
        </w:rPr>
        <w:t>证券简称：西高院</w:t>
      </w:r>
    </w:p>
    <w:p w14:paraId="3E0F497E">
      <w:pPr>
        <w:jc w:val="center"/>
        <w:rPr>
          <w:rFonts w:ascii="黑体" w:hAnsi="黑体" w:eastAsia="黑体"/>
          <w:b/>
          <w:bCs/>
          <w:sz w:val="36"/>
          <w:szCs w:val="36"/>
        </w:rPr>
      </w:pPr>
      <w:r>
        <w:rPr>
          <w:rFonts w:hint="eastAsia" w:ascii="黑体" w:hAnsi="黑体" w:eastAsia="黑体"/>
          <w:b/>
          <w:bCs/>
          <w:sz w:val="36"/>
          <w:szCs w:val="36"/>
        </w:rPr>
        <w:t>西安高压电器研究院股份有限公司</w:t>
      </w:r>
    </w:p>
    <w:p w14:paraId="5644089B">
      <w:pPr>
        <w:jc w:val="center"/>
        <w:rPr>
          <w:rFonts w:ascii="黑体" w:hAnsi="黑体" w:eastAsia="黑体"/>
          <w:b/>
          <w:bCs/>
          <w:sz w:val="36"/>
          <w:szCs w:val="36"/>
        </w:rPr>
      </w:pPr>
      <w:r>
        <w:rPr>
          <w:rFonts w:hint="eastAsia" w:ascii="黑体" w:hAnsi="黑体" w:eastAsia="黑体"/>
          <w:b/>
          <w:bCs/>
          <w:sz w:val="36"/>
          <w:szCs w:val="36"/>
        </w:rPr>
        <w:t>投资者关系活动记录表</w:t>
      </w:r>
    </w:p>
    <w:p w14:paraId="7B8E06CE">
      <w:pPr>
        <w:ind w:firstLine="560" w:firstLineChars="200"/>
        <w:jc w:val="right"/>
        <w:rPr>
          <w:rFonts w:hint="default" w:ascii="宋体" w:hAnsi="宋体" w:eastAsia="宋体"/>
          <w:sz w:val="28"/>
          <w:szCs w:val="28"/>
          <w:lang w:val="en-US" w:eastAsia="zh-CN"/>
        </w:rPr>
      </w:pPr>
      <w:r>
        <w:rPr>
          <w:rFonts w:hint="eastAsia" w:ascii="宋体" w:hAnsi="宋体" w:eastAsia="宋体"/>
          <w:sz w:val="28"/>
          <w:szCs w:val="28"/>
        </w:rPr>
        <w:t>编号：2</w:t>
      </w:r>
      <w:r>
        <w:rPr>
          <w:rFonts w:ascii="宋体" w:hAnsi="宋体" w:eastAsia="宋体"/>
          <w:sz w:val="28"/>
          <w:szCs w:val="28"/>
        </w:rPr>
        <w:t>02</w:t>
      </w:r>
      <w:r>
        <w:rPr>
          <w:rFonts w:hint="eastAsia" w:ascii="宋体" w:hAnsi="宋体" w:eastAsia="宋体"/>
          <w:sz w:val="28"/>
          <w:szCs w:val="28"/>
        </w:rPr>
        <w:t>4</w:t>
      </w:r>
      <w:r>
        <w:rPr>
          <w:rFonts w:ascii="宋体" w:hAnsi="宋体" w:eastAsia="宋体"/>
          <w:sz w:val="28"/>
          <w:szCs w:val="28"/>
        </w:rPr>
        <w:t>-0</w:t>
      </w:r>
      <w:r>
        <w:rPr>
          <w:rFonts w:hint="eastAsia" w:ascii="宋体" w:hAnsi="宋体" w:eastAsia="宋体"/>
          <w:sz w:val="28"/>
          <w:szCs w:val="28"/>
          <w:lang w:val="en-US" w:eastAsia="zh-CN"/>
        </w:rPr>
        <w:t>22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740"/>
      </w:tblGrid>
      <w:tr w14:paraId="4021673B">
        <w:trPr>
          <w:trHeight w:val="1701" w:hRule="atLeast"/>
        </w:trPr>
        <w:tc>
          <w:tcPr>
            <w:tcW w:w="1980" w:type="dxa"/>
            <w:vAlign w:val="center"/>
          </w:tcPr>
          <w:p w14:paraId="7FB80A23">
            <w:pPr>
              <w:jc w:val="center"/>
              <w:rPr>
                <w:rFonts w:ascii="宋体" w:hAnsi="宋体" w:eastAsia="宋体"/>
                <w:b/>
                <w:bCs/>
                <w:sz w:val="24"/>
                <w:szCs w:val="24"/>
              </w:rPr>
            </w:pPr>
            <w:r>
              <w:rPr>
                <w:rFonts w:hint="eastAsia" w:ascii="宋体" w:hAnsi="宋体" w:eastAsia="宋体"/>
                <w:b/>
                <w:bCs/>
                <w:sz w:val="24"/>
                <w:szCs w:val="24"/>
              </w:rPr>
              <w:t>投资者关系</w:t>
            </w:r>
          </w:p>
          <w:p w14:paraId="5998FFEB">
            <w:pPr>
              <w:jc w:val="center"/>
              <w:rPr>
                <w:rFonts w:ascii="宋体" w:hAnsi="宋体" w:eastAsia="宋体"/>
                <w:b/>
                <w:bCs/>
                <w:sz w:val="24"/>
                <w:szCs w:val="24"/>
              </w:rPr>
            </w:pPr>
            <w:r>
              <w:rPr>
                <w:rFonts w:hint="eastAsia" w:ascii="宋体" w:hAnsi="宋体" w:eastAsia="宋体"/>
                <w:b/>
                <w:bCs/>
                <w:sz w:val="24"/>
                <w:szCs w:val="24"/>
              </w:rPr>
              <w:t>活动类别</w:t>
            </w:r>
          </w:p>
        </w:tc>
        <w:tc>
          <w:tcPr>
            <w:tcW w:w="6740" w:type="dxa"/>
            <w:vAlign w:val="center"/>
          </w:tcPr>
          <w:p w14:paraId="666B9FF5">
            <w:pPr>
              <w:rPr>
                <w:rFonts w:ascii="宋体" w:hAnsi="宋体" w:eastAsia="宋体"/>
                <w:sz w:val="24"/>
                <w:szCs w:val="24"/>
              </w:rPr>
            </w:pPr>
            <w:r>
              <w:rPr>
                <w:rFonts w:hint="eastAsia" w:ascii="宋体" w:hAnsi="宋体" w:eastAsia="宋体"/>
                <w:sz w:val="24"/>
                <w:szCs w:val="24"/>
              </w:rPr>
              <w:t>√特定对象调研</w:t>
            </w:r>
            <w:r>
              <w:rPr>
                <w:rFonts w:ascii="宋体" w:hAnsi="宋体" w:eastAsia="宋体"/>
                <w:sz w:val="24"/>
                <w:szCs w:val="24"/>
              </w:rPr>
              <w:t xml:space="preserve">                □分析师会议</w:t>
            </w:r>
          </w:p>
          <w:p w14:paraId="5C7AF06B">
            <w:pPr>
              <w:rPr>
                <w:rFonts w:ascii="宋体" w:hAnsi="宋体" w:eastAsia="宋体"/>
                <w:sz w:val="24"/>
                <w:szCs w:val="24"/>
              </w:rPr>
            </w:pPr>
            <w:r>
              <w:rPr>
                <w:rFonts w:hint="eastAsia" w:ascii="宋体" w:hAnsi="宋体" w:eastAsia="宋体"/>
                <w:sz w:val="24"/>
                <w:szCs w:val="24"/>
              </w:rPr>
              <w:t>□媒体采访</w:t>
            </w:r>
            <w:r>
              <w:rPr>
                <w:rFonts w:ascii="宋体" w:hAnsi="宋体" w:eastAsia="宋体"/>
                <w:sz w:val="24"/>
                <w:szCs w:val="24"/>
              </w:rPr>
              <w:t xml:space="preserve">                    □业绩说明会</w:t>
            </w:r>
          </w:p>
          <w:p w14:paraId="14CBDB7E">
            <w:pPr>
              <w:rPr>
                <w:rFonts w:ascii="宋体" w:hAnsi="宋体" w:eastAsia="宋体"/>
                <w:sz w:val="24"/>
                <w:szCs w:val="24"/>
              </w:rPr>
            </w:pPr>
            <w:r>
              <w:rPr>
                <w:rFonts w:hint="eastAsia" w:ascii="宋体" w:hAnsi="宋体" w:eastAsia="宋体"/>
                <w:sz w:val="24"/>
                <w:szCs w:val="24"/>
              </w:rPr>
              <w:t>□新闻发布会</w:t>
            </w:r>
            <w:r>
              <w:rPr>
                <w:rFonts w:ascii="宋体" w:hAnsi="宋体" w:eastAsia="宋体"/>
                <w:sz w:val="24"/>
                <w:szCs w:val="24"/>
              </w:rPr>
              <w:t xml:space="preserve">                  □路演活动</w:t>
            </w:r>
          </w:p>
          <w:p w14:paraId="19F0ECF6">
            <w:pPr>
              <w:rPr>
                <w:rFonts w:ascii="宋体" w:hAnsi="宋体" w:eastAsia="宋体"/>
                <w:sz w:val="24"/>
                <w:szCs w:val="24"/>
              </w:rPr>
            </w:pPr>
            <w:r>
              <w:rPr>
                <w:rFonts w:hint="eastAsia" w:ascii="宋体" w:hAnsi="宋体" w:eastAsia="宋体"/>
                <w:sz w:val="24"/>
                <w:szCs w:val="24"/>
              </w:rPr>
              <w:t>□现场参观</w:t>
            </w:r>
            <w:r>
              <w:rPr>
                <w:rFonts w:ascii="宋体" w:hAnsi="宋体" w:eastAsia="宋体"/>
                <w:sz w:val="24"/>
                <w:szCs w:val="24"/>
              </w:rPr>
              <w:t xml:space="preserve">                    □电话会议</w:t>
            </w:r>
          </w:p>
          <w:p w14:paraId="58A189D4">
            <w:pPr>
              <w:rPr>
                <w:rFonts w:ascii="宋体" w:hAnsi="宋体" w:eastAsia="宋体"/>
                <w:sz w:val="24"/>
                <w:szCs w:val="24"/>
              </w:rPr>
            </w:pPr>
            <w:r>
              <w:rPr>
                <w:rFonts w:hint="eastAsia" w:ascii="宋体" w:hAnsi="宋体" w:eastAsia="宋体"/>
                <w:sz w:val="24"/>
                <w:szCs w:val="24"/>
              </w:rPr>
              <w:t>□其他</w:t>
            </w:r>
          </w:p>
        </w:tc>
      </w:tr>
      <w:tr w14:paraId="301C2357">
        <w:trPr>
          <w:trHeight w:val="510" w:hRule="atLeast"/>
        </w:trPr>
        <w:tc>
          <w:tcPr>
            <w:tcW w:w="1980" w:type="dxa"/>
            <w:vAlign w:val="center"/>
          </w:tcPr>
          <w:p w14:paraId="235C8CAD">
            <w:pPr>
              <w:jc w:val="center"/>
              <w:rPr>
                <w:rFonts w:ascii="宋体" w:hAnsi="宋体" w:eastAsia="宋体"/>
                <w:b/>
                <w:bCs/>
                <w:sz w:val="24"/>
                <w:szCs w:val="24"/>
              </w:rPr>
            </w:pPr>
            <w:r>
              <w:rPr>
                <w:rFonts w:hint="eastAsia" w:ascii="宋体" w:hAnsi="宋体" w:eastAsia="宋体"/>
                <w:b/>
                <w:bCs/>
                <w:sz w:val="24"/>
                <w:szCs w:val="24"/>
              </w:rPr>
              <w:t>参与单位名称</w:t>
            </w:r>
          </w:p>
        </w:tc>
        <w:tc>
          <w:tcPr>
            <w:tcW w:w="6740" w:type="dxa"/>
            <w:vAlign w:val="center"/>
          </w:tcPr>
          <w:p w14:paraId="04DC9972">
            <w:pPr>
              <w:rPr>
                <w:rFonts w:hint="eastAsia" w:ascii="宋体" w:hAnsi="宋体" w:eastAsia="宋体"/>
                <w:sz w:val="24"/>
                <w:szCs w:val="24"/>
                <w:lang w:val="en-US" w:eastAsia="zh-CN"/>
              </w:rPr>
            </w:pPr>
            <w:r>
              <w:rPr>
                <w:rFonts w:hint="eastAsia" w:ascii="宋体" w:hAnsi="宋体" w:eastAsia="宋体"/>
                <w:sz w:val="24"/>
                <w:szCs w:val="24"/>
                <w:lang w:val="en-US" w:eastAsia="zh-CN"/>
              </w:rPr>
              <w:t>兴业证券股份有限公司</w:t>
            </w:r>
          </w:p>
          <w:p w14:paraId="2390A97D">
            <w:pPr>
              <w:rPr>
                <w:rFonts w:hint="eastAsia" w:ascii="宋体" w:hAnsi="宋体" w:eastAsia="宋体"/>
                <w:sz w:val="24"/>
                <w:szCs w:val="24"/>
                <w:lang w:val="en-US" w:eastAsia="zh-CN"/>
              </w:rPr>
            </w:pPr>
            <w:r>
              <w:rPr>
                <w:rFonts w:hint="eastAsia" w:ascii="宋体" w:hAnsi="宋体" w:eastAsia="宋体"/>
                <w:sz w:val="24"/>
                <w:szCs w:val="24"/>
                <w:lang w:val="en-US" w:eastAsia="zh-CN"/>
              </w:rPr>
              <w:t>长江证券股份有限公司</w:t>
            </w:r>
          </w:p>
          <w:p w14:paraId="701B77E5">
            <w:pPr>
              <w:rPr>
                <w:rFonts w:hint="default" w:ascii="宋体" w:hAnsi="宋体" w:eastAsia="宋体"/>
                <w:sz w:val="24"/>
                <w:szCs w:val="24"/>
                <w:lang w:val="en-US" w:eastAsia="zh-CN"/>
              </w:rPr>
            </w:pPr>
            <w:r>
              <w:rPr>
                <w:rFonts w:hint="default" w:ascii="宋体" w:hAnsi="宋体" w:eastAsia="宋体"/>
                <w:sz w:val="24"/>
                <w:szCs w:val="24"/>
                <w:lang w:val="en-US" w:eastAsia="zh-CN"/>
              </w:rPr>
              <w:t>朱雀基金管理有限公司</w:t>
            </w:r>
          </w:p>
          <w:p w14:paraId="311CE466">
            <w:pPr>
              <w:rPr>
                <w:rFonts w:hint="default" w:ascii="宋体" w:hAnsi="宋体" w:eastAsia="宋体"/>
                <w:sz w:val="24"/>
                <w:szCs w:val="24"/>
                <w:lang w:val="en-US" w:eastAsia="zh-CN"/>
              </w:rPr>
            </w:pPr>
            <w:r>
              <w:rPr>
                <w:rFonts w:hint="default" w:ascii="宋体" w:hAnsi="宋体" w:eastAsia="宋体"/>
                <w:sz w:val="24"/>
                <w:szCs w:val="24"/>
                <w:lang w:val="en-US" w:eastAsia="zh-CN"/>
              </w:rPr>
              <w:t>华夏基金管理有限公司</w:t>
            </w:r>
          </w:p>
          <w:p w14:paraId="0FDABDBC">
            <w:pPr>
              <w:rPr>
                <w:rFonts w:hint="default" w:ascii="宋体" w:hAnsi="宋体" w:eastAsia="宋体"/>
                <w:sz w:val="24"/>
                <w:szCs w:val="24"/>
                <w:lang w:val="en-US" w:eastAsia="zh-CN"/>
              </w:rPr>
            </w:pPr>
            <w:r>
              <w:rPr>
                <w:rFonts w:hint="default" w:ascii="宋体" w:hAnsi="宋体" w:eastAsia="宋体"/>
                <w:sz w:val="24"/>
                <w:szCs w:val="24"/>
                <w:lang w:val="en-US" w:eastAsia="zh-CN"/>
              </w:rPr>
              <w:t>博时基金管理有限公司</w:t>
            </w:r>
          </w:p>
          <w:p w14:paraId="43C013EC">
            <w:pPr>
              <w:rPr>
                <w:rFonts w:hint="default" w:ascii="宋体" w:hAnsi="宋体" w:eastAsia="宋体"/>
                <w:sz w:val="24"/>
                <w:szCs w:val="24"/>
                <w:lang w:val="en-US" w:eastAsia="zh-CN"/>
              </w:rPr>
            </w:pPr>
            <w:r>
              <w:rPr>
                <w:rFonts w:hint="default" w:ascii="宋体" w:hAnsi="宋体" w:eastAsia="宋体"/>
                <w:sz w:val="24"/>
                <w:szCs w:val="24"/>
                <w:lang w:val="en-US" w:eastAsia="zh-CN"/>
              </w:rPr>
              <w:t>嘉实基金管理有限公司</w:t>
            </w:r>
          </w:p>
        </w:tc>
      </w:tr>
      <w:tr w14:paraId="2A70EBCE">
        <w:trPr>
          <w:trHeight w:val="510" w:hRule="atLeast"/>
        </w:trPr>
        <w:tc>
          <w:tcPr>
            <w:tcW w:w="1980" w:type="dxa"/>
            <w:vAlign w:val="center"/>
          </w:tcPr>
          <w:p w14:paraId="29380DD3">
            <w:pPr>
              <w:jc w:val="center"/>
              <w:rPr>
                <w:rFonts w:ascii="宋体" w:hAnsi="宋体" w:eastAsia="宋体"/>
                <w:b/>
                <w:bCs/>
                <w:sz w:val="24"/>
                <w:szCs w:val="24"/>
              </w:rPr>
            </w:pPr>
            <w:r>
              <w:rPr>
                <w:rFonts w:hint="eastAsia" w:ascii="宋体" w:hAnsi="宋体" w:eastAsia="宋体"/>
                <w:b/>
                <w:bCs/>
                <w:sz w:val="24"/>
                <w:szCs w:val="24"/>
              </w:rPr>
              <w:t>会议时间</w:t>
            </w:r>
          </w:p>
        </w:tc>
        <w:tc>
          <w:tcPr>
            <w:tcW w:w="6740" w:type="dxa"/>
            <w:vAlign w:val="center"/>
          </w:tcPr>
          <w:p w14:paraId="41CE5760">
            <w:pPr>
              <w:rPr>
                <w:rFonts w:ascii="宋体" w:hAnsi="宋体" w:eastAsia="宋体"/>
                <w:sz w:val="24"/>
                <w:szCs w:val="24"/>
              </w:rPr>
            </w:pPr>
            <w:r>
              <w:rPr>
                <w:rFonts w:ascii="宋体" w:hAnsi="宋体" w:eastAsia="宋体"/>
                <w:sz w:val="24"/>
                <w:szCs w:val="24"/>
              </w:rPr>
              <w:t>202</w:t>
            </w:r>
            <w:r>
              <w:rPr>
                <w:rFonts w:hint="eastAsia" w:ascii="宋体" w:hAnsi="宋体" w:eastAsia="宋体"/>
                <w:sz w:val="24"/>
                <w:szCs w:val="24"/>
              </w:rPr>
              <w:t>4</w:t>
            </w:r>
            <w:r>
              <w:rPr>
                <w:rFonts w:ascii="宋体" w:hAnsi="宋体" w:eastAsia="宋体"/>
                <w:sz w:val="24"/>
                <w:szCs w:val="24"/>
              </w:rPr>
              <w:t>年</w:t>
            </w:r>
            <w:r>
              <w:rPr>
                <w:rFonts w:hint="eastAsia" w:ascii="宋体" w:hAnsi="宋体" w:eastAsia="宋体"/>
                <w:sz w:val="24"/>
                <w:szCs w:val="24"/>
                <w:lang w:val="en-US" w:eastAsia="zh-CN"/>
              </w:rPr>
              <w:t>11</w:t>
            </w:r>
            <w:r>
              <w:rPr>
                <w:rFonts w:ascii="宋体" w:hAnsi="宋体" w:eastAsia="宋体"/>
                <w:sz w:val="24"/>
                <w:szCs w:val="24"/>
              </w:rPr>
              <w:t>月</w:t>
            </w:r>
            <w:r>
              <w:rPr>
                <w:rFonts w:hint="eastAsia" w:ascii="宋体" w:hAnsi="宋体" w:eastAsia="宋体"/>
                <w:sz w:val="24"/>
                <w:szCs w:val="24"/>
                <w:lang w:val="en-US" w:eastAsia="zh-CN"/>
              </w:rPr>
              <w:t>20</w:t>
            </w:r>
            <w:r>
              <w:rPr>
                <w:rFonts w:ascii="宋体" w:hAnsi="宋体" w:eastAsia="宋体"/>
                <w:sz w:val="24"/>
                <w:szCs w:val="24"/>
              </w:rPr>
              <w:t>日</w:t>
            </w:r>
          </w:p>
        </w:tc>
      </w:tr>
      <w:tr w14:paraId="2C29647C">
        <w:trPr>
          <w:trHeight w:val="510" w:hRule="atLeast"/>
        </w:trPr>
        <w:tc>
          <w:tcPr>
            <w:tcW w:w="1980" w:type="dxa"/>
            <w:vAlign w:val="center"/>
          </w:tcPr>
          <w:p w14:paraId="2A72C254">
            <w:pPr>
              <w:jc w:val="center"/>
              <w:rPr>
                <w:rFonts w:ascii="宋体" w:hAnsi="宋体" w:eastAsia="宋体"/>
                <w:b/>
                <w:bCs/>
                <w:sz w:val="24"/>
                <w:szCs w:val="24"/>
              </w:rPr>
            </w:pPr>
            <w:r>
              <w:rPr>
                <w:rFonts w:hint="eastAsia" w:ascii="宋体" w:hAnsi="宋体" w:eastAsia="宋体"/>
                <w:b/>
                <w:bCs/>
                <w:sz w:val="24"/>
                <w:szCs w:val="24"/>
              </w:rPr>
              <w:t>会议地点</w:t>
            </w:r>
          </w:p>
        </w:tc>
        <w:tc>
          <w:tcPr>
            <w:tcW w:w="6740" w:type="dxa"/>
            <w:vAlign w:val="center"/>
          </w:tcPr>
          <w:p w14:paraId="4310C1C5">
            <w:pPr>
              <w:rPr>
                <w:rFonts w:hint="eastAsia" w:ascii="宋体" w:hAnsi="宋体" w:eastAsia="宋体"/>
                <w:sz w:val="24"/>
                <w:szCs w:val="24"/>
                <w:lang w:val="en-US" w:eastAsia="zh-CN"/>
              </w:rPr>
            </w:pPr>
            <w:r>
              <w:rPr>
                <w:rFonts w:hint="eastAsia" w:ascii="宋体" w:hAnsi="宋体" w:eastAsia="宋体"/>
                <w:sz w:val="24"/>
                <w:szCs w:val="24"/>
              </w:rPr>
              <w:t>西高院</w:t>
            </w:r>
            <w:r>
              <w:rPr>
                <w:rFonts w:hint="eastAsia" w:ascii="宋体" w:hAnsi="宋体" w:eastAsia="宋体"/>
                <w:sz w:val="24"/>
                <w:szCs w:val="24"/>
                <w:lang w:val="en-US" w:eastAsia="zh-CN"/>
              </w:rPr>
              <w:t>会议室</w:t>
            </w:r>
          </w:p>
        </w:tc>
      </w:tr>
      <w:tr w14:paraId="090F6B0C">
        <w:trPr>
          <w:trHeight w:val="689" w:hRule="atLeast"/>
        </w:trPr>
        <w:tc>
          <w:tcPr>
            <w:tcW w:w="1980" w:type="dxa"/>
            <w:vAlign w:val="center"/>
          </w:tcPr>
          <w:p w14:paraId="17E15081">
            <w:pPr>
              <w:jc w:val="center"/>
              <w:rPr>
                <w:rFonts w:ascii="宋体" w:hAnsi="宋体" w:eastAsia="宋体"/>
                <w:b/>
                <w:bCs/>
                <w:sz w:val="24"/>
                <w:szCs w:val="24"/>
              </w:rPr>
            </w:pPr>
            <w:r>
              <w:rPr>
                <w:rFonts w:hint="eastAsia" w:ascii="宋体" w:hAnsi="宋体" w:eastAsia="宋体"/>
                <w:b/>
                <w:bCs/>
                <w:sz w:val="24"/>
                <w:szCs w:val="24"/>
              </w:rPr>
              <w:t>公司接待人员</w:t>
            </w:r>
          </w:p>
        </w:tc>
        <w:tc>
          <w:tcPr>
            <w:tcW w:w="6740" w:type="dxa"/>
            <w:vAlign w:val="center"/>
          </w:tcPr>
          <w:p w14:paraId="64F7EC66">
            <w:pPr>
              <w:rPr>
                <w:rFonts w:hint="eastAsia" w:ascii="宋体" w:hAnsi="宋体" w:eastAsia="宋体"/>
                <w:sz w:val="24"/>
                <w:szCs w:val="24"/>
                <w:lang w:val="en-US" w:eastAsia="zh-CN"/>
              </w:rPr>
            </w:pPr>
            <w:r>
              <w:rPr>
                <w:rFonts w:hint="eastAsia" w:ascii="宋体" w:hAnsi="宋体" w:eastAsia="宋体"/>
                <w:sz w:val="24"/>
                <w:szCs w:val="24"/>
                <w:lang w:val="en-US" w:eastAsia="zh-CN"/>
              </w:rPr>
              <w:t>董事会秘书 王辉</w:t>
            </w:r>
          </w:p>
          <w:p w14:paraId="7DB64AE4">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证券事务代表 韩瑞</w:t>
            </w:r>
          </w:p>
          <w:p w14:paraId="572EA098">
            <w:pPr>
              <w:rPr>
                <w:rFonts w:hint="default" w:ascii="宋体" w:hAnsi="宋体" w:eastAsia="宋体"/>
                <w:sz w:val="24"/>
                <w:szCs w:val="24"/>
                <w:lang w:val="en-US" w:eastAsia="zh-CN"/>
              </w:rPr>
            </w:pPr>
            <w:r>
              <w:rPr>
                <w:rFonts w:hint="eastAsia" w:ascii="宋体" w:hAnsi="宋体" w:eastAsia="宋体"/>
                <w:sz w:val="24"/>
                <w:szCs w:val="24"/>
                <w:lang w:val="en-US" w:eastAsia="zh-CN"/>
              </w:rPr>
              <w:t>证券事务专员 李凡</w:t>
            </w:r>
          </w:p>
        </w:tc>
      </w:tr>
      <w:tr w14:paraId="794B0850">
        <w:trPr>
          <w:trHeight w:val="3767" w:hRule="atLeast"/>
        </w:trPr>
        <w:tc>
          <w:tcPr>
            <w:tcW w:w="1980" w:type="dxa"/>
            <w:vAlign w:val="center"/>
          </w:tcPr>
          <w:p w14:paraId="45B87E5E">
            <w:pPr>
              <w:jc w:val="center"/>
              <w:rPr>
                <w:rFonts w:ascii="宋体" w:hAnsi="宋体" w:eastAsia="宋体"/>
                <w:b/>
                <w:bCs/>
                <w:sz w:val="24"/>
                <w:szCs w:val="24"/>
              </w:rPr>
            </w:pPr>
            <w:r>
              <w:rPr>
                <w:rFonts w:hint="eastAsia" w:ascii="宋体" w:hAnsi="宋体" w:eastAsia="宋体"/>
                <w:b/>
                <w:bCs/>
                <w:sz w:val="24"/>
                <w:szCs w:val="24"/>
              </w:rPr>
              <w:t>投资者关系活动主要内容介绍</w:t>
            </w:r>
          </w:p>
        </w:tc>
        <w:tc>
          <w:tcPr>
            <w:tcW w:w="6740" w:type="dxa"/>
            <w:vAlign w:val="center"/>
          </w:tcPr>
          <w:p w14:paraId="3E0E7585">
            <w:pPr>
              <w:rPr>
                <w:rFonts w:ascii="宋体" w:hAnsi="宋体" w:eastAsia="宋体"/>
                <w:sz w:val="24"/>
                <w:szCs w:val="24"/>
              </w:rPr>
            </w:pPr>
            <w:r>
              <w:rPr>
                <w:rFonts w:hint="eastAsia" w:ascii="宋体" w:hAnsi="宋体" w:eastAsia="宋体"/>
                <w:b/>
                <w:bCs/>
                <w:sz w:val="24"/>
                <w:szCs w:val="24"/>
              </w:rPr>
              <w:t>第一部分</w:t>
            </w:r>
            <w:r>
              <w:rPr>
                <w:rFonts w:hint="eastAsia" w:ascii="宋体" w:hAnsi="宋体" w:eastAsia="宋体"/>
                <w:sz w:val="24"/>
                <w:szCs w:val="24"/>
              </w:rPr>
              <w:t>：公司2024</w:t>
            </w:r>
            <w:r>
              <w:rPr>
                <w:rFonts w:hint="eastAsia" w:ascii="宋体" w:hAnsi="宋体" w:eastAsia="宋体"/>
                <w:sz w:val="24"/>
                <w:szCs w:val="24"/>
                <w:lang w:val="en-US" w:eastAsia="zh-CN"/>
              </w:rPr>
              <w:t>年三季度</w:t>
            </w:r>
            <w:r>
              <w:rPr>
                <w:rFonts w:hint="eastAsia" w:ascii="宋体" w:hAnsi="宋体" w:eastAsia="宋体"/>
                <w:sz w:val="24"/>
                <w:szCs w:val="24"/>
              </w:rPr>
              <w:t>经营情况说明，介绍公司概况、核心技术、产能布局</w:t>
            </w:r>
            <w:r>
              <w:rPr>
                <w:rFonts w:hint="eastAsia" w:ascii="宋体" w:hAnsi="宋体" w:eastAsia="宋体"/>
                <w:sz w:val="24"/>
                <w:szCs w:val="24"/>
                <w:lang w:eastAsia="zh-CN"/>
              </w:rPr>
              <w:t>、</w:t>
            </w:r>
            <w:r>
              <w:rPr>
                <w:rFonts w:hint="eastAsia" w:ascii="宋体" w:hAnsi="宋体" w:eastAsia="宋体"/>
                <w:sz w:val="24"/>
                <w:szCs w:val="24"/>
                <w:lang w:val="en-US" w:eastAsia="zh-CN"/>
              </w:rPr>
              <w:t>业务发展</w:t>
            </w:r>
            <w:r>
              <w:rPr>
                <w:rFonts w:hint="eastAsia" w:ascii="宋体" w:hAnsi="宋体" w:eastAsia="宋体"/>
                <w:sz w:val="24"/>
                <w:szCs w:val="24"/>
              </w:rPr>
              <w:t>等；</w:t>
            </w:r>
          </w:p>
          <w:p w14:paraId="72923B35">
            <w:pPr>
              <w:rPr>
                <w:rFonts w:hint="eastAsia" w:ascii="宋体" w:hAnsi="宋体" w:eastAsia="宋体"/>
                <w:sz w:val="24"/>
                <w:szCs w:val="24"/>
              </w:rPr>
            </w:pPr>
            <w:r>
              <w:rPr>
                <w:rFonts w:hint="eastAsia" w:ascii="宋体" w:hAnsi="宋体" w:eastAsia="宋体"/>
                <w:b/>
                <w:bCs/>
                <w:sz w:val="24"/>
                <w:szCs w:val="24"/>
              </w:rPr>
              <w:t>第二部分</w:t>
            </w:r>
            <w:r>
              <w:rPr>
                <w:rFonts w:hint="eastAsia" w:ascii="宋体" w:hAnsi="宋体" w:eastAsia="宋体"/>
                <w:sz w:val="24"/>
                <w:szCs w:val="24"/>
              </w:rPr>
              <w:t>：问答环节</w:t>
            </w:r>
          </w:p>
          <w:p w14:paraId="1CD93BFE">
            <w:pPr>
              <w:ind w:firstLine="480" w:firstLineChars="200"/>
              <w:rPr>
                <w:rFonts w:hint="eastAsia" w:ascii="宋体" w:hAnsi="宋体" w:eastAsia="宋体"/>
                <w:sz w:val="24"/>
                <w:szCs w:val="24"/>
                <w:lang w:val="en-US" w:eastAsia="zh-CN"/>
              </w:rPr>
            </w:pPr>
            <w:r>
              <w:rPr>
                <w:rFonts w:hint="eastAsia" w:ascii="宋体" w:hAnsi="宋体" w:eastAsia="宋体"/>
                <w:sz w:val="24"/>
                <w:szCs w:val="24"/>
              </w:rPr>
              <w:t>问题</w:t>
            </w:r>
            <w:r>
              <w:rPr>
                <w:rFonts w:hint="eastAsia" w:ascii="宋体" w:hAnsi="宋体" w:eastAsia="宋体"/>
                <w:sz w:val="24"/>
                <w:szCs w:val="24"/>
                <w:lang w:val="en-US" w:eastAsia="zh-CN"/>
              </w:rPr>
              <w:t>1</w:t>
            </w:r>
            <w:r>
              <w:rPr>
                <w:rFonts w:hint="eastAsia" w:ascii="宋体" w:hAnsi="宋体" w:eastAsia="宋体"/>
                <w:sz w:val="24"/>
                <w:szCs w:val="24"/>
              </w:rPr>
              <w:t>：公司的客户类型主要有哪些？</w:t>
            </w:r>
          </w:p>
          <w:p w14:paraId="49CCF48D">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答：公司主要客户为设备制造企业，包括国内外大型电气设备制造商的设备检测、国家电网及南方电网下属单位的抽样检测等。目前正在积极推进与政府、高校、科研机构签订技术协议，促进产学研结合、加快科技成果转化和推动智能电网建设。公司主营业务及服务涉及了国内外知名电气设备制造商，并持续多年保持稳定的合作关系，获得了下游客户的广泛认可，在行业形成了良好的口碑和竞争优势，市场认可度高。 </w:t>
            </w:r>
          </w:p>
          <w:p w14:paraId="6136DA7E">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问题2：公司业绩的增长逻辑是什么？</w:t>
            </w:r>
          </w:p>
          <w:p w14:paraId="1C47CAFA">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一是电气设备的生产销售规模持续扩大，以及相关设备技术的不断更新迭代，这两大因素共同推动了下游行业对电气设备检测业务的市场需求持续增长，进而促使市场容量不断扩大。随着电气设备在各行各业中的广泛应用，其质量和性能的要求也越来越高，因此检测业务的需求也随之增加，为西高院提供了广阔的市场机遇。二是积极响应国家政策号召，如双碳政策等，推动技术迭代升级。国家政策要求设备更加环保、智能化，以适应新时代的发展需求。西高院紧跟政策导向，加大研发投入，不断提升技术水平，推出更加符合市场需求的产品和服务，从而赢得了客户的信赖和市场的认可，为业绩增长奠定了坚实的基础。</w:t>
            </w:r>
          </w:p>
          <w:p w14:paraId="07BFDD2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问题3：公司特高压市场份额占比多少？</w:t>
            </w:r>
          </w:p>
          <w:p w14:paraId="23617173">
            <w:pPr>
              <w:ind w:firstLine="480" w:firstLineChars="200"/>
              <w:jc w:val="both"/>
              <w:rPr>
                <w:rFonts w:hint="eastAsia" w:ascii="宋体" w:hAnsi="宋体" w:eastAsia="宋体"/>
                <w:sz w:val="24"/>
                <w:szCs w:val="24"/>
                <w:lang w:val="en-US" w:eastAsia="zh-CN"/>
              </w:rPr>
            </w:pPr>
            <w:r>
              <w:rPr>
                <w:rFonts w:hint="eastAsia" w:ascii="宋体" w:hAnsi="宋体" w:eastAsia="宋体"/>
                <w:sz w:val="24"/>
                <w:szCs w:val="24"/>
                <w:lang w:val="en-US" w:eastAsia="zh-CN"/>
              </w:rPr>
              <w:t>答：鉴于高压电气设备检测技术的先进性要求高且资本密集型特征显著，在特高压领域，国内仅有公司及少数几家机构具备检测能力。公司具有从低压至超特高压的全链条检测能力，特别是在高压及超特高压细分市场的市场份额处于领先地位。目前，公司正积极致力于中压市场的拓展，更加紧密地贴合市场需求，实现业务的进一步优化与增长。</w:t>
            </w:r>
          </w:p>
          <w:p w14:paraId="74AE1651">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问题4：公司的成本结构？ </w:t>
            </w:r>
          </w:p>
          <w:p w14:paraId="1414267C">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答：公司主营业务为专业技术服务，其主要成本为人工、折旧和维修费。从成本结构看，专业技术服务业务的折旧成本占比34.02%，人工成本占比29.33%，维修费占比12.42%。</w:t>
            </w:r>
          </w:p>
          <w:p w14:paraId="0FF26FC9">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问题5：公司在海外业务拓展方面有何举措？ </w:t>
            </w:r>
          </w:p>
          <w:p w14:paraId="6C67B862">
            <w:pPr>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答：公司多年来不断推动完善、突破电气设备行业的国际、国内标准体系，主持或参与制订565余项标准（现行有效），包括国际标准85余项、国家标准298余项、行业标准157余项，是我国电力装备行业接轨国际、提高国际话语权的重要支撑平台，在国际市场也形成了一定的品牌影响力。能源合作是“一带一路”建设重要的组成部分，公司多年来持续为国产电气设备出口“一带一路”沿线国家提供检测服务。与此同时，公司积极响应国家“一带一路”战略，主动了解沿线国家发展需求，持续推动海外业务的拓展。</w:t>
            </w:r>
          </w:p>
        </w:tc>
      </w:tr>
      <w:tr w14:paraId="61B5CBF7">
        <w:trPr>
          <w:trHeight w:val="481" w:hRule="atLeast"/>
        </w:trPr>
        <w:tc>
          <w:tcPr>
            <w:tcW w:w="1980" w:type="dxa"/>
            <w:vAlign w:val="center"/>
          </w:tcPr>
          <w:p w14:paraId="3ACF6405">
            <w:pPr>
              <w:jc w:val="center"/>
              <w:rPr>
                <w:rFonts w:ascii="宋体" w:hAnsi="宋体" w:eastAsia="宋体"/>
                <w:b/>
                <w:bCs/>
                <w:sz w:val="24"/>
                <w:szCs w:val="24"/>
              </w:rPr>
            </w:pPr>
            <w:r>
              <w:rPr>
                <w:rFonts w:hint="eastAsia" w:ascii="宋体" w:hAnsi="宋体" w:eastAsia="宋体"/>
                <w:b/>
                <w:bCs/>
                <w:sz w:val="24"/>
                <w:szCs w:val="24"/>
              </w:rPr>
              <w:t>附件清单</w:t>
            </w:r>
          </w:p>
          <w:p w14:paraId="5A25711D">
            <w:pPr>
              <w:jc w:val="center"/>
              <w:rPr>
                <w:rFonts w:ascii="宋体" w:hAnsi="宋体" w:eastAsia="宋体"/>
                <w:b/>
                <w:bCs/>
                <w:sz w:val="24"/>
                <w:szCs w:val="24"/>
              </w:rPr>
            </w:pPr>
            <w:r>
              <w:rPr>
                <w:rFonts w:hint="eastAsia" w:ascii="宋体" w:hAnsi="宋体" w:eastAsia="宋体"/>
                <w:b/>
                <w:bCs/>
                <w:sz w:val="24"/>
                <w:szCs w:val="24"/>
              </w:rPr>
              <w:t>（如有）</w:t>
            </w:r>
          </w:p>
        </w:tc>
        <w:tc>
          <w:tcPr>
            <w:tcW w:w="6740" w:type="dxa"/>
            <w:vAlign w:val="center"/>
          </w:tcPr>
          <w:p w14:paraId="26B8CA8C">
            <w:pPr>
              <w:rPr>
                <w:rFonts w:ascii="宋体" w:hAnsi="宋体" w:eastAsia="宋体"/>
                <w:sz w:val="24"/>
                <w:szCs w:val="24"/>
              </w:rPr>
            </w:pPr>
            <w:r>
              <w:rPr>
                <w:rFonts w:hint="eastAsia" w:ascii="宋体" w:hAnsi="宋体" w:eastAsia="宋体"/>
                <w:sz w:val="24"/>
                <w:szCs w:val="24"/>
              </w:rPr>
              <w:t>无</w:t>
            </w:r>
          </w:p>
        </w:tc>
      </w:tr>
      <w:tr w14:paraId="5A0369BD">
        <w:trPr>
          <w:trHeight w:val="510" w:hRule="atLeast"/>
        </w:trPr>
        <w:tc>
          <w:tcPr>
            <w:tcW w:w="1980" w:type="dxa"/>
            <w:vAlign w:val="center"/>
          </w:tcPr>
          <w:p w14:paraId="5F6A9563">
            <w:pPr>
              <w:jc w:val="center"/>
              <w:rPr>
                <w:rFonts w:ascii="宋体" w:hAnsi="宋体" w:eastAsia="宋体"/>
                <w:b/>
                <w:bCs/>
                <w:sz w:val="24"/>
                <w:szCs w:val="24"/>
              </w:rPr>
            </w:pPr>
            <w:r>
              <w:rPr>
                <w:rFonts w:hint="eastAsia" w:ascii="宋体" w:hAnsi="宋体" w:eastAsia="宋体"/>
                <w:b/>
                <w:bCs/>
                <w:sz w:val="24"/>
                <w:szCs w:val="24"/>
              </w:rPr>
              <w:t>日期</w:t>
            </w:r>
          </w:p>
        </w:tc>
        <w:tc>
          <w:tcPr>
            <w:tcW w:w="6740" w:type="dxa"/>
            <w:vAlign w:val="center"/>
          </w:tcPr>
          <w:p w14:paraId="2F05F448">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rPr>
              <w:t>4年</w:t>
            </w:r>
            <w:r>
              <w:rPr>
                <w:rFonts w:hint="eastAsia" w:ascii="宋体" w:hAnsi="宋体" w:eastAsia="宋体"/>
                <w:sz w:val="24"/>
                <w:szCs w:val="24"/>
                <w:lang w:val="en-US" w:eastAsia="zh-CN"/>
              </w:rPr>
              <w:t>11月22</w:t>
            </w:r>
            <w:r>
              <w:rPr>
                <w:rFonts w:hint="eastAsia" w:ascii="宋体" w:hAnsi="宋体" w:eastAsia="宋体"/>
                <w:sz w:val="24"/>
                <w:szCs w:val="24"/>
              </w:rPr>
              <w:t>日</w:t>
            </w:r>
            <w:bookmarkStart w:id="0" w:name="_GoBack"/>
            <w:bookmarkEnd w:id="0"/>
          </w:p>
        </w:tc>
      </w:tr>
      <w:tr w14:paraId="00D3237A">
        <w:trPr>
          <w:trHeight w:val="1176" w:hRule="atLeast"/>
        </w:trPr>
        <w:tc>
          <w:tcPr>
            <w:tcW w:w="1980" w:type="dxa"/>
            <w:vAlign w:val="center"/>
          </w:tcPr>
          <w:p w14:paraId="65247C49">
            <w:pPr>
              <w:jc w:val="center"/>
              <w:rPr>
                <w:rFonts w:ascii="宋体" w:hAnsi="宋体" w:eastAsia="宋体"/>
                <w:b/>
                <w:bCs/>
                <w:sz w:val="24"/>
                <w:szCs w:val="24"/>
              </w:rPr>
            </w:pPr>
            <w:r>
              <w:rPr>
                <w:rFonts w:hint="eastAsia" w:ascii="宋体" w:hAnsi="宋体" w:eastAsia="宋体"/>
                <w:b/>
                <w:bCs/>
                <w:sz w:val="24"/>
                <w:szCs w:val="24"/>
              </w:rPr>
              <w:t>备注</w:t>
            </w:r>
          </w:p>
        </w:tc>
        <w:tc>
          <w:tcPr>
            <w:tcW w:w="6740" w:type="dxa"/>
            <w:vAlign w:val="center"/>
          </w:tcPr>
          <w:p w14:paraId="77C846A9">
            <w:pPr>
              <w:ind w:firstLine="480" w:firstLineChars="200"/>
              <w:rPr>
                <w:rFonts w:ascii="宋体" w:hAnsi="宋体" w:eastAsia="宋体"/>
                <w:sz w:val="24"/>
                <w:szCs w:val="24"/>
              </w:rPr>
            </w:pPr>
            <w:r>
              <w:rPr>
                <w:rFonts w:hint="eastAsia" w:ascii="宋体" w:hAnsi="宋体" w:eastAsia="宋体"/>
                <w:sz w:val="24"/>
                <w:szCs w:val="24"/>
              </w:rPr>
              <w:t>公司与投资者进行了充分的交流与沟通，并严格按照公司《信息披露管理制度》等规定，保证信息披露的真实、准确、完善、及时、公平，没有出现未公开重大信息披露等情况。</w:t>
            </w:r>
          </w:p>
        </w:tc>
      </w:tr>
    </w:tbl>
    <w:p w14:paraId="2C10F54A">
      <w:pPr>
        <w:ind w:firstLine="572" w:firstLineChars="0"/>
        <w:rPr>
          <w:rFonts w:hint="eastAsia" w:ascii="宋体" w:hAnsi="宋体" w:eastAsia="宋体"/>
          <w:sz w:val="28"/>
          <w:szCs w:val="28"/>
          <w:lang w:eastAsia="zh-CN"/>
        </w:rPr>
      </w:pPr>
    </w:p>
    <w:sectPr>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mYjdmYWJlZjU3MTUxN2I5OTkwNWFkNmY4YTZkNmIifQ=="/>
  </w:docVars>
  <w:rsids>
    <w:rsidRoot w:val="00C270E3"/>
    <w:rsid w:val="000046C0"/>
    <w:rsid w:val="00040A4D"/>
    <w:rsid w:val="0005356D"/>
    <w:rsid w:val="00056BF8"/>
    <w:rsid w:val="00114EC2"/>
    <w:rsid w:val="00166EFE"/>
    <w:rsid w:val="00177D31"/>
    <w:rsid w:val="001865C3"/>
    <w:rsid w:val="001D1473"/>
    <w:rsid w:val="00221C5F"/>
    <w:rsid w:val="002461AF"/>
    <w:rsid w:val="00283962"/>
    <w:rsid w:val="00285A86"/>
    <w:rsid w:val="002C6800"/>
    <w:rsid w:val="003A4E0F"/>
    <w:rsid w:val="003A6336"/>
    <w:rsid w:val="003C0917"/>
    <w:rsid w:val="003E2E81"/>
    <w:rsid w:val="0040719C"/>
    <w:rsid w:val="00416E60"/>
    <w:rsid w:val="004538E3"/>
    <w:rsid w:val="00472383"/>
    <w:rsid w:val="0048160F"/>
    <w:rsid w:val="004A5EAD"/>
    <w:rsid w:val="004E36FE"/>
    <w:rsid w:val="004F7731"/>
    <w:rsid w:val="0058556F"/>
    <w:rsid w:val="0059368B"/>
    <w:rsid w:val="005B3284"/>
    <w:rsid w:val="005B615A"/>
    <w:rsid w:val="005D62BE"/>
    <w:rsid w:val="00610C66"/>
    <w:rsid w:val="00610EB4"/>
    <w:rsid w:val="00643CD4"/>
    <w:rsid w:val="0065798B"/>
    <w:rsid w:val="0066380B"/>
    <w:rsid w:val="00692FBB"/>
    <w:rsid w:val="006C7D12"/>
    <w:rsid w:val="006E6D82"/>
    <w:rsid w:val="00716F64"/>
    <w:rsid w:val="00732656"/>
    <w:rsid w:val="0073427C"/>
    <w:rsid w:val="00753105"/>
    <w:rsid w:val="007652EE"/>
    <w:rsid w:val="007A3408"/>
    <w:rsid w:val="007A74E8"/>
    <w:rsid w:val="007B0537"/>
    <w:rsid w:val="007B0FBC"/>
    <w:rsid w:val="007B236F"/>
    <w:rsid w:val="007C110E"/>
    <w:rsid w:val="007E730F"/>
    <w:rsid w:val="007F0CCD"/>
    <w:rsid w:val="00800E21"/>
    <w:rsid w:val="008320C7"/>
    <w:rsid w:val="00835B13"/>
    <w:rsid w:val="008400C0"/>
    <w:rsid w:val="0088426E"/>
    <w:rsid w:val="008C6317"/>
    <w:rsid w:val="008D4151"/>
    <w:rsid w:val="008F2465"/>
    <w:rsid w:val="008F763B"/>
    <w:rsid w:val="009304C5"/>
    <w:rsid w:val="00932ED3"/>
    <w:rsid w:val="00940B96"/>
    <w:rsid w:val="0096674D"/>
    <w:rsid w:val="009E7502"/>
    <w:rsid w:val="00A6158B"/>
    <w:rsid w:val="00B06BDA"/>
    <w:rsid w:val="00B209CF"/>
    <w:rsid w:val="00B2783C"/>
    <w:rsid w:val="00BB60ED"/>
    <w:rsid w:val="00BC1298"/>
    <w:rsid w:val="00BC1380"/>
    <w:rsid w:val="00BE5149"/>
    <w:rsid w:val="00C270E3"/>
    <w:rsid w:val="00C31A71"/>
    <w:rsid w:val="00C37BBA"/>
    <w:rsid w:val="00C45A18"/>
    <w:rsid w:val="00C90ECD"/>
    <w:rsid w:val="00CC41C9"/>
    <w:rsid w:val="00CE3C96"/>
    <w:rsid w:val="00D30BFA"/>
    <w:rsid w:val="00D401B1"/>
    <w:rsid w:val="00D62015"/>
    <w:rsid w:val="00DC7531"/>
    <w:rsid w:val="00E02AC9"/>
    <w:rsid w:val="00E647F3"/>
    <w:rsid w:val="00E83AEA"/>
    <w:rsid w:val="00E91488"/>
    <w:rsid w:val="00EB42BC"/>
    <w:rsid w:val="00EC39B4"/>
    <w:rsid w:val="00F023D3"/>
    <w:rsid w:val="00F110D5"/>
    <w:rsid w:val="00F231C3"/>
    <w:rsid w:val="00F66890"/>
    <w:rsid w:val="00F875A3"/>
    <w:rsid w:val="00FC186B"/>
    <w:rsid w:val="00FC5F92"/>
    <w:rsid w:val="00FD65CA"/>
    <w:rsid w:val="00FE542C"/>
    <w:rsid w:val="020E6E6E"/>
    <w:rsid w:val="03107D15"/>
    <w:rsid w:val="094979CB"/>
    <w:rsid w:val="098C1D28"/>
    <w:rsid w:val="0A512972"/>
    <w:rsid w:val="0A645335"/>
    <w:rsid w:val="0CBC3962"/>
    <w:rsid w:val="0CDA6DE4"/>
    <w:rsid w:val="0EA10534"/>
    <w:rsid w:val="101B23FC"/>
    <w:rsid w:val="11F631BA"/>
    <w:rsid w:val="12B9646F"/>
    <w:rsid w:val="17F237A3"/>
    <w:rsid w:val="1B4B7A22"/>
    <w:rsid w:val="1C990377"/>
    <w:rsid w:val="1EBD7328"/>
    <w:rsid w:val="22420D90"/>
    <w:rsid w:val="226C48AA"/>
    <w:rsid w:val="23DB2F62"/>
    <w:rsid w:val="24B14E63"/>
    <w:rsid w:val="26EE3D85"/>
    <w:rsid w:val="2EC78906"/>
    <w:rsid w:val="30EA3C40"/>
    <w:rsid w:val="373C4996"/>
    <w:rsid w:val="374B4FC3"/>
    <w:rsid w:val="3817149D"/>
    <w:rsid w:val="3C44208D"/>
    <w:rsid w:val="3FCE11F8"/>
    <w:rsid w:val="41A437BF"/>
    <w:rsid w:val="4264182A"/>
    <w:rsid w:val="429A1953"/>
    <w:rsid w:val="43E91A02"/>
    <w:rsid w:val="441A1CBF"/>
    <w:rsid w:val="44C85ABB"/>
    <w:rsid w:val="4A721FC1"/>
    <w:rsid w:val="4DA42AB6"/>
    <w:rsid w:val="51EA1DA4"/>
    <w:rsid w:val="52EA42EB"/>
    <w:rsid w:val="594F1212"/>
    <w:rsid w:val="59504660"/>
    <w:rsid w:val="5FFC07EC"/>
    <w:rsid w:val="65CA3C0E"/>
    <w:rsid w:val="65F8742B"/>
    <w:rsid w:val="67523C88"/>
    <w:rsid w:val="68702FE3"/>
    <w:rsid w:val="6B7FBAFC"/>
    <w:rsid w:val="6B9B71D6"/>
    <w:rsid w:val="6BDB090C"/>
    <w:rsid w:val="6CC85C91"/>
    <w:rsid w:val="6D3113B3"/>
    <w:rsid w:val="6D511FF0"/>
    <w:rsid w:val="6ED461E0"/>
    <w:rsid w:val="70313C65"/>
    <w:rsid w:val="74DD3DBD"/>
    <w:rsid w:val="7A6F64D1"/>
    <w:rsid w:val="7AFFA34E"/>
    <w:rsid w:val="7CBD02B6"/>
    <w:rsid w:val="7D3C1C61"/>
    <w:rsid w:val="7DC75389"/>
    <w:rsid w:val="7F75D86B"/>
    <w:rsid w:val="BBDD1308"/>
    <w:rsid w:val="BBF640BE"/>
    <w:rsid w:val="F8ABE889"/>
    <w:rsid w:val="F9FD2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table" w:customStyle="1" w:styleId="12">
    <w:name w:val="网格型13"/>
    <w:basedOn w:val="6"/>
    <w:qFormat/>
    <w:uiPriority w:val="39"/>
    <w:pPr>
      <w:widowControl w:val="0"/>
      <w:adjustRightInd w:val="0"/>
      <w:snapToGrid w:val="0"/>
      <w:contextualSpacing/>
      <w:jc w:val="center"/>
    </w:pPr>
    <w:rPr>
      <w:rFonts w:eastAsia="仿宋"/>
    </w:rPr>
    <w:tblPr>
      <w:jc w:val="center"/>
      <w:tblBorders>
        <w:top w:val="double" w:color="auto" w:sz="2" w:space="0"/>
        <w:bottom w:val="double" w:color="auto" w:sz="2" w:space="0"/>
        <w:insideH w:val="single" w:color="auto" w:sz="2" w:space="0"/>
        <w:insideV w:val="single" w:color="auto" w:sz="2" w:space="0"/>
      </w:tblBorders>
    </w:tblPr>
    <w:trPr>
      <w:jc w:val="center"/>
    </w:trPr>
    <w:tcPr>
      <w:vAlign w:val="center"/>
    </w:tc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主题 字符"/>
    <w:basedOn w:val="13"/>
    <w:link w:val="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1156</Words>
  <Characters>1200</Characters>
  <Lines>10</Lines>
  <Paragraphs>3</Paragraphs>
  <TotalTime>0</TotalTime>
  <ScaleCrop>false</ScaleCrop>
  <LinksUpToDate>false</LinksUpToDate>
  <CharactersWithSpaces>1314</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2023-09-15T18:39:00Z</dcterms:created>
  <dc:creator>Li Fan</dc:creator>
  <cp:lastModifiedBy>涵burger</cp:lastModifiedBy>
  <dcterms:modified xsi:type="dcterms:W3CDTF">2024-11-22T10:01:36Z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66619347FCAC462DAF8AB6F10BC32E0C_13</vt:lpwstr>
  </property>
</Properties>
</file>