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FC5C7">
      <w:pPr>
        <w:rPr>
          <w:rFonts w:ascii="宋体" w:hAnsi="宋体" w:eastAsia="宋体"/>
          <w:sz w:val="28"/>
          <w:szCs w:val="28"/>
        </w:rPr>
      </w:pPr>
      <w:r>
        <w:rPr>
          <w:rFonts w:hint="eastAsia" w:ascii="宋体" w:hAnsi="宋体" w:eastAsia="宋体"/>
          <w:sz w:val="28"/>
          <w:szCs w:val="28"/>
        </w:rPr>
        <w:t>证券代码：688334</w:t>
      </w:r>
      <w:r>
        <w:rPr>
          <w:rFonts w:ascii="宋体" w:hAnsi="宋体" w:eastAsia="宋体"/>
          <w:sz w:val="28"/>
          <w:szCs w:val="28"/>
        </w:rPr>
        <w:t xml:space="preserve">   </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证券简称：西高院</w:t>
      </w:r>
    </w:p>
    <w:p w14:paraId="3E0F497E">
      <w:pPr>
        <w:jc w:val="center"/>
        <w:rPr>
          <w:rFonts w:ascii="黑体" w:hAnsi="黑体" w:eastAsia="黑体"/>
          <w:b/>
          <w:bCs/>
          <w:sz w:val="36"/>
          <w:szCs w:val="36"/>
        </w:rPr>
      </w:pPr>
      <w:r>
        <w:rPr>
          <w:rFonts w:hint="eastAsia" w:ascii="黑体" w:hAnsi="黑体" w:eastAsia="黑体"/>
          <w:b/>
          <w:bCs/>
          <w:sz w:val="36"/>
          <w:szCs w:val="36"/>
        </w:rPr>
        <w:t>西安高压电器研究院股份有限公司</w:t>
      </w:r>
    </w:p>
    <w:p w14:paraId="5644089B">
      <w:pPr>
        <w:jc w:val="center"/>
        <w:rPr>
          <w:rFonts w:ascii="黑体" w:hAnsi="黑体" w:eastAsia="黑体"/>
          <w:b/>
          <w:bCs/>
          <w:sz w:val="36"/>
          <w:szCs w:val="36"/>
        </w:rPr>
      </w:pPr>
      <w:r>
        <w:rPr>
          <w:rFonts w:hint="eastAsia" w:ascii="黑体" w:hAnsi="黑体" w:eastAsia="黑体"/>
          <w:b/>
          <w:bCs/>
          <w:sz w:val="36"/>
          <w:szCs w:val="36"/>
        </w:rPr>
        <w:t>投资者关系活动记录表</w:t>
      </w:r>
    </w:p>
    <w:p w14:paraId="7B8E06CE">
      <w:pPr>
        <w:ind w:firstLine="560" w:firstLineChars="200"/>
        <w:jc w:val="right"/>
        <w:rPr>
          <w:rFonts w:hint="default" w:ascii="宋体" w:hAnsi="宋体" w:eastAsia="宋体"/>
          <w:sz w:val="28"/>
          <w:szCs w:val="28"/>
          <w:lang w:val="en-US" w:eastAsia="zh-CN"/>
        </w:rPr>
      </w:pPr>
      <w:r>
        <w:rPr>
          <w:rFonts w:hint="eastAsia" w:ascii="宋体" w:hAnsi="宋体" w:eastAsia="宋体"/>
          <w:sz w:val="28"/>
          <w:szCs w:val="28"/>
        </w:rPr>
        <w:t>编号：2</w:t>
      </w:r>
      <w:r>
        <w:rPr>
          <w:rFonts w:ascii="宋体" w:hAnsi="宋体" w:eastAsia="宋体"/>
          <w:sz w:val="28"/>
          <w:szCs w:val="28"/>
        </w:rPr>
        <w:t>02</w:t>
      </w:r>
      <w:r>
        <w:rPr>
          <w:rFonts w:hint="eastAsia" w:ascii="宋体" w:hAnsi="宋体" w:eastAsia="宋体"/>
          <w:sz w:val="28"/>
          <w:szCs w:val="28"/>
        </w:rPr>
        <w:t>4</w:t>
      </w:r>
      <w:r>
        <w:rPr>
          <w:rFonts w:ascii="宋体" w:hAnsi="宋体" w:eastAsia="宋体"/>
          <w:sz w:val="28"/>
          <w:szCs w:val="28"/>
        </w:rPr>
        <w:t>-0</w:t>
      </w:r>
      <w:r>
        <w:rPr>
          <w:rFonts w:hint="eastAsia" w:ascii="宋体" w:hAnsi="宋体" w:eastAsia="宋体"/>
          <w:sz w:val="28"/>
          <w:szCs w:val="28"/>
          <w:lang w:val="en-US" w:eastAsia="zh-CN"/>
        </w:rPr>
        <w:t>23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740"/>
      </w:tblGrid>
      <w:tr w14:paraId="4021673B">
        <w:trPr>
          <w:trHeight w:val="1701" w:hRule="atLeast"/>
        </w:trPr>
        <w:tc>
          <w:tcPr>
            <w:tcW w:w="1980" w:type="dxa"/>
            <w:vAlign w:val="center"/>
          </w:tcPr>
          <w:p w14:paraId="7FB80A23">
            <w:pPr>
              <w:jc w:val="center"/>
              <w:rPr>
                <w:rFonts w:ascii="宋体" w:hAnsi="宋体" w:eastAsia="宋体"/>
                <w:b/>
                <w:bCs/>
                <w:sz w:val="24"/>
                <w:szCs w:val="24"/>
              </w:rPr>
            </w:pPr>
            <w:r>
              <w:rPr>
                <w:rFonts w:hint="eastAsia" w:ascii="宋体" w:hAnsi="宋体" w:eastAsia="宋体"/>
                <w:b/>
                <w:bCs/>
                <w:sz w:val="24"/>
                <w:szCs w:val="24"/>
              </w:rPr>
              <w:t>投资者关系</w:t>
            </w:r>
          </w:p>
          <w:p w14:paraId="5998FFEB">
            <w:pPr>
              <w:jc w:val="center"/>
              <w:rPr>
                <w:rFonts w:ascii="宋体" w:hAnsi="宋体" w:eastAsia="宋体"/>
                <w:b/>
                <w:bCs/>
                <w:sz w:val="24"/>
                <w:szCs w:val="24"/>
              </w:rPr>
            </w:pPr>
            <w:r>
              <w:rPr>
                <w:rFonts w:hint="eastAsia" w:ascii="宋体" w:hAnsi="宋体" w:eastAsia="宋体"/>
                <w:b/>
                <w:bCs/>
                <w:sz w:val="24"/>
                <w:szCs w:val="24"/>
              </w:rPr>
              <w:t>活动类别</w:t>
            </w:r>
          </w:p>
        </w:tc>
        <w:tc>
          <w:tcPr>
            <w:tcW w:w="6740" w:type="dxa"/>
            <w:vAlign w:val="center"/>
          </w:tcPr>
          <w:p w14:paraId="666B9FF5">
            <w:pPr>
              <w:rPr>
                <w:rFonts w:ascii="宋体" w:hAnsi="宋体" w:eastAsia="宋体"/>
                <w:sz w:val="24"/>
                <w:szCs w:val="24"/>
              </w:rPr>
            </w:pPr>
            <w:r>
              <w:rPr>
                <w:rFonts w:hint="eastAsia" w:ascii="宋体" w:hAnsi="宋体" w:eastAsia="宋体"/>
                <w:sz w:val="24"/>
                <w:szCs w:val="24"/>
              </w:rPr>
              <w:t>√特定对象调研</w:t>
            </w:r>
            <w:r>
              <w:rPr>
                <w:rFonts w:ascii="宋体" w:hAnsi="宋体" w:eastAsia="宋体"/>
                <w:sz w:val="24"/>
                <w:szCs w:val="24"/>
              </w:rPr>
              <w:t xml:space="preserve">                □分析师会议</w:t>
            </w:r>
          </w:p>
          <w:p w14:paraId="5C7AF06B">
            <w:pPr>
              <w:rPr>
                <w:rFonts w:ascii="宋体" w:hAnsi="宋体" w:eastAsia="宋体"/>
                <w:sz w:val="24"/>
                <w:szCs w:val="24"/>
              </w:rPr>
            </w:pPr>
            <w:r>
              <w:rPr>
                <w:rFonts w:hint="eastAsia" w:ascii="宋体" w:hAnsi="宋体" w:eastAsia="宋体"/>
                <w:sz w:val="24"/>
                <w:szCs w:val="24"/>
              </w:rPr>
              <w:t>□媒体采访</w:t>
            </w:r>
            <w:r>
              <w:rPr>
                <w:rFonts w:ascii="宋体" w:hAnsi="宋体" w:eastAsia="宋体"/>
                <w:sz w:val="24"/>
                <w:szCs w:val="24"/>
              </w:rPr>
              <w:t xml:space="preserve">                    □业绩说明会</w:t>
            </w:r>
          </w:p>
          <w:p w14:paraId="14CBDB7E">
            <w:pPr>
              <w:rPr>
                <w:rFonts w:ascii="宋体" w:hAnsi="宋体" w:eastAsia="宋体"/>
                <w:sz w:val="24"/>
                <w:szCs w:val="24"/>
              </w:rPr>
            </w:pPr>
            <w:r>
              <w:rPr>
                <w:rFonts w:hint="eastAsia" w:ascii="宋体" w:hAnsi="宋体" w:eastAsia="宋体"/>
                <w:sz w:val="24"/>
                <w:szCs w:val="24"/>
              </w:rPr>
              <w:t>□新闻发布会</w:t>
            </w:r>
            <w:r>
              <w:rPr>
                <w:rFonts w:ascii="宋体" w:hAnsi="宋体" w:eastAsia="宋体"/>
                <w:sz w:val="24"/>
                <w:szCs w:val="24"/>
              </w:rPr>
              <w:t xml:space="preserve">                  □路演活动</w:t>
            </w:r>
          </w:p>
          <w:p w14:paraId="19F0ECF6">
            <w:pPr>
              <w:rPr>
                <w:rFonts w:ascii="宋体" w:hAnsi="宋体" w:eastAsia="宋体"/>
                <w:sz w:val="24"/>
                <w:szCs w:val="24"/>
              </w:rPr>
            </w:pPr>
            <w:r>
              <w:rPr>
                <w:rFonts w:hint="eastAsia" w:ascii="宋体" w:hAnsi="宋体" w:eastAsia="宋体"/>
                <w:sz w:val="24"/>
                <w:szCs w:val="24"/>
              </w:rPr>
              <w:t>□现场参观</w:t>
            </w:r>
            <w:r>
              <w:rPr>
                <w:rFonts w:ascii="宋体" w:hAnsi="宋体" w:eastAsia="宋体"/>
                <w:sz w:val="24"/>
                <w:szCs w:val="24"/>
              </w:rPr>
              <w:t xml:space="preserve">                    □电话会议</w:t>
            </w:r>
          </w:p>
          <w:p w14:paraId="58A189D4">
            <w:pPr>
              <w:rPr>
                <w:rFonts w:ascii="宋体" w:hAnsi="宋体" w:eastAsia="宋体"/>
                <w:sz w:val="24"/>
                <w:szCs w:val="24"/>
              </w:rPr>
            </w:pPr>
            <w:r>
              <w:rPr>
                <w:rFonts w:hint="eastAsia" w:ascii="宋体" w:hAnsi="宋体" w:eastAsia="宋体"/>
                <w:sz w:val="24"/>
                <w:szCs w:val="24"/>
              </w:rPr>
              <w:t>□其他</w:t>
            </w:r>
          </w:p>
        </w:tc>
      </w:tr>
      <w:tr w14:paraId="301C2357">
        <w:trPr>
          <w:trHeight w:val="510" w:hRule="atLeast"/>
        </w:trPr>
        <w:tc>
          <w:tcPr>
            <w:tcW w:w="1980" w:type="dxa"/>
            <w:vAlign w:val="center"/>
          </w:tcPr>
          <w:p w14:paraId="235C8CAD">
            <w:pPr>
              <w:jc w:val="center"/>
              <w:rPr>
                <w:rFonts w:ascii="宋体" w:hAnsi="宋体" w:eastAsia="宋体"/>
                <w:b/>
                <w:bCs/>
                <w:sz w:val="24"/>
                <w:szCs w:val="24"/>
              </w:rPr>
            </w:pPr>
            <w:r>
              <w:rPr>
                <w:rFonts w:hint="eastAsia" w:ascii="宋体" w:hAnsi="宋体" w:eastAsia="宋体"/>
                <w:b/>
                <w:bCs/>
                <w:sz w:val="24"/>
                <w:szCs w:val="24"/>
              </w:rPr>
              <w:t>参与单位名称</w:t>
            </w:r>
          </w:p>
        </w:tc>
        <w:tc>
          <w:tcPr>
            <w:tcW w:w="6740" w:type="dxa"/>
            <w:vAlign w:val="center"/>
          </w:tcPr>
          <w:p w14:paraId="04DC9972">
            <w:pPr>
              <w:rPr>
                <w:rFonts w:hint="eastAsia" w:ascii="宋体" w:hAnsi="宋体" w:eastAsia="宋体"/>
                <w:sz w:val="24"/>
                <w:szCs w:val="24"/>
                <w:lang w:val="en-US" w:eastAsia="zh-CN"/>
              </w:rPr>
            </w:pPr>
            <w:r>
              <w:rPr>
                <w:rFonts w:hint="eastAsia" w:ascii="宋体" w:hAnsi="宋体" w:eastAsia="宋体"/>
                <w:sz w:val="24"/>
                <w:szCs w:val="24"/>
                <w:lang w:val="en-US" w:eastAsia="zh-CN"/>
              </w:rPr>
              <w:t>信达澳亚基金管理有限公司</w:t>
            </w:r>
          </w:p>
          <w:p w14:paraId="52CCFA2E">
            <w:pPr>
              <w:rPr>
                <w:rFonts w:hint="default" w:ascii="宋体" w:hAnsi="宋体" w:eastAsia="宋体"/>
                <w:sz w:val="24"/>
                <w:szCs w:val="24"/>
                <w:highlight w:val="yellow"/>
                <w:lang w:val="en-US" w:eastAsia="zh-CN"/>
              </w:rPr>
            </w:pPr>
            <w:r>
              <w:rPr>
                <w:rFonts w:hint="default" w:ascii="宋体" w:hAnsi="宋体" w:eastAsia="宋体"/>
                <w:sz w:val="24"/>
                <w:szCs w:val="24"/>
                <w:lang w:val="en-US" w:eastAsia="zh-CN"/>
              </w:rPr>
              <w:t>上海南土资产</w:t>
            </w:r>
            <w:r>
              <w:rPr>
                <w:rFonts w:hint="eastAsia" w:ascii="宋体" w:hAnsi="宋体" w:eastAsia="宋体"/>
                <w:sz w:val="24"/>
                <w:szCs w:val="24"/>
                <w:lang w:val="en-US" w:eastAsia="zh-CN"/>
              </w:rPr>
              <w:t>管理有限公司</w:t>
            </w:r>
          </w:p>
          <w:p w14:paraId="2390A97D">
            <w:pPr>
              <w:rPr>
                <w:rFonts w:hint="default" w:ascii="宋体" w:hAnsi="宋体" w:eastAsia="宋体"/>
                <w:sz w:val="24"/>
                <w:szCs w:val="24"/>
                <w:lang w:val="en-US" w:eastAsia="zh-CN"/>
              </w:rPr>
            </w:pPr>
            <w:r>
              <w:rPr>
                <w:rFonts w:hint="eastAsia" w:ascii="宋体" w:hAnsi="宋体" w:eastAsia="宋体"/>
                <w:sz w:val="24"/>
                <w:szCs w:val="24"/>
                <w:lang w:val="en-US" w:eastAsia="zh-CN"/>
              </w:rPr>
              <w:t>浙商证券股份有限公司</w:t>
            </w:r>
          </w:p>
        </w:tc>
      </w:tr>
      <w:tr w14:paraId="2A70EBCE">
        <w:trPr>
          <w:trHeight w:val="510" w:hRule="atLeast"/>
        </w:trPr>
        <w:tc>
          <w:tcPr>
            <w:tcW w:w="1980" w:type="dxa"/>
            <w:vAlign w:val="center"/>
          </w:tcPr>
          <w:p w14:paraId="29380DD3">
            <w:pPr>
              <w:jc w:val="center"/>
              <w:rPr>
                <w:rFonts w:ascii="宋体" w:hAnsi="宋体" w:eastAsia="宋体"/>
                <w:b/>
                <w:bCs/>
                <w:sz w:val="24"/>
                <w:szCs w:val="24"/>
              </w:rPr>
            </w:pPr>
            <w:r>
              <w:rPr>
                <w:rFonts w:hint="eastAsia" w:ascii="宋体" w:hAnsi="宋体" w:eastAsia="宋体"/>
                <w:b/>
                <w:bCs/>
                <w:sz w:val="24"/>
                <w:szCs w:val="24"/>
              </w:rPr>
              <w:t>会议时间</w:t>
            </w:r>
          </w:p>
        </w:tc>
        <w:tc>
          <w:tcPr>
            <w:tcW w:w="6740" w:type="dxa"/>
            <w:vAlign w:val="center"/>
          </w:tcPr>
          <w:p w14:paraId="41CE5760">
            <w:pPr>
              <w:rPr>
                <w:rFonts w:ascii="宋体" w:hAnsi="宋体" w:eastAsia="宋体"/>
                <w:sz w:val="24"/>
                <w:szCs w:val="24"/>
              </w:rPr>
            </w:pPr>
            <w:r>
              <w:rPr>
                <w:rFonts w:ascii="宋体" w:hAnsi="宋体" w:eastAsia="宋体"/>
                <w:sz w:val="24"/>
                <w:szCs w:val="24"/>
              </w:rPr>
              <w:t>202</w:t>
            </w:r>
            <w:r>
              <w:rPr>
                <w:rFonts w:hint="eastAsia" w:ascii="宋体" w:hAnsi="宋体" w:eastAsia="宋体"/>
                <w:sz w:val="24"/>
                <w:szCs w:val="24"/>
              </w:rPr>
              <w:t>4</w:t>
            </w:r>
            <w:r>
              <w:rPr>
                <w:rFonts w:ascii="宋体" w:hAnsi="宋体" w:eastAsia="宋体"/>
                <w:sz w:val="24"/>
                <w:szCs w:val="24"/>
              </w:rPr>
              <w:t>年</w:t>
            </w:r>
            <w:r>
              <w:rPr>
                <w:rFonts w:hint="eastAsia" w:ascii="宋体" w:hAnsi="宋体" w:eastAsia="宋体"/>
                <w:sz w:val="24"/>
                <w:szCs w:val="24"/>
                <w:lang w:val="en-US" w:eastAsia="zh-CN"/>
              </w:rPr>
              <w:t>11</w:t>
            </w:r>
            <w:r>
              <w:rPr>
                <w:rFonts w:ascii="宋体" w:hAnsi="宋体" w:eastAsia="宋体"/>
                <w:sz w:val="24"/>
                <w:szCs w:val="24"/>
              </w:rPr>
              <w:t>月</w:t>
            </w:r>
            <w:r>
              <w:rPr>
                <w:rFonts w:hint="eastAsia" w:ascii="宋体" w:hAnsi="宋体" w:eastAsia="宋体"/>
                <w:sz w:val="24"/>
                <w:szCs w:val="24"/>
                <w:lang w:val="en-US" w:eastAsia="zh-CN"/>
              </w:rPr>
              <w:t>21</w:t>
            </w:r>
            <w:r>
              <w:rPr>
                <w:rFonts w:ascii="宋体" w:hAnsi="宋体" w:eastAsia="宋体"/>
                <w:sz w:val="24"/>
                <w:szCs w:val="24"/>
              </w:rPr>
              <w:t>日</w:t>
            </w:r>
          </w:p>
        </w:tc>
      </w:tr>
      <w:tr w14:paraId="2C29647C">
        <w:trPr>
          <w:trHeight w:val="510" w:hRule="atLeast"/>
        </w:trPr>
        <w:tc>
          <w:tcPr>
            <w:tcW w:w="1980" w:type="dxa"/>
            <w:vAlign w:val="center"/>
          </w:tcPr>
          <w:p w14:paraId="2A72C254">
            <w:pPr>
              <w:jc w:val="center"/>
              <w:rPr>
                <w:rFonts w:ascii="宋体" w:hAnsi="宋体" w:eastAsia="宋体"/>
                <w:b/>
                <w:bCs/>
                <w:sz w:val="24"/>
                <w:szCs w:val="24"/>
              </w:rPr>
            </w:pPr>
            <w:r>
              <w:rPr>
                <w:rFonts w:hint="eastAsia" w:ascii="宋体" w:hAnsi="宋体" w:eastAsia="宋体"/>
                <w:b/>
                <w:bCs/>
                <w:sz w:val="24"/>
                <w:szCs w:val="24"/>
              </w:rPr>
              <w:t>会议地点</w:t>
            </w:r>
          </w:p>
        </w:tc>
        <w:tc>
          <w:tcPr>
            <w:tcW w:w="6740" w:type="dxa"/>
            <w:vAlign w:val="center"/>
          </w:tcPr>
          <w:p w14:paraId="4310C1C5">
            <w:pPr>
              <w:rPr>
                <w:rFonts w:hint="eastAsia" w:ascii="宋体" w:hAnsi="宋体" w:eastAsia="宋体"/>
                <w:sz w:val="24"/>
                <w:szCs w:val="24"/>
                <w:lang w:val="en-US" w:eastAsia="zh-CN"/>
              </w:rPr>
            </w:pPr>
            <w:r>
              <w:rPr>
                <w:rFonts w:hint="eastAsia" w:ascii="宋体" w:hAnsi="宋体" w:eastAsia="宋体"/>
                <w:sz w:val="24"/>
                <w:szCs w:val="24"/>
              </w:rPr>
              <w:t>西高院</w:t>
            </w:r>
            <w:r>
              <w:rPr>
                <w:rFonts w:hint="eastAsia" w:ascii="宋体" w:hAnsi="宋体" w:eastAsia="宋体"/>
                <w:sz w:val="24"/>
                <w:szCs w:val="24"/>
                <w:lang w:val="en-US" w:eastAsia="zh-CN"/>
              </w:rPr>
              <w:t>会议室</w:t>
            </w:r>
          </w:p>
        </w:tc>
      </w:tr>
      <w:tr w14:paraId="090F6B0C">
        <w:trPr>
          <w:trHeight w:val="689" w:hRule="atLeast"/>
        </w:trPr>
        <w:tc>
          <w:tcPr>
            <w:tcW w:w="1980" w:type="dxa"/>
            <w:vAlign w:val="center"/>
          </w:tcPr>
          <w:p w14:paraId="17E15081">
            <w:pPr>
              <w:jc w:val="center"/>
              <w:rPr>
                <w:rFonts w:ascii="宋体" w:hAnsi="宋体" w:eastAsia="宋体"/>
                <w:b/>
                <w:bCs/>
                <w:sz w:val="24"/>
                <w:szCs w:val="24"/>
              </w:rPr>
            </w:pPr>
            <w:r>
              <w:rPr>
                <w:rFonts w:hint="eastAsia" w:ascii="宋体" w:hAnsi="宋体" w:eastAsia="宋体"/>
                <w:b/>
                <w:bCs/>
                <w:sz w:val="24"/>
                <w:szCs w:val="24"/>
              </w:rPr>
              <w:t>公司接待人员</w:t>
            </w:r>
          </w:p>
        </w:tc>
        <w:tc>
          <w:tcPr>
            <w:tcW w:w="6740" w:type="dxa"/>
            <w:vAlign w:val="center"/>
          </w:tcPr>
          <w:p w14:paraId="64F7EC66">
            <w:pPr>
              <w:rPr>
                <w:rFonts w:hint="eastAsia" w:ascii="宋体" w:hAnsi="宋体" w:eastAsia="宋体"/>
                <w:sz w:val="24"/>
                <w:szCs w:val="24"/>
                <w:lang w:val="en-US" w:eastAsia="zh-CN"/>
              </w:rPr>
            </w:pPr>
            <w:r>
              <w:rPr>
                <w:rFonts w:hint="eastAsia" w:ascii="宋体" w:hAnsi="宋体" w:eastAsia="宋体"/>
                <w:sz w:val="24"/>
                <w:szCs w:val="24"/>
                <w:lang w:val="en-US" w:eastAsia="zh-CN"/>
              </w:rPr>
              <w:t>董事会秘书 王辉</w:t>
            </w:r>
          </w:p>
          <w:p w14:paraId="7DB64AE4">
            <w:pPr>
              <w:rPr>
                <w:rFonts w:hint="default" w:ascii="宋体" w:hAnsi="宋体" w:eastAsia="宋体"/>
                <w:sz w:val="24"/>
                <w:szCs w:val="24"/>
                <w:lang w:val="en-US" w:eastAsia="zh-CN"/>
              </w:rPr>
            </w:pPr>
            <w:r>
              <w:rPr>
                <w:rFonts w:hint="eastAsia" w:ascii="宋体" w:hAnsi="宋体" w:eastAsia="宋体"/>
                <w:sz w:val="24"/>
                <w:szCs w:val="24"/>
                <w:lang w:val="en-US" w:eastAsia="zh-CN"/>
              </w:rPr>
              <w:t>证券事务代表 韩瑞</w:t>
            </w:r>
          </w:p>
          <w:p w14:paraId="572EA098">
            <w:pPr>
              <w:rPr>
                <w:rFonts w:hint="default" w:ascii="宋体" w:hAnsi="宋体" w:eastAsia="宋体"/>
                <w:sz w:val="24"/>
                <w:szCs w:val="24"/>
                <w:lang w:val="en-US" w:eastAsia="zh-CN"/>
              </w:rPr>
            </w:pPr>
            <w:r>
              <w:rPr>
                <w:rFonts w:hint="eastAsia" w:ascii="宋体" w:hAnsi="宋体" w:eastAsia="宋体"/>
                <w:sz w:val="24"/>
                <w:szCs w:val="24"/>
                <w:lang w:val="en-US" w:eastAsia="zh-CN"/>
              </w:rPr>
              <w:t>证券事务专员 李凡</w:t>
            </w:r>
          </w:p>
        </w:tc>
      </w:tr>
      <w:tr w14:paraId="794B0850">
        <w:trPr>
          <w:trHeight w:val="3767" w:hRule="atLeast"/>
        </w:trPr>
        <w:tc>
          <w:tcPr>
            <w:tcW w:w="1980" w:type="dxa"/>
            <w:vAlign w:val="center"/>
          </w:tcPr>
          <w:p w14:paraId="45B87E5E">
            <w:pPr>
              <w:jc w:val="center"/>
              <w:rPr>
                <w:rFonts w:ascii="宋体" w:hAnsi="宋体" w:eastAsia="宋体"/>
                <w:b/>
                <w:bCs/>
                <w:sz w:val="24"/>
                <w:szCs w:val="24"/>
              </w:rPr>
            </w:pPr>
            <w:r>
              <w:rPr>
                <w:rFonts w:hint="eastAsia" w:ascii="宋体" w:hAnsi="宋体" w:eastAsia="宋体"/>
                <w:b/>
                <w:bCs/>
                <w:sz w:val="24"/>
                <w:szCs w:val="24"/>
              </w:rPr>
              <w:t>投资者关系活动主要内容介绍</w:t>
            </w:r>
          </w:p>
        </w:tc>
        <w:tc>
          <w:tcPr>
            <w:tcW w:w="6740" w:type="dxa"/>
            <w:vAlign w:val="center"/>
          </w:tcPr>
          <w:p w14:paraId="3E0E7585">
            <w:pPr>
              <w:rPr>
                <w:rFonts w:ascii="宋体" w:hAnsi="宋体" w:eastAsia="宋体"/>
                <w:sz w:val="24"/>
                <w:szCs w:val="24"/>
              </w:rPr>
            </w:pPr>
            <w:r>
              <w:rPr>
                <w:rFonts w:hint="eastAsia" w:ascii="宋体" w:hAnsi="宋体" w:eastAsia="宋体"/>
                <w:b/>
                <w:bCs/>
                <w:sz w:val="24"/>
                <w:szCs w:val="24"/>
              </w:rPr>
              <w:t>第一部分</w:t>
            </w:r>
            <w:r>
              <w:rPr>
                <w:rFonts w:hint="eastAsia" w:ascii="宋体" w:hAnsi="宋体" w:eastAsia="宋体"/>
                <w:sz w:val="24"/>
                <w:szCs w:val="24"/>
              </w:rPr>
              <w:t>：公司2024年</w:t>
            </w:r>
            <w:r>
              <w:rPr>
                <w:rFonts w:hint="eastAsia" w:ascii="宋体" w:hAnsi="宋体" w:eastAsia="宋体"/>
                <w:sz w:val="24"/>
                <w:szCs w:val="24"/>
                <w:lang w:val="en-US" w:eastAsia="zh-CN"/>
              </w:rPr>
              <w:t>三季度</w:t>
            </w:r>
            <w:r>
              <w:rPr>
                <w:rFonts w:hint="eastAsia" w:ascii="宋体" w:hAnsi="宋体" w:eastAsia="宋体"/>
                <w:sz w:val="24"/>
                <w:szCs w:val="24"/>
              </w:rPr>
              <w:t>经营情况说明，介绍公司概况、核心技术</w:t>
            </w:r>
            <w:r>
              <w:rPr>
                <w:rFonts w:hint="eastAsia" w:ascii="宋体" w:hAnsi="宋体" w:eastAsia="宋体"/>
                <w:sz w:val="24"/>
                <w:szCs w:val="24"/>
                <w:lang w:val="en-US" w:eastAsia="zh-CN"/>
              </w:rPr>
              <w:t>、项目拓展、权益分派</w:t>
            </w:r>
            <w:r>
              <w:rPr>
                <w:rFonts w:hint="eastAsia" w:ascii="宋体" w:hAnsi="宋体" w:eastAsia="宋体"/>
                <w:sz w:val="24"/>
                <w:szCs w:val="24"/>
              </w:rPr>
              <w:t>等；</w:t>
            </w:r>
          </w:p>
          <w:p w14:paraId="72923B35">
            <w:pPr>
              <w:rPr>
                <w:rFonts w:hint="eastAsia" w:ascii="宋体" w:hAnsi="宋体" w:eastAsia="宋体"/>
                <w:sz w:val="24"/>
                <w:szCs w:val="24"/>
              </w:rPr>
            </w:pPr>
            <w:r>
              <w:rPr>
                <w:rFonts w:hint="eastAsia" w:ascii="宋体" w:hAnsi="宋体" w:eastAsia="宋体"/>
                <w:b/>
                <w:bCs/>
                <w:sz w:val="24"/>
                <w:szCs w:val="24"/>
              </w:rPr>
              <w:t>第二部分</w:t>
            </w:r>
            <w:r>
              <w:rPr>
                <w:rFonts w:hint="eastAsia" w:ascii="宋体" w:hAnsi="宋体" w:eastAsia="宋体"/>
                <w:sz w:val="24"/>
                <w:szCs w:val="24"/>
              </w:rPr>
              <w:t>：问答环节</w:t>
            </w:r>
          </w:p>
          <w:p w14:paraId="1CD93BFE">
            <w:pPr>
              <w:ind w:firstLine="480" w:firstLineChars="200"/>
              <w:rPr>
                <w:rFonts w:hint="eastAsia" w:ascii="宋体" w:hAnsi="宋体" w:eastAsia="宋体"/>
                <w:sz w:val="24"/>
                <w:szCs w:val="24"/>
                <w:lang w:val="en-US" w:eastAsia="zh-CN"/>
              </w:rPr>
            </w:pPr>
            <w:r>
              <w:rPr>
                <w:rFonts w:hint="eastAsia" w:ascii="宋体" w:hAnsi="宋体" w:eastAsia="宋体"/>
                <w:sz w:val="24"/>
                <w:szCs w:val="24"/>
              </w:rPr>
              <w:t>问题</w:t>
            </w:r>
            <w:r>
              <w:rPr>
                <w:rFonts w:hint="eastAsia" w:ascii="宋体" w:hAnsi="宋体" w:eastAsia="宋体"/>
                <w:sz w:val="24"/>
                <w:szCs w:val="24"/>
                <w:lang w:val="en-US" w:eastAsia="zh-CN"/>
              </w:rPr>
              <w:t>1</w:t>
            </w:r>
            <w:r>
              <w:rPr>
                <w:rFonts w:hint="eastAsia" w:ascii="宋体" w:hAnsi="宋体" w:eastAsia="宋体"/>
                <w:sz w:val="24"/>
                <w:szCs w:val="24"/>
              </w:rPr>
              <w:t>：公司的股东分红情况如何？</w:t>
            </w:r>
          </w:p>
          <w:p w14:paraId="49CCF48D">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答：2024年进行了年中分红与三季度分红，前三季度公司现金分红（包括拟派发半年度分红50,019,555.63元）总额81,677,502.23元（含税），占公司2024年前三季度归属于上市公司股东的净利润的50.15%。公司始终致力于保障股东权益，通过稳健的经营和持续的价值创造，为股东带来丰厚的回报。 </w:t>
            </w:r>
          </w:p>
          <w:p w14:paraId="6136DA7E">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问题2：公司收购河高所所带来的影响？</w:t>
            </w:r>
          </w:p>
          <w:p w14:paraId="1C47CAFA">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答：西高院收购河高所的目的在于提升综合实力、避免同业竞争、拓展产业布局与市场资源以及促进长期发展。这一收购举措将有助于西高院在高压电器领域取得更大的成就和突破。</w:t>
            </w:r>
          </w:p>
          <w:p w14:paraId="07BFDD29">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问题3：新能源项目拓展情况如何？</w:t>
            </w:r>
          </w:p>
          <w:p w14:paraId="23617173">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答：公司紧盯新能源产业发展，加强移动式电网适应性测试平台研究与建设，完成超精度光储变流器测试平台建设，并通过了光储变流器及电化学储能电池测试CNAS/CMA资质扩项。完成国内首台风电机组暂态电压优化控制技术的现场测试、陕西首台风电机组结构化建模宽频阻抗现场试验，以及多个储能电站的电池抽检试验。</w:t>
            </w:r>
          </w:p>
          <w:p w14:paraId="74AE1651">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问题4：公司研发投入力度如何？ </w:t>
            </w:r>
          </w:p>
          <w:p w14:paraId="1C4CFE6B">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答：西高院在研发投入上一直保持较高的占比。虽然存在波动，但整体呈增长趋势。较高的研发投入有助于公司在电气设备检测、绿色海上风电设备关键技术、超大容量开断关键技术、环保气体开断技术、环保气体绝缘技术等领域的技术储备和创新能力的提升。</w:t>
            </w:r>
          </w:p>
          <w:p w14:paraId="0FF26FC9">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问题5：公司中长期发展规划？ </w:t>
            </w:r>
          </w:p>
          <w:p w14:paraId="6C67B862">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答：在传统检测业务方面，公司拟提升传统检测业务布局，增加一次设备检测市场空间，提升交、直流高压输配电设备试验检测能力。公司拟于未来实现业务范围涵盖高/中/低压、输/变/配电、一/二次电气产品，并提升相关研发能力，实现业务多元化发展；在新能源业务发展方面，公司注重新能源检测项目的拓展，在动力电池、储能电池、电能质量方面也有布局规划。除检测业务之外，同步提高咨询、认证、计量等行业相关的服务订单量。</w:t>
            </w:r>
          </w:p>
        </w:tc>
      </w:tr>
      <w:tr w14:paraId="61B5CBF7">
        <w:trPr>
          <w:trHeight w:val="481" w:hRule="atLeast"/>
        </w:trPr>
        <w:tc>
          <w:tcPr>
            <w:tcW w:w="1980" w:type="dxa"/>
            <w:vAlign w:val="center"/>
          </w:tcPr>
          <w:p w14:paraId="3ACF6405">
            <w:pPr>
              <w:jc w:val="center"/>
              <w:rPr>
                <w:rFonts w:ascii="宋体" w:hAnsi="宋体" w:eastAsia="宋体"/>
                <w:b/>
                <w:bCs/>
                <w:sz w:val="24"/>
                <w:szCs w:val="24"/>
              </w:rPr>
            </w:pPr>
            <w:r>
              <w:rPr>
                <w:rFonts w:hint="eastAsia" w:ascii="宋体" w:hAnsi="宋体" w:eastAsia="宋体"/>
                <w:b/>
                <w:bCs/>
                <w:sz w:val="24"/>
                <w:szCs w:val="24"/>
              </w:rPr>
              <w:t>附件清单</w:t>
            </w:r>
          </w:p>
          <w:p w14:paraId="5A25711D">
            <w:pPr>
              <w:jc w:val="center"/>
              <w:rPr>
                <w:rFonts w:ascii="宋体" w:hAnsi="宋体" w:eastAsia="宋体"/>
                <w:b/>
                <w:bCs/>
                <w:sz w:val="24"/>
                <w:szCs w:val="24"/>
              </w:rPr>
            </w:pPr>
            <w:r>
              <w:rPr>
                <w:rFonts w:hint="eastAsia" w:ascii="宋体" w:hAnsi="宋体" w:eastAsia="宋体"/>
                <w:b/>
                <w:bCs/>
                <w:sz w:val="24"/>
                <w:szCs w:val="24"/>
              </w:rPr>
              <w:t>（如有）</w:t>
            </w:r>
          </w:p>
        </w:tc>
        <w:tc>
          <w:tcPr>
            <w:tcW w:w="6740" w:type="dxa"/>
            <w:vAlign w:val="center"/>
          </w:tcPr>
          <w:p w14:paraId="26B8CA8C">
            <w:pPr>
              <w:rPr>
                <w:rFonts w:ascii="宋体" w:hAnsi="宋体" w:eastAsia="宋体"/>
                <w:sz w:val="24"/>
                <w:szCs w:val="24"/>
              </w:rPr>
            </w:pPr>
            <w:r>
              <w:rPr>
                <w:rFonts w:hint="eastAsia" w:ascii="宋体" w:hAnsi="宋体" w:eastAsia="宋体"/>
                <w:sz w:val="24"/>
                <w:szCs w:val="24"/>
              </w:rPr>
              <w:t>无</w:t>
            </w:r>
          </w:p>
        </w:tc>
      </w:tr>
      <w:tr w14:paraId="5A0369BD">
        <w:trPr>
          <w:trHeight w:val="510" w:hRule="atLeast"/>
        </w:trPr>
        <w:tc>
          <w:tcPr>
            <w:tcW w:w="1980" w:type="dxa"/>
            <w:vAlign w:val="center"/>
          </w:tcPr>
          <w:p w14:paraId="5F6A9563">
            <w:pPr>
              <w:jc w:val="center"/>
              <w:rPr>
                <w:rFonts w:ascii="宋体" w:hAnsi="宋体" w:eastAsia="宋体"/>
                <w:b/>
                <w:bCs/>
                <w:sz w:val="24"/>
                <w:szCs w:val="24"/>
              </w:rPr>
            </w:pPr>
            <w:r>
              <w:rPr>
                <w:rFonts w:hint="eastAsia" w:ascii="宋体" w:hAnsi="宋体" w:eastAsia="宋体"/>
                <w:b/>
                <w:bCs/>
                <w:sz w:val="24"/>
                <w:szCs w:val="24"/>
              </w:rPr>
              <w:t>日期</w:t>
            </w:r>
          </w:p>
        </w:tc>
        <w:tc>
          <w:tcPr>
            <w:tcW w:w="6740" w:type="dxa"/>
            <w:vAlign w:val="center"/>
          </w:tcPr>
          <w:p w14:paraId="2F05F448">
            <w:pP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02</w:t>
            </w:r>
            <w:r>
              <w:rPr>
                <w:rFonts w:hint="eastAsia" w:ascii="宋体" w:hAnsi="宋体" w:eastAsia="宋体"/>
                <w:sz w:val="24"/>
                <w:szCs w:val="24"/>
              </w:rPr>
              <w:t>4年</w:t>
            </w:r>
            <w:r>
              <w:rPr>
                <w:rFonts w:hint="eastAsia" w:ascii="宋体" w:hAnsi="宋体" w:eastAsia="宋体"/>
                <w:sz w:val="24"/>
                <w:szCs w:val="24"/>
                <w:lang w:val="en-US" w:eastAsia="zh-CN"/>
              </w:rPr>
              <w:t>11</w:t>
            </w:r>
            <w:r>
              <w:rPr>
                <w:rFonts w:hint="eastAsia" w:ascii="宋体" w:hAnsi="宋体" w:eastAsia="宋体"/>
                <w:sz w:val="24"/>
                <w:szCs w:val="24"/>
              </w:rPr>
              <w:t>月</w:t>
            </w:r>
            <w:r>
              <w:rPr>
                <w:rFonts w:hint="eastAsia" w:ascii="宋体" w:hAnsi="宋体" w:eastAsia="宋体"/>
                <w:sz w:val="24"/>
                <w:szCs w:val="24"/>
                <w:lang w:val="en-US" w:eastAsia="zh-CN"/>
              </w:rPr>
              <w:t>22</w:t>
            </w:r>
            <w:r>
              <w:rPr>
                <w:rFonts w:hint="eastAsia" w:ascii="宋体" w:hAnsi="宋体" w:eastAsia="宋体"/>
                <w:sz w:val="24"/>
                <w:szCs w:val="24"/>
              </w:rPr>
              <w:t>日</w:t>
            </w:r>
            <w:bookmarkStart w:id="0" w:name="_GoBack"/>
            <w:bookmarkEnd w:id="0"/>
          </w:p>
        </w:tc>
      </w:tr>
      <w:tr w14:paraId="00D3237A">
        <w:trPr>
          <w:trHeight w:val="1176" w:hRule="atLeast"/>
        </w:trPr>
        <w:tc>
          <w:tcPr>
            <w:tcW w:w="1980" w:type="dxa"/>
            <w:vAlign w:val="center"/>
          </w:tcPr>
          <w:p w14:paraId="65247C49">
            <w:pPr>
              <w:jc w:val="center"/>
              <w:rPr>
                <w:rFonts w:ascii="宋体" w:hAnsi="宋体" w:eastAsia="宋体"/>
                <w:b/>
                <w:bCs/>
                <w:sz w:val="24"/>
                <w:szCs w:val="24"/>
              </w:rPr>
            </w:pPr>
            <w:r>
              <w:rPr>
                <w:rFonts w:hint="eastAsia" w:ascii="宋体" w:hAnsi="宋体" w:eastAsia="宋体"/>
                <w:b/>
                <w:bCs/>
                <w:sz w:val="24"/>
                <w:szCs w:val="24"/>
              </w:rPr>
              <w:t>备注</w:t>
            </w:r>
          </w:p>
        </w:tc>
        <w:tc>
          <w:tcPr>
            <w:tcW w:w="6740" w:type="dxa"/>
            <w:vAlign w:val="center"/>
          </w:tcPr>
          <w:p w14:paraId="77C846A9">
            <w:pPr>
              <w:ind w:firstLine="480" w:firstLineChars="200"/>
              <w:rPr>
                <w:rFonts w:ascii="宋体" w:hAnsi="宋体" w:eastAsia="宋体"/>
                <w:sz w:val="24"/>
                <w:szCs w:val="24"/>
              </w:rPr>
            </w:pPr>
            <w:r>
              <w:rPr>
                <w:rFonts w:hint="eastAsia" w:ascii="宋体" w:hAnsi="宋体" w:eastAsia="宋体"/>
                <w:sz w:val="24"/>
                <w:szCs w:val="24"/>
              </w:rPr>
              <w:t>公司与投资者进行了充分的交流与沟通，并严格按照公司《信息披露管理制度》等规定，保证信息披露的真实、准确、完善、及时、公平，没有出现未公开重大信息披露等情况。</w:t>
            </w:r>
          </w:p>
        </w:tc>
      </w:tr>
    </w:tbl>
    <w:p w14:paraId="2C10F54A">
      <w:pPr>
        <w:ind w:firstLine="572" w:firstLineChars="0"/>
        <w:rPr>
          <w:rFonts w:hint="eastAsia" w:ascii="宋体" w:hAnsi="宋体" w:eastAsia="宋体"/>
          <w:sz w:val="28"/>
          <w:szCs w:val="28"/>
          <w:lang w:eastAsia="zh-CN"/>
        </w:rPr>
      </w:pPr>
    </w:p>
    <w:sectPr>
      <w:pgSz w:w="11906" w:h="16838"/>
      <w:pgMar w:top="2098" w:right="1588"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mYjdmYWJlZjU3MTUxN2I5OTkwNWFkNmY4YTZkNmIifQ=="/>
  </w:docVars>
  <w:rsids>
    <w:rsidRoot w:val="00C270E3"/>
    <w:rsid w:val="000046C0"/>
    <w:rsid w:val="00040A4D"/>
    <w:rsid w:val="0005356D"/>
    <w:rsid w:val="00056BF8"/>
    <w:rsid w:val="00114EC2"/>
    <w:rsid w:val="00166EFE"/>
    <w:rsid w:val="00177D31"/>
    <w:rsid w:val="001865C3"/>
    <w:rsid w:val="001D1473"/>
    <w:rsid w:val="00221C5F"/>
    <w:rsid w:val="002461AF"/>
    <w:rsid w:val="00283962"/>
    <w:rsid w:val="00285A86"/>
    <w:rsid w:val="002C6800"/>
    <w:rsid w:val="003A4E0F"/>
    <w:rsid w:val="003A6336"/>
    <w:rsid w:val="003C0917"/>
    <w:rsid w:val="003E2E81"/>
    <w:rsid w:val="0040719C"/>
    <w:rsid w:val="00416E60"/>
    <w:rsid w:val="004538E3"/>
    <w:rsid w:val="00472383"/>
    <w:rsid w:val="0048160F"/>
    <w:rsid w:val="004A5EAD"/>
    <w:rsid w:val="004E36FE"/>
    <w:rsid w:val="004F7731"/>
    <w:rsid w:val="0058556F"/>
    <w:rsid w:val="0059368B"/>
    <w:rsid w:val="005B3284"/>
    <w:rsid w:val="005B615A"/>
    <w:rsid w:val="005D62BE"/>
    <w:rsid w:val="00610C66"/>
    <w:rsid w:val="00610EB4"/>
    <w:rsid w:val="00643CD4"/>
    <w:rsid w:val="0065798B"/>
    <w:rsid w:val="0066380B"/>
    <w:rsid w:val="00692FBB"/>
    <w:rsid w:val="006C7D12"/>
    <w:rsid w:val="006E6D82"/>
    <w:rsid w:val="00716F64"/>
    <w:rsid w:val="00732656"/>
    <w:rsid w:val="0073427C"/>
    <w:rsid w:val="00753105"/>
    <w:rsid w:val="007652EE"/>
    <w:rsid w:val="007A3408"/>
    <w:rsid w:val="007A74E8"/>
    <w:rsid w:val="007B0537"/>
    <w:rsid w:val="007B0FBC"/>
    <w:rsid w:val="007B236F"/>
    <w:rsid w:val="007C110E"/>
    <w:rsid w:val="007E730F"/>
    <w:rsid w:val="007F0CCD"/>
    <w:rsid w:val="00800E21"/>
    <w:rsid w:val="008320C7"/>
    <w:rsid w:val="00835B13"/>
    <w:rsid w:val="008400C0"/>
    <w:rsid w:val="0088426E"/>
    <w:rsid w:val="008C6317"/>
    <w:rsid w:val="008D4151"/>
    <w:rsid w:val="008F2465"/>
    <w:rsid w:val="008F763B"/>
    <w:rsid w:val="009304C5"/>
    <w:rsid w:val="00932ED3"/>
    <w:rsid w:val="00940B96"/>
    <w:rsid w:val="0096674D"/>
    <w:rsid w:val="009E7502"/>
    <w:rsid w:val="00A6158B"/>
    <w:rsid w:val="00B06BDA"/>
    <w:rsid w:val="00B209CF"/>
    <w:rsid w:val="00B2783C"/>
    <w:rsid w:val="00BB60ED"/>
    <w:rsid w:val="00BC1298"/>
    <w:rsid w:val="00BC1380"/>
    <w:rsid w:val="00BE5149"/>
    <w:rsid w:val="00C270E3"/>
    <w:rsid w:val="00C31A71"/>
    <w:rsid w:val="00C37BBA"/>
    <w:rsid w:val="00C45A18"/>
    <w:rsid w:val="00C90ECD"/>
    <w:rsid w:val="00CC41C9"/>
    <w:rsid w:val="00CE3C96"/>
    <w:rsid w:val="00D30BFA"/>
    <w:rsid w:val="00D401B1"/>
    <w:rsid w:val="00D62015"/>
    <w:rsid w:val="00DC7531"/>
    <w:rsid w:val="00E02AC9"/>
    <w:rsid w:val="00E647F3"/>
    <w:rsid w:val="00E83AEA"/>
    <w:rsid w:val="00E91488"/>
    <w:rsid w:val="00EB42BC"/>
    <w:rsid w:val="00EC39B4"/>
    <w:rsid w:val="00F023D3"/>
    <w:rsid w:val="00F110D5"/>
    <w:rsid w:val="00F231C3"/>
    <w:rsid w:val="00F66890"/>
    <w:rsid w:val="00F875A3"/>
    <w:rsid w:val="00FC186B"/>
    <w:rsid w:val="00FC5F92"/>
    <w:rsid w:val="00FD65CA"/>
    <w:rsid w:val="00FE542C"/>
    <w:rsid w:val="020E6E6E"/>
    <w:rsid w:val="03107D15"/>
    <w:rsid w:val="094979CB"/>
    <w:rsid w:val="098C1D28"/>
    <w:rsid w:val="0A512972"/>
    <w:rsid w:val="0A645335"/>
    <w:rsid w:val="0CBC3962"/>
    <w:rsid w:val="0CDA6DE4"/>
    <w:rsid w:val="0EA10534"/>
    <w:rsid w:val="101B23FC"/>
    <w:rsid w:val="11F631BA"/>
    <w:rsid w:val="12B9646F"/>
    <w:rsid w:val="17F237A3"/>
    <w:rsid w:val="1B4B7A22"/>
    <w:rsid w:val="1C990377"/>
    <w:rsid w:val="1EBD7328"/>
    <w:rsid w:val="22420D90"/>
    <w:rsid w:val="226C48AA"/>
    <w:rsid w:val="23DB2F62"/>
    <w:rsid w:val="24B14E63"/>
    <w:rsid w:val="26EE3D85"/>
    <w:rsid w:val="30EA3C40"/>
    <w:rsid w:val="373C4996"/>
    <w:rsid w:val="374B4FC3"/>
    <w:rsid w:val="3817149D"/>
    <w:rsid w:val="3C44208D"/>
    <w:rsid w:val="3FCE11F8"/>
    <w:rsid w:val="41A437BF"/>
    <w:rsid w:val="4264182A"/>
    <w:rsid w:val="429A1953"/>
    <w:rsid w:val="43E91A02"/>
    <w:rsid w:val="441A1CBF"/>
    <w:rsid w:val="44C85ABB"/>
    <w:rsid w:val="4A721FC1"/>
    <w:rsid w:val="4DA42AB6"/>
    <w:rsid w:val="51EA1DA4"/>
    <w:rsid w:val="52EA42EB"/>
    <w:rsid w:val="56FBA0E2"/>
    <w:rsid w:val="594F1212"/>
    <w:rsid w:val="59504660"/>
    <w:rsid w:val="5FFC07EC"/>
    <w:rsid w:val="65CA3C0E"/>
    <w:rsid w:val="65F8742B"/>
    <w:rsid w:val="67523C88"/>
    <w:rsid w:val="68702FE3"/>
    <w:rsid w:val="6A8FE567"/>
    <w:rsid w:val="6B9B71D6"/>
    <w:rsid w:val="6BDB090C"/>
    <w:rsid w:val="6CC85C91"/>
    <w:rsid w:val="6D3113B3"/>
    <w:rsid w:val="6D511FF0"/>
    <w:rsid w:val="6D5B9298"/>
    <w:rsid w:val="6ED461E0"/>
    <w:rsid w:val="70313C65"/>
    <w:rsid w:val="74DD3DBD"/>
    <w:rsid w:val="7A6F64D1"/>
    <w:rsid w:val="7CBD02B6"/>
    <w:rsid w:val="7D3C1C61"/>
    <w:rsid w:val="7DC75389"/>
    <w:rsid w:val="7DFDED77"/>
    <w:rsid w:val="A3FC99E9"/>
    <w:rsid w:val="F7ED148F"/>
    <w:rsid w:val="F7FDAD07"/>
    <w:rsid w:val="FC7D364C"/>
    <w:rsid w:val="FE593BE3"/>
    <w:rsid w:val="FFF64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14"/>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table" w:customStyle="1" w:styleId="12">
    <w:name w:val="网格型13"/>
    <w:basedOn w:val="6"/>
    <w:qFormat/>
    <w:uiPriority w:val="39"/>
    <w:pPr>
      <w:widowControl w:val="0"/>
      <w:adjustRightInd w:val="0"/>
      <w:snapToGrid w:val="0"/>
      <w:contextualSpacing/>
      <w:jc w:val="center"/>
    </w:pPr>
    <w:rPr>
      <w:rFonts w:eastAsia="仿宋"/>
    </w:rPr>
    <w:tblPr>
      <w:jc w:val="center"/>
      <w:tblBorders>
        <w:top w:val="double" w:color="auto" w:sz="2" w:space="0"/>
        <w:bottom w:val="double" w:color="auto" w:sz="2" w:space="0"/>
        <w:insideH w:val="single" w:color="auto" w:sz="2" w:space="0"/>
        <w:insideV w:val="single" w:color="auto" w:sz="2" w:space="0"/>
      </w:tblBorders>
    </w:tblPr>
    <w:trPr>
      <w:jc w:val="center"/>
    </w:trPr>
    <w:tcPr>
      <w:vAlign w:val="center"/>
    </w:tcPr>
  </w:style>
  <w:style w:type="character" w:customStyle="1" w:styleId="13">
    <w:name w:val="批注文字 字符"/>
    <w:basedOn w:val="8"/>
    <w:link w:val="2"/>
    <w:semiHidden/>
    <w:qFormat/>
    <w:uiPriority w:val="99"/>
    <w:rPr>
      <w:rFonts w:asciiTheme="minorHAnsi" w:hAnsiTheme="minorHAnsi" w:eastAsiaTheme="minorEastAsia" w:cstheme="minorBidi"/>
      <w:kern w:val="2"/>
      <w:sz w:val="21"/>
      <w:szCs w:val="22"/>
    </w:rPr>
  </w:style>
  <w:style w:type="character" w:customStyle="1" w:styleId="14">
    <w:name w:val="批注主题 字符"/>
    <w:basedOn w:val="13"/>
    <w:link w:val="5"/>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1156</Words>
  <Characters>1200</Characters>
  <Lines>10</Lines>
  <Paragraphs>3</Paragraphs>
  <TotalTime>57</TotalTime>
  <ScaleCrop>false</ScaleCrop>
  <LinksUpToDate>false</LinksUpToDate>
  <CharactersWithSpaces>1314</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2023-09-15T18:39:00Z</dcterms:created>
  <dc:creator>Li Fan</dc:creator>
  <cp:lastModifiedBy>涵burger</cp:lastModifiedBy>
  <dcterms:modified xsi:type="dcterms:W3CDTF">2024-11-22T10:01:05Z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66619347FCAC462DAF8AB6F10BC32E0C_13</vt:lpwstr>
  </property>
</Properties>
</file>