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7ADCA" w14:textId="77777777" w:rsidR="00747A31" w:rsidRPr="006C6680" w:rsidRDefault="009F72BA">
      <w:pPr>
        <w:spacing w:beforeLines="50" w:before="156" w:afterLines="50" w:after="156" w:line="400" w:lineRule="exac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C66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证券代码：</w:t>
      </w:r>
      <w:r w:rsidRPr="006C66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688566                                    </w:t>
      </w:r>
      <w:r w:rsidRPr="006C66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证券简称：吉贝尔</w:t>
      </w:r>
    </w:p>
    <w:p w14:paraId="6D62D800" w14:textId="77777777" w:rsidR="00747A31" w:rsidRPr="006C6680" w:rsidRDefault="009F72BA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 w:rsidRPr="006C6680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江苏吉贝尔药业股份有限公司</w:t>
      </w:r>
    </w:p>
    <w:p w14:paraId="04056BFE" w14:textId="77777777" w:rsidR="00747A31" w:rsidRPr="006C6680" w:rsidRDefault="009F72BA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 w:rsidRPr="006C6680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5F0CA9A4" w14:textId="39944967" w:rsidR="00747A31" w:rsidRPr="00150E39" w:rsidRDefault="009F72BA">
      <w:pPr>
        <w:spacing w:line="400" w:lineRule="exact"/>
        <w:jc w:val="right"/>
        <w:rPr>
          <w:rFonts w:asciiTheme="minorEastAsia" w:hAnsiTheme="minorEastAsia" w:cs="Times New Roman" w:hint="eastAsia"/>
          <w:bCs/>
          <w:iCs/>
          <w:color w:val="000000"/>
          <w:sz w:val="24"/>
          <w:szCs w:val="24"/>
        </w:rPr>
      </w:pPr>
      <w:r w:rsidRPr="00150E39">
        <w:rPr>
          <w:rFonts w:asciiTheme="minorEastAsia" w:hAnsiTheme="minorEastAsia" w:cs="Times New Roman"/>
          <w:bCs/>
          <w:iCs/>
          <w:color w:val="000000"/>
          <w:sz w:val="24"/>
          <w:szCs w:val="24"/>
        </w:rPr>
        <w:t xml:space="preserve">               编号：</w:t>
      </w:r>
      <w:r w:rsidR="00094469" w:rsidRPr="00150E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202</w:t>
      </w:r>
      <w:r w:rsidR="006C2804">
        <w:rPr>
          <w:rFonts w:ascii="Times New Roman" w:hAnsi="Times New Roman" w:cs="Times New Roman" w:hint="eastAsia"/>
          <w:bCs/>
          <w:iCs/>
          <w:color w:val="000000"/>
          <w:sz w:val="24"/>
          <w:szCs w:val="24"/>
        </w:rPr>
        <w:t>4</w:t>
      </w:r>
      <w:r w:rsidRPr="00150E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94469" w:rsidRPr="00150E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00</w:t>
      </w:r>
      <w:r w:rsidR="001C3DCD">
        <w:rPr>
          <w:rFonts w:ascii="Times New Roman" w:hAnsi="Times New Roman" w:cs="Times New Roman" w:hint="eastAsia"/>
          <w:bCs/>
          <w:iCs/>
          <w:color w:val="000000"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747A31" w:rsidRPr="00150E39" w14:paraId="7471B493" w14:textId="77777777" w:rsidTr="000A6FD1">
        <w:trPr>
          <w:trHeight w:val="24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2391" w14:textId="37256238" w:rsidR="00747A31" w:rsidRPr="00150E39" w:rsidRDefault="009F72BA" w:rsidP="000A6FD1">
            <w:pPr>
              <w:spacing w:line="480" w:lineRule="atLeast"/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3C01" w14:textId="0A46F4C8" w:rsidR="00747A31" w:rsidRPr="00150E39" w:rsidRDefault="000A6FD1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特定对象调研        </w:t>
            </w:r>
            <w:r w:rsidR="000E24E7"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分析师会议</w:t>
            </w:r>
          </w:p>
          <w:p w14:paraId="68EDD365" w14:textId="18AFD428" w:rsidR="00747A31" w:rsidRPr="00150E39" w:rsidRDefault="009F72BA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媒体采访           </w:t>
            </w:r>
            <w:r w:rsidR="004A33CC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0A6FD1"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="000A6FD1"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="000A6FD1" w:rsidRPr="00150E39">
              <w:rPr>
                <w:rFonts w:asciiTheme="minorEastAsia" w:hAnsiTheme="minorEastAsia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="000A6FD1"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业绩说明会</w:t>
            </w:r>
          </w:p>
          <w:p w14:paraId="06D3AC27" w14:textId="77777777" w:rsidR="00747A31" w:rsidRPr="00150E39" w:rsidRDefault="009F72BA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新闻发布会          </w:t>
            </w: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路演活动</w:t>
            </w:r>
          </w:p>
          <w:p w14:paraId="017FFB36" w14:textId="6617E596" w:rsidR="00747A31" w:rsidRPr="00150E39" w:rsidRDefault="00D840E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现场参观</w:t>
            </w:r>
            <w:r w:rsidR="009F72BA"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25D4EC15" w14:textId="4AC93426" w:rsidR="00747A31" w:rsidRPr="00150E39" w:rsidRDefault="000A6FD1">
            <w:pPr>
              <w:tabs>
                <w:tab w:val="center" w:pos="3199"/>
              </w:tabs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其他（</w:t>
            </w:r>
            <w:r w:rsidR="00D07AF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线上会议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）</w:t>
            </w:r>
          </w:p>
        </w:tc>
      </w:tr>
      <w:tr w:rsidR="00747A31" w:rsidRPr="00150E39" w14:paraId="6E3389C9" w14:textId="77777777" w:rsidTr="00887322">
        <w:trPr>
          <w:trHeight w:val="8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53AA" w14:textId="0325ACE1" w:rsidR="00747A31" w:rsidRPr="00150E39" w:rsidRDefault="009F72BA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C072" w14:textId="4DEB1FFE" w:rsidR="001F3BA3" w:rsidRPr="002C31D2" w:rsidRDefault="000A6FD1" w:rsidP="00E466AF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0A6FD1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参与了本次业绩说明会的线上投资者</w:t>
            </w:r>
          </w:p>
        </w:tc>
      </w:tr>
      <w:tr w:rsidR="00747A31" w:rsidRPr="00150E39" w14:paraId="6BA68A3A" w14:textId="77777777" w:rsidTr="000A6FD1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E2F3" w14:textId="77777777" w:rsidR="00747A31" w:rsidRPr="00150E39" w:rsidRDefault="009F72BA" w:rsidP="00031FA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52BB" w14:textId="2B6E74B0" w:rsidR="001F3BA3" w:rsidRPr="00150E39" w:rsidRDefault="002F59C6" w:rsidP="00031FA8">
            <w:pPr>
              <w:adjustRightInd w:val="0"/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02</w:t>
            </w:r>
            <w:r w:rsidR="00167B4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1C3DC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EE51A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1C3DC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1670E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DA7B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EE51A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</w:t>
            </w:r>
            <w:r w:rsidR="001670E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DA7B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EE51A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47A31" w:rsidRPr="00150E39" w14:paraId="6EC6370C" w14:textId="77777777" w:rsidTr="00DD0F05">
        <w:trPr>
          <w:trHeight w:val="1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B90C" w14:textId="77777777" w:rsidR="00747A31" w:rsidRPr="00150E39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9D35" w14:textId="77777777" w:rsidR="00EE51AA" w:rsidRDefault="00EE51AA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51AA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东方财富路演平台</w:t>
            </w:r>
          </w:p>
          <w:p w14:paraId="15F4E372" w14:textId="32B77712" w:rsidR="00747A31" w:rsidRPr="005D5FBB" w:rsidRDefault="00EE51AA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51AA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（网址：</w:t>
            </w:r>
            <w:r w:rsidR="001C3DCD" w:rsidRPr="001C3DC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http://roadshow.eastmoney.com/luyan/4580568</w:t>
            </w:r>
            <w:r w:rsidRPr="00EE51AA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747A31" w:rsidRPr="00150E39" w14:paraId="73AB73DC" w14:textId="77777777" w:rsidTr="00DD0F05">
        <w:trPr>
          <w:trHeight w:val="19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EC3" w14:textId="77777777" w:rsidR="00747A31" w:rsidRPr="00150E39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B266" w14:textId="77777777" w:rsidR="007237CE" w:rsidRDefault="007237CE" w:rsidP="00031FA8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7237C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董事长、总经理 </w:t>
            </w:r>
            <w:proofErr w:type="gramStart"/>
            <w:r w:rsidRPr="007237C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耿仲毅</w:t>
            </w:r>
            <w:proofErr w:type="gramEnd"/>
            <w:r w:rsidRPr="007237C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189DBB4D" w14:textId="77777777" w:rsidR="007237CE" w:rsidRDefault="007237CE" w:rsidP="00031FA8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7237C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财务总监 </w:t>
            </w:r>
            <w:proofErr w:type="gramStart"/>
            <w:r w:rsidRPr="007237C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赵锁富</w:t>
            </w:r>
            <w:proofErr w:type="gramEnd"/>
            <w:r w:rsidRPr="007237C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5A734BD5" w14:textId="77777777" w:rsidR="007237CE" w:rsidRDefault="007237CE" w:rsidP="00031FA8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7237C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董事会秘书 翟建中 </w:t>
            </w:r>
          </w:p>
          <w:p w14:paraId="143FEE73" w14:textId="39BA9027" w:rsidR="00031FA8" w:rsidRPr="00CD2F9C" w:rsidRDefault="007237CE" w:rsidP="00031FA8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7237C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独立董事 </w:t>
            </w: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陈留平</w:t>
            </w:r>
          </w:p>
        </w:tc>
      </w:tr>
      <w:tr w:rsidR="00747A31" w:rsidRPr="00150E39" w14:paraId="48E8618D" w14:textId="77777777" w:rsidTr="000A6FD1">
        <w:trPr>
          <w:trHeight w:val="5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712" w14:textId="77777777" w:rsidR="00747A31" w:rsidRPr="00150E39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07CA" w14:textId="04483597" w:rsidR="000B4D46" w:rsidRPr="00E91E00" w:rsidRDefault="000B4D46" w:rsidP="00E91E00">
            <w:pPr>
              <w:pStyle w:val="af0"/>
              <w:adjustRightInd w:val="0"/>
              <w:snapToGrid w:val="0"/>
              <w:spacing w:beforeLines="50" w:before="156" w:afterLines="50" w:after="156"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在东方财富路演平台的支持下，公司于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1C3DCD" w:rsidRPr="00E91E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DCD" w:rsidRPr="00E91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日下午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召开</w:t>
            </w:r>
            <w:r w:rsidR="00E5337E" w:rsidRPr="00E91E00">
              <w:rPr>
                <w:rFonts w:ascii="Times New Roman" w:hAnsi="Times New Roman" w:cs="Times New Roman"/>
                <w:sz w:val="24"/>
                <w:szCs w:val="24"/>
              </w:rPr>
              <w:t>了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1C3DCD" w:rsidRPr="00E91E00">
              <w:rPr>
                <w:rFonts w:ascii="Times New Roman" w:hAnsi="Times New Roman" w:cs="Times New Roman"/>
                <w:sz w:val="24"/>
                <w:szCs w:val="24"/>
              </w:rPr>
              <w:t>第三季度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业绩说明会，就投资者关心的问题进行了线上交流，具体交流情况如下：</w:t>
            </w:r>
          </w:p>
          <w:p w14:paraId="52233FA1" w14:textId="3F421167" w:rsidR="00DA7B37" w:rsidRPr="00E91E00" w:rsidRDefault="00DA7B37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166C85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请问董事长，今年尼群</w:t>
            </w:r>
            <w:proofErr w:type="gramStart"/>
            <w:r w:rsidR="00166C85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洛</w:t>
            </w:r>
            <w:proofErr w:type="gramEnd"/>
            <w:r w:rsidR="00166C85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尔片销售预计可能达到多少？该药物达到市场饱和状态时的销量预计为每年多少呢？</w:t>
            </w:r>
          </w:p>
          <w:p w14:paraId="0C09E342" w14:textId="5936FBFE" w:rsidR="000D3506" w:rsidRPr="00E91E00" w:rsidRDefault="00166C85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尼群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洛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尔片作为公司目前主要产品之一，具有良好的应用前景，尤其适用于高血压伴高心率领域，近年来实现了较快增长。有关研究显示，单纯高血压伴心率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快患者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占高血压人群比例超过三分之一，尼群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洛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尔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片在此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领域具有明显优势和应用前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景，市场空间巨大，被《国家基本医疗保险目录》《中国高血压防治指南（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年修订版）》《基层心血管病综合管理实践指南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》《高血压合理用药指南（第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版）》等列为推荐用药。</w:t>
            </w:r>
          </w:p>
          <w:p w14:paraId="613AE395" w14:textId="06931537" w:rsidR="00821F95" w:rsidRPr="00E91E00" w:rsidRDefault="00821F95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2056A4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能否简单介绍下公司</w:t>
            </w:r>
            <w:r w:rsidR="002056A4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="002056A4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年前三季度的业绩情况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7B4661D5" w14:textId="021C5408" w:rsidR="00821F95" w:rsidRPr="00E91E00" w:rsidRDefault="002056A4" w:rsidP="00E91E0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年前三季度，公司营业收入和归属于上市公司股东的净利润实现双增长，其中营业收入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64,320.73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万元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同比增长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4.25%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，归属于上市公司股东的净利润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17,456.37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万元，同比增长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12.57%</w:t>
            </w:r>
            <w:r w:rsidR="00821F95" w:rsidRPr="00E91E00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2244AF49" w14:textId="798C9B6D" w:rsidR="00C81E50" w:rsidRPr="00E91E00" w:rsidRDefault="00FB316E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25A9C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2056A4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请问公司在</w:t>
            </w:r>
            <w:proofErr w:type="gramStart"/>
            <w:r w:rsidR="002056A4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研</w:t>
            </w:r>
            <w:proofErr w:type="gramEnd"/>
            <w:r w:rsidR="002056A4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抗抑郁一类新药</w:t>
            </w:r>
            <w:r w:rsidR="002056A4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JJH201501</w:t>
            </w:r>
            <w:r w:rsidR="002056A4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的研发进展到哪一步了</w:t>
            </w:r>
            <w:r w:rsidR="002C718D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？</w:t>
            </w:r>
            <w:r w:rsidR="00DA7B37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1E8020D" w14:textId="443D0E51" w:rsidR="002C718D" w:rsidRPr="00E91E00" w:rsidRDefault="002056A4" w:rsidP="00E91E0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公司在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研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抗抑郁一类新药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JJH201501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是一种新型的多受体作用机制的抗抑郁药，具有明显的抗抑郁作用。临床研究表明，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JJH201501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可明显延长药物在人体内的半衰期，延长药物体内滞留时间，提高药物在体内的血药浓度以及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AUC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，减慢药物在体内的代谢速度，有望成为新型抗抑郁症药物。目前，抗抑郁新药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JJH201501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正在开展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期临床试验，正有序推进受试者入组工作</w:t>
            </w:r>
            <w:r w:rsidR="00EB2A38" w:rsidRPr="00E91E00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7372B38E" w14:textId="4635FB70" w:rsidR="007E26F8" w:rsidRPr="00E91E00" w:rsidRDefault="00FB316E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47884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123FCC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请问董事长，公司股价现在跌破发行价，跌破增发价。公司有什么市值管理办法吗</w:t>
            </w:r>
            <w:r w:rsidR="00847884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113C296F" w14:textId="2CF2F40B" w:rsidR="00847884" w:rsidRPr="00E91E00" w:rsidRDefault="00123FCC" w:rsidP="00E91E0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股票价格受多种因素影响，公司及管理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层持续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关注。公司重视长期发展，持续提升创新能力和研发水平，聚焦主营业务，不断提高公司持续盈利能力和综合竞争力，提升公司在行业内的竞争地位，坚持以良好的经营业绩回报股东，回馈社会</w:t>
            </w:r>
            <w:r w:rsidR="00847884" w:rsidRPr="00E91E00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53716B40" w14:textId="383D5446" w:rsidR="00C81E50" w:rsidRPr="00E91E00" w:rsidRDefault="00FB316E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25A9C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123FCC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注意到公司近期又分红了，未来公司是否继续考虑如此高频次的分红</w:t>
            </w:r>
            <w:r w:rsidR="00C81E50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463BED69" w14:textId="61CD9593" w:rsidR="009747F7" w:rsidRPr="00E91E00" w:rsidRDefault="00E03145" w:rsidP="00E91E0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公司综合考虑对投资者的合理回报，公司经营情况，公司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lastRenderedPageBreak/>
              <w:t>未来可持续发展需要等因素，制定了公司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2024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年前三季度利润分配方案，并于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2024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年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11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月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15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日实施完毕。同时，公司为积极响应中国证监会、上海证券交易所关于健全上市公司常态化分红机制，鼓励现金分红的导向，在公司章程中明确了公司发行上市后的利润分配、现金分红政策。未来，公司将继续统筹好公司发展、业绩增长与股东回报的动态平衡，以期更好的回报股东，回馈社会</w:t>
            </w:r>
            <w:r w:rsidR="003B3E93"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。</w:t>
            </w:r>
          </w:p>
          <w:p w14:paraId="1FAF152B" w14:textId="23193D0F" w:rsidR="00167B48" w:rsidRPr="00E91E00" w:rsidRDefault="00FB316E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25A9C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23070D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利</w:t>
            </w:r>
            <w:proofErr w:type="gramStart"/>
            <w:r w:rsidR="0023070D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可君片目前</w:t>
            </w:r>
            <w:proofErr w:type="gramEnd"/>
            <w:r w:rsidR="0023070D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在肿瘤科室的推广情况怎样啊</w:t>
            </w:r>
            <w:r w:rsidR="00712547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49DF203E" w14:textId="62C624EE" w:rsidR="00461E7D" w:rsidRPr="00E91E00" w:rsidRDefault="00664153" w:rsidP="00E91E00">
            <w:pPr>
              <w:widowControl/>
              <w:spacing w:line="360" w:lineRule="auto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公司利</w:t>
            </w:r>
            <w:proofErr w:type="gram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可君片作为</w:t>
            </w:r>
            <w:proofErr w:type="gram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口服升白化药的主流药品，对白细胞有促进增生作用，可广泛用于预防、治疗白血球减少症及血小板减少症、再生障碍性贫血等，特别是放射治疗和化学治疗引起的白细胞减少症具有显著疗效。公司正全力拓展利</w:t>
            </w:r>
            <w:proofErr w:type="gram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可君片在</w:t>
            </w:r>
            <w:proofErr w:type="gram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肿瘤领域的应用情形，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2022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年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5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月，由国内权威肿瘤疾病专家石远凯、顾晋等编著的《临床路径释义肿瘤疾病分册（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2022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年版）》正式出版，利</w:t>
            </w:r>
            <w:proofErr w:type="gram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可君片被</w:t>
            </w:r>
            <w:proofErr w:type="gram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作为治疗恶性肿瘤疾病的推荐用药收录在册：研究表明，利</w:t>
            </w:r>
            <w:proofErr w:type="gram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可君片对</w:t>
            </w:r>
            <w:proofErr w:type="gram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预防及治疗恶性肿瘤患者在放疗、化疗过程中发生的骨髓抑制现象具有显著效果。目前，利</w:t>
            </w:r>
            <w:proofErr w:type="gram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可君片已</w:t>
            </w:r>
            <w:proofErr w:type="gram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单独或联合其他药物用于临床上白细胞减少症的治疗，具有良好的疗效，推广效果显现</w:t>
            </w:r>
            <w:r w:rsidR="00461E7D"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。</w:t>
            </w:r>
          </w:p>
          <w:p w14:paraId="02F6BC9F" w14:textId="65F51E62" w:rsidR="00BA5482" w:rsidRPr="00E91E00" w:rsidRDefault="00FB316E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A5482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664153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请问领导，公司抗肿瘤新药</w:t>
            </w:r>
            <w:r w:rsidR="00664153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JJH201601</w:t>
            </w:r>
            <w:r w:rsidR="00664153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的临床试验进展情况</w:t>
            </w:r>
            <w:r w:rsidR="00BA5482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31049AF4" w14:textId="0F3ABF71" w:rsidR="00BD7EA4" w:rsidRPr="00E91E00" w:rsidRDefault="00664153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公司在</w:t>
            </w:r>
            <w:proofErr w:type="gram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研</w:t>
            </w:r>
            <w:proofErr w:type="gram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抗肿瘤新药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JJH201601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是公司依托脂质体药物研发技术平台开发的一类抗肿瘤新药。目前，抗肿瘤新药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JJH201601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已取得《药物临床试验批准通知书》，批准本品单药在晚期实体瘤中开展临床试验，已完成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I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期临床剂量爬坡试验，正在开展剂量扩展试验，同时开展</w:t>
            </w:r>
            <w:proofErr w:type="spell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IIa</w:t>
            </w:r>
            <w:proofErr w:type="spell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期临床试验</w:t>
            </w:r>
            <w:r w:rsidR="002C31D2" w:rsidRPr="00E91E00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16AB3410" w14:textId="0E6F1315" w:rsidR="00C06E2F" w:rsidRPr="00E91E00" w:rsidRDefault="00C06E2F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664153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贵公司尼群</w:t>
            </w:r>
            <w:proofErr w:type="gramStart"/>
            <w:r w:rsidR="00664153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洛</w:t>
            </w:r>
            <w:proofErr w:type="gramEnd"/>
            <w:r w:rsidR="00664153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尔片有何独特之处，对其市场前景又是</w:t>
            </w:r>
            <w:r w:rsidR="00664153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如何看待的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？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EDBAC2" w14:textId="61796329" w:rsidR="00C06E2F" w:rsidRPr="00E91E00" w:rsidRDefault="002D165D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公司尼群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洛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尔片是国家首个复方抗高血压一类新药，用于治疗轻中度原发性高血压，更适用于轻中度高血压合并心率快患者，是国内外首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钙通道阻滞剂（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CCB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受体阻滞剂（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）组成的低剂量固定复方制剂，其创新性地运用了协同降压机制，消减不良反应、提升疗效，有效控制血压，又能有效保护靶器官，扩大了适应范围和人群，减轻了药物的副作用，提高了患者的依从性。有关研究显示，单纯高血压伴心率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快患者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占高血压人群比例超过三分之一，公司尼群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洛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尔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片在此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领域具有明显优势和应用前景，市场空间巨大；另一方面，控制血压的同时，加强对心率的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管控正逐步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成为高血压治疗领域的共识，尼群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洛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尔片在该细分市场领域具有广阔的应用场景。一项对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2997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例原发性高血压患者的临床研究表明，患者治疗后心率平均下降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次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分钟。不同访视结果显示，治疗一个月后，心率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下降值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趋于缓和稳定，尼群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洛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尔</w:t>
            </w:r>
            <w:proofErr w:type="gramStart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片尤其</w:t>
            </w:r>
            <w:proofErr w:type="gramEnd"/>
            <w:r w:rsidRPr="00E91E00">
              <w:rPr>
                <w:rFonts w:ascii="Times New Roman" w:hAnsi="Times New Roman" w:cs="Times New Roman"/>
                <w:sz w:val="24"/>
                <w:szCs w:val="24"/>
              </w:rPr>
              <w:t>适用于高血压伴高心率患者，疗效显著，临床不可替代，市场前景广阔</w:t>
            </w:r>
            <w:r w:rsidR="00C06E2F" w:rsidRPr="00E91E00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3E440725" w14:textId="69544CC0" w:rsidR="00C06E2F" w:rsidRPr="00E91E00" w:rsidRDefault="00C06E2F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2D165D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公司</w:t>
            </w:r>
            <w:r w:rsidR="002D165D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="002D165D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年前三季度研发投入是多少，占营业收入的比例呢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52D2F6B9" w14:textId="583809A2" w:rsidR="00C06E2F" w:rsidRPr="00E91E00" w:rsidRDefault="002D165D" w:rsidP="00E91E0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公司</w:t>
            </w:r>
            <w:r w:rsidRPr="00E91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E91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年前三季度研发投入为</w:t>
            </w:r>
            <w:r w:rsidRPr="00E91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5,188.75</w:t>
            </w:r>
            <w:r w:rsidRPr="00E91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万元，与去年同期相比增长</w:t>
            </w:r>
            <w:r w:rsidRPr="00E91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23.25%</w:t>
            </w:r>
            <w:r w:rsidRPr="00E91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，占公司</w:t>
            </w:r>
            <w:r w:rsidRPr="00E91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E91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年前三季度销售收入的比例为</w:t>
            </w:r>
            <w:r w:rsidRPr="00E91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8.07%</w:t>
            </w:r>
            <w:r w:rsidRPr="00E91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。公司高度重视创新药研发工作，正有序向前推进相关新药的研发工作，未来随着公司开发品种的不断增加，新药研发进度的持续推进，后续研发、临床、注册等活动的全面展开，研发投入将会持续增长。公司持续创新发展能力将更加强劲</w:t>
            </w:r>
            <w:r w:rsidR="00C06E2F"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。</w:t>
            </w:r>
          </w:p>
          <w:p w14:paraId="7B24E041" w14:textId="3E251BA7" w:rsidR="00C06E2F" w:rsidRPr="00E91E00" w:rsidRDefault="00C06E2F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6A70EC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利可</w:t>
            </w:r>
            <w:proofErr w:type="gramStart"/>
            <w:r w:rsidR="006A70EC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君专利</w:t>
            </w:r>
            <w:proofErr w:type="gramEnd"/>
            <w:r w:rsidR="006A70EC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="006A70EC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年即将到期，请问公司采取了哪些措施防止其</w:t>
            </w:r>
            <w:proofErr w:type="gramStart"/>
            <w:r w:rsidR="006A70EC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未来被</w:t>
            </w:r>
            <w:proofErr w:type="gramEnd"/>
            <w:r w:rsidR="006A70EC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仿制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0F6A5D10" w14:textId="77777777" w:rsidR="00C06E2F" w:rsidRPr="00E91E00" w:rsidRDefault="006A70EC" w:rsidP="00E91E00">
            <w:pPr>
              <w:widowControl/>
              <w:spacing w:line="360" w:lineRule="auto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lastRenderedPageBreak/>
              <w:t>公司对利可君检测方法学进行系统研究，将工艺优化、质量提升、方法学研究等综合申报国家发明专利并取得授权，该专利对产品形成多层次技术壁垒和保护，并确保利</w:t>
            </w:r>
            <w:proofErr w:type="gram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可君片产品</w:t>
            </w:r>
            <w:proofErr w:type="gram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质量和临床疗效。同时，公司已就利</w:t>
            </w:r>
            <w:proofErr w:type="gram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可君晶型</w:t>
            </w:r>
            <w:proofErr w:type="gram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的制备方法以及用途申报专利保护并取得国家知识产权局颁发的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“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一种利可君的晶型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A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及其制备方法、用途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”“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一种利可君的晶型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B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及其制备方法、用途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”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发明专利证书，两种发明专利有效期均至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2041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年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12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月，进一步降低了利可</w:t>
            </w:r>
            <w:proofErr w:type="gram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君片及其</w:t>
            </w:r>
            <w:proofErr w:type="gram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原料药被仿制的风险，提升了利</w:t>
            </w:r>
            <w:proofErr w:type="gram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可君片的</w:t>
            </w:r>
            <w:proofErr w:type="gram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技术保护和技术壁垒。目前，公司仍是国内外唯一有能力生产利</w:t>
            </w:r>
            <w:proofErr w:type="gram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可君片的</w:t>
            </w:r>
            <w:proofErr w:type="gram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企业，也是利可</w:t>
            </w:r>
            <w:proofErr w:type="gramStart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君片国家</w:t>
            </w:r>
            <w:proofErr w:type="gramEnd"/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药品标准起草单位</w:t>
            </w:r>
            <w:r w:rsidR="00C06E2F"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。</w:t>
            </w:r>
          </w:p>
          <w:p w14:paraId="4E931832" w14:textId="5556DBCE" w:rsidR="006A70EC" w:rsidRPr="00E91E00" w:rsidRDefault="006A70EC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、耿总好，贵公司是个务实的企业，但人气一直不高，请问公司</w:t>
            </w:r>
            <w:proofErr w:type="gramStart"/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有没可并购</w:t>
            </w:r>
            <w:proofErr w:type="gramEnd"/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重组的意愿安排？公司的业绩有没有可预见性的增长？</w:t>
            </w:r>
          </w:p>
          <w:p w14:paraId="61CFCEF1" w14:textId="77777777" w:rsidR="006A70EC" w:rsidRPr="00E91E00" w:rsidRDefault="006A70EC" w:rsidP="00E91E00">
            <w:pPr>
              <w:widowControl/>
              <w:spacing w:line="360" w:lineRule="auto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近年来，公司经营情况良好，主要经营指标均实现了同比增长，整体发展趋势良好。如公司未来发生并购重组等重大事项，将按照信息披露相关规定及时公告，有关信息以公司在指定信息披露媒体上披露的公告为准。</w:t>
            </w:r>
          </w:p>
          <w:p w14:paraId="4BE7418B" w14:textId="03B3CD0D" w:rsidR="006A70EC" w:rsidRPr="00E91E00" w:rsidRDefault="006A70EC" w:rsidP="00E91E00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 w:rsidR="0090211F"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公司一季度和三季度保持高分红传统，积极回报长期投资者，非常不错。未来还能继续保持稳定的分红政策么</w:t>
            </w:r>
            <w:r w:rsidRPr="00E91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3E0B0C6C" w14:textId="6F74C5E6" w:rsidR="006A70EC" w:rsidRPr="00E91E00" w:rsidRDefault="0090211F" w:rsidP="00E91E00">
            <w:pPr>
              <w:widowControl/>
              <w:spacing w:line="360" w:lineRule="auto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公司综合考虑对投资者的合理回报，公司经营情况，公司未来可持续发展需要等因素，制定利润分配方案。未来，公司将继续统筹好公司发展、业绩增长与股东回报的动态平衡，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 xml:space="preserve"> </w:t>
            </w:r>
            <w:r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以期更好的回报股东，回馈社会</w:t>
            </w:r>
            <w:r w:rsidR="006A70EC" w:rsidRPr="00E91E00">
              <w:rPr>
                <w:rFonts w:ascii="Times New Roman" w:hAnsi="Times New Roman" w:cs="Times New Roman"/>
                <w:kern w:val="0"/>
                <w:sz w:val="24"/>
                <w:szCs w:val="21"/>
              </w:rPr>
              <w:t>。</w:t>
            </w:r>
          </w:p>
        </w:tc>
      </w:tr>
      <w:tr w:rsidR="00747A31" w:rsidRPr="00150E39" w14:paraId="69545370" w14:textId="77777777" w:rsidTr="000A6FD1">
        <w:trPr>
          <w:trHeight w:val="5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41A8" w14:textId="77777777" w:rsidR="00747A31" w:rsidRPr="00150E39" w:rsidRDefault="009F72BA">
            <w:pP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7EEF" w14:textId="77777777" w:rsidR="00747A31" w:rsidRPr="00150E39" w:rsidRDefault="009F72BA">
            <w:pPr>
              <w:jc w:val="lef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6125CD" w:rsidRPr="00150E39" w14:paraId="5A367951" w14:textId="77777777" w:rsidTr="000A6FD1">
        <w:trPr>
          <w:trHeight w:val="5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8154" w14:textId="45FE7724" w:rsidR="006125CD" w:rsidRPr="006125CD" w:rsidRDefault="006125CD">
            <w:pP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5945" w14:textId="328475E9" w:rsidR="006125CD" w:rsidRPr="006125CD" w:rsidRDefault="006125CD">
            <w:pPr>
              <w:jc w:val="lef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23232">
              <w:rPr>
                <w:rFonts w:ascii="宋体" w:hAnsi="宋体" w:cs="Times New Roman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E13986" w:rsidRPr="00150E39" w14:paraId="2AB40FD8" w14:textId="77777777" w:rsidTr="000A6FD1">
        <w:trPr>
          <w:trHeight w:val="4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EDDD" w14:textId="77777777" w:rsidR="00E13986" w:rsidRPr="00150E39" w:rsidRDefault="00E13986" w:rsidP="00E1398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日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32FE" w14:textId="43541A7A" w:rsidR="00E13986" w:rsidRPr="00150E39" w:rsidRDefault="00D07AF1" w:rsidP="00D07AF1">
            <w:pPr>
              <w:adjustRightInd w:val="0"/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CE3B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88732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D00B2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88732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30D5264" w14:textId="6DD2AF20" w:rsidR="00747A31" w:rsidRPr="00D07AF1" w:rsidRDefault="00747A31" w:rsidP="002C31D2">
      <w:pPr>
        <w:rPr>
          <w:rFonts w:asciiTheme="minorEastAsia" w:hAnsiTheme="minorEastAsia" w:cs="Times New Roman" w:hint="eastAsia"/>
          <w:szCs w:val="24"/>
        </w:rPr>
      </w:pPr>
    </w:p>
    <w:sectPr w:rsidR="00747A31" w:rsidRPr="00D07AF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50AF6" w14:textId="77777777" w:rsidR="002F0E48" w:rsidRDefault="002F0E48" w:rsidP="00815C05">
      <w:r>
        <w:separator/>
      </w:r>
    </w:p>
  </w:endnote>
  <w:endnote w:type="continuationSeparator" w:id="0">
    <w:p w14:paraId="68420C8B" w14:textId="77777777" w:rsidR="002F0E48" w:rsidRDefault="002F0E48" w:rsidP="00815C05">
      <w:r>
        <w:continuationSeparator/>
      </w:r>
    </w:p>
  </w:endnote>
  <w:endnote w:type="continuationNotice" w:id="1">
    <w:p w14:paraId="0BF4F37B" w14:textId="77777777" w:rsidR="002F0E48" w:rsidRDefault="002F0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18276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E10F61" w14:textId="4E141230" w:rsidR="00112953" w:rsidRPr="006C6680" w:rsidRDefault="006C6680" w:rsidP="006C6680">
        <w:pPr>
          <w:pStyle w:val="a7"/>
          <w:jc w:val="center"/>
          <w:rPr>
            <w:rFonts w:ascii="Times New Roman" w:hAnsi="Times New Roman" w:cs="Times New Roman"/>
          </w:rPr>
        </w:pPr>
        <w:r w:rsidRPr="006C6680">
          <w:rPr>
            <w:rFonts w:ascii="Times New Roman" w:hAnsi="Times New Roman" w:cs="Times New Roman"/>
          </w:rPr>
          <w:fldChar w:fldCharType="begin"/>
        </w:r>
        <w:r w:rsidRPr="006C6680">
          <w:rPr>
            <w:rFonts w:ascii="Times New Roman" w:hAnsi="Times New Roman" w:cs="Times New Roman"/>
          </w:rPr>
          <w:instrText>PAGE   \* MERGEFORMAT</w:instrText>
        </w:r>
        <w:r w:rsidRPr="006C6680">
          <w:rPr>
            <w:rFonts w:ascii="Times New Roman" w:hAnsi="Times New Roman" w:cs="Times New Roman"/>
          </w:rPr>
          <w:fldChar w:fldCharType="separate"/>
        </w:r>
        <w:r w:rsidR="005B0B8F" w:rsidRPr="005B0B8F">
          <w:rPr>
            <w:rFonts w:ascii="Times New Roman" w:hAnsi="Times New Roman" w:cs="Times New Roman"/>
            <w:noProof/>
            <w:lang w:val="zh-CN"/>
          </w:rPr>
          <w:t>1</w:t>
        </w:r>
        <w:r w:rsidRPr="006C668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9BB2E" w14:textId="77777777" w:rsidR="002F0E48" w:rsidRDefault="002F0E48" w:rsidP="00815C05">
      <w:r>
        <w:separator/>
      </w:r>
    </w:p>
  </w:footnote>
  <w:footnote w:type="continuationSeparator" w:id="0">
    <w:p w14:paraId="5974F327" w14:textId="77777777" w:rsidR="002F0E48" w:rsidRDefault="002F0E48" w:rsidP="00815C05">
      <w:r>
        <w:continuationSeparator/>
      </w:r>
    </w:p>
  </w:footnote>
  <w:footnote w:type="continuationNotice" w:id="1">
    <w:p w14:paraId="198327A2" w14:textId="77777777" w:rsidR="002F0E48" w:rsidRDefault="002F0E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60ED9"/>
    <w:multiLevelType w:val="hybridMultilevel"/>
    <w:tmpl w:val="96DE6A0E"/>
    <w:lvl w:ilvl="0" w:tplc="CF4E7BD8">
      <w:start w:val="1"/>
      <w:numFmt w:val="decimal"/>
      <w:lvlText w:val="%1、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2" w:hanging="440"/>
      </w:pPr>
    </w:lvl>
    <w:lvl w:ilvl="2" w:tplc="0409001B" w:tentative="1">
      <w:start w:val="1"/>
      <w:numFmt w:val="lowerRoman"/>
      <w:lvlText w:val="%3."/>
      <w:lvlJc w:val="right"/>
      <w:pPr>
        <w:ind w:left="2452" w:hanging="440"/>
      </w:pPr>
    </w:lvl>
    <w:lvl w:ilvl="3" w:tplc="0409000F" w:tentative="1">
      <w:start w:val="1"/>
      <w:numFmt w:val="decimal"/>
      <w:lvlText w:val="%4."/>
      <w:lvlJc w:val="left"/>
      <w:pPr>
        <w:ind w:left="2892" w:hanging="440"/>
      </w:pPr>
    </w:lvl>
    <w:lvl w:ilvl="4" w:tplc="04090019" w:tentative="1">
      <w:start w:val="1"/>
      <w:numFmt w:val="lowerLetter"/>
      <w:lvlText w:val="%5)"/>
      <w:lvlJc w:val="left"/>
      <w:pPr>
        <w:ind w:left="3332" w:hanging="440"/>
      </w:pPr>
    </w:lvl>
    <w:lvl w:ilvl="5" w:tplc="0409001B" w:tentative="1">
      <w:start w:val="1"/>
      <w:numFmt w:val="lowerRoman"/>
      <w:lvlText w:val="%6."/>
      <w:lvlJc w:val="right"/>
      <w:pPr>
        <w:ind w:left="3772" w:hanging="440"/>
      </w:pPr>
    </w:lvl>
    <w:lvl w:ilvl="6" w:tplc="0409000F" w:tentative="1">
      <w:start w:val="1"/>
      <w:numFmt w:val="decimal"/>
      <w:lvlText w:val="%7."/>
      <w:lvlJc w:val="left"/>
      <w:pPr>
        <w:ind w:left="4212" w:hanging="440"/>
      </w:pPr>
    </w:lvl>
    <w:lvl w:ilvl="7" w:tplc="04090019" w:tentative="1">
      <w:start w:val="1"/>
      <w:numFmt w:val="lowerLetter"/>
      <w:lvlText w:val="%8)"/>
      <w:lvlJc w:val="left"/>
      <w:pPr>
        <w:ind w:left="4652" w:hanging="440"/>
      </w:pPr>
    </w:lvl>
    <w:lvl w:ilvl="8" w:tplc="0409001B" w:tentative="1">
      <w:start w:val="1"/>
      <w:numFmt w:val="lowerRoman"/>
      <w:lvlText w:val="%9."/>
      <w:lvlJc w:val="right"/>
      <w:pPr>
        <w:ind w:left="5092" w:hanging="440"/>
      </w:pPr>
    </w:lvl>
  </w:abstractNum>
  <w:abstractNum w:abstractNumId="1" w15:restartNumberingAfterBreak="0">
    <w:nsid w:val="69826600"/>
    <w:multiLevelType w:val="hybridMultilevel"/>
    <w:tmpl w:val="8AF079E6"/>
    <w:lvl w:ilvl="0" w:tplc="EE96A482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7FAB089E"/>
    <w:multiLevelType w:val="hybridMultilevel"/>
    <w:tmpl w:val="EC6C9F16"/>
    <w:lvl w:ilvl="0" w:tplc="5F269ED6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1882204171">
    <w:abstractNumId w:val="1"/>
  </w:num>
  <w:num w:numId="2" w16cid:durableId="1177497027">
    <w:abstractNumId w:val="2"/>
  </w:num>
  <w:num w:numId="3" w16cid:durableId="24689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AF"/>
    <w:rsid w:val="000018B0"/>
    <w:rsid w:val="0001305C"/>
    <w:rsid w:val="000146DD"/>
    <w:rsid w:val="00021D20"/>
    <w:rsid w:val="00022FE5"/>
    <w:rsid w:val="00025A9C"/>
    <w:rsid w:val="00026C9D"/>
    <w:rsid w:val="00031FA8"/>
    <w:rsid w:val="00033334"/>
    <w:rsid w:val="00041810"/>
    <w:rsid w:val="00045248"/>
    <w:rsid w:val="000546D4"/>
    <w:rsid w:val="000547FF"/>
    <w:rsid w:val="00057030"/>
    <w:rsid w:val="000577E1"/>
    <w:rsid w:val="000735FB"/>
    <w:rsid w:val="00085D69"/>
    <w:rsid w:val="00085EC0"/>
    <w:rsid w:val="00092B98"/>
    <w:rsid w:val="00094469"/>
    <w:rsid w:val="000A2543"/>
    <w:rsid w:val="000A267F"/>
    <w:rsid w:val="000A6FD1"/>
    <w:rsid w:val="000B0145"/>
    <w:rsid w:val="000B4D46"/>
    <w:rsid w:val="000C7457"/>
    <w:rsid w:val="000D3506"/>
    <w:rsid w:val="000D7722"/>
    <w:rsid w:val="000E24E7"/>
    <w:rsid w:val="000E35E1"/>
    <w:rsid w:val="000E66EC"/>
    <w:rsid w:val="000F3873"/>
    <w:rsid w:val="000F7106"/>
    <w:rsid w:val="000F729E"/>
    <w:rsid w:val="00101B32"/>
    <w:rsid w:val="00107552"/>
    <w:rsid w:val="00111916"/>
    <w:rsid w:val="00112953"/>
    <w:rsid w:val="001235C3"/>
    <w:rsid w:val="00123FCC"/>
    <w:rsid w:val="001314A6"/>
    <w:rsid w:val="00131F2C"/>
    <w:rsid w:val="00142F3E"/>
    <w:rsid w:val="0015055B"/>
    <w:rsid w:val="001508E3"/>
    <w:rsid w:val="00150E39"/>
    <w:rsid w:val="00166C85"/>
    <w:rsid w:val="001670E4"/>
    <w:rsid w:val="00167B48"/>
    <w:rsid w:val="0017296C"/>
    <w:rsid w:val="00197768"/>
    <w:rsid w:val="00197FD9"/>
    <w:rsid w:val="001A404B"/>
    <w:rsid w:val="001B146A"/>
    <w:rsid w:val="001C2343"/>
    <w:rsid w:val="001C3DCD"/>
    <w:rsid w:val="001C7723"/>
    <w:rsid w:val="001C7CF9"/>
    <w:rsid w:val="001D028E"/>
    <w:rsid w:val="001F36F7"/>
    <w:rsid w:val="001F3BA3"/>
    <w:rsid w:val="001F78F0"/>
    <w:rsid w:val="001F7DBC"/>
    <w:rsid w:val="00201C15"/>
    <w:rsid w:val="002056A4"/>
    <w:rsid w:val="00212A75"/>
    <w:rsid w:val="00212AFB"/>
    <w:rsid w:val="0021415D"/>
    <w:rsid w:val="0022197E"/>
    <w:rsid w:val="00225A78"/>
    <w:rsid w:val="00227531"/>
    <w:rsid w:val="0023070D"/>
    <w:rsid w:val="0023341D"/>
    <w:rsid w:val="002373C3"/>
    <w:rsid w:val="002455B3"/>
    <w:rsid w:val="002472F8"/>
    <w:rsid w:val="00254B63"/>
    <w:rsid w:val="00254D4C"/>
    <w:rsid w:val="002550F4"/>
    <w:rsid w:val="00255E0D"/>
    <w:rsid w:val="00261804"/>
    <w:rsid w:val="00266314"/>
    <w:rsid w:val="00274029"/>
    <w:rsid w:val="00276A13"/>
    <w:rsid w:val="00286D32"/>
    <w:rsid w:val="00290A0A"/>
    <w:rsid w:val="00294165"/>
    <w:rsid w:val="0029442C"/>
    <w:rsid w:val="002A009D"/>
    <w:rsid w:val="002A56ED"/>
    <w:rsid w:val="002B4310"/>
    <w:rsid w:val="002B75BA"/>
    <w:rsid w:val="002C056B"/>
    <w:rsid w:val="002C31D2"/>
    <w:rsid w:val="002C34E3"/>
    <w:rsid w:val="002C5DB1"/>
    <w:rsid w:val="002C718D"/>
    <w:rsid w:val="002D082B"/>
    <w:rsid w:val="002D165D"/>
    <w:rsid w:val="002D24DA"/>
    <w:rsid w:val="002D4889"/>
    <w:rsid w:val="002D4AE8"/>
    <w:rsid w:val="002F0E48"/>
    <w:rsid w:val="002F141F"/>
    <w:rsid w:val="002F5237"/>
    <w:rsid w:val="002F59C6"/>
    <w:rsid w:val="0030503D"/>
    <w:rsid w:val="00311F4E"/>
    <w:rsid w:val="00321F62"/>
    <w:rsid w:val="003222B4"/>
    <w:rsid w:val="0032445B"/>
    <w:rsid w:val="00324F7E"/>
    <w:rsid w:val="0032731E"/>
    <w:rsid w:val="003304A8"/>
    <w:rsid w:val="00333688"/>
    <w:rsid w:val="00334B45"/>
    <w:rsid w:val="00342096"/>
    <w:rsid w:val="0035103F"/>
    <w:rsid w:val="00352CC0"/>
    <w:rsid w:val="00356569"/>
    <w:rsid w:val="003733E7"/>
    <w:rsid w:val="003745F5"/>
    <w:rsid w:val="003759E3"/>
    <w:rsid w:val="00376874"/>
    <w:rsid w:val="00381AFB"/>
    <w:rsid w:val="00393278"/>
    <w:rsid w:val="00394BCB"/>
    <w:rsid w:val="003A1F61"/>
    <w:rsid w:val="003B3E93"/>
    <w:rsid w:val="003B4824"/>
    <w:rsid w:val="003C1881"/>
    <w:rsid w:val="003C2010"/>
    <w:rsid w:val="003C2DBC"/>
    <w:rsid w:val="003C5F4C"/>
    <w:rsid w:val="003D12D1"/>
    <w:rsid w:val="003D165D"/>
    <w:rsid w:val="003D218E"/>
    <w:rsid w:val="003D44BE"/>
    <w:rsid w:val="003E198E"/>
    <w:rsid w:val="003E2220"/>
    <w:rsid w:val="003E5ACC"/>
    <w:rsid w:val="003F0870"/>
    <w:rsid w:val="003F10E6"/>
    <w:rsid w:val="003F1443"/>
    <w:rsid w:val="003F3A30"/>
    <w:rsid w:val="003F5EFA"/>
    <w:rsid w:val="003F7A68"/>
    <w:rsid w:val="00402FD0"/>
    <w:rsid w:val="004148AF"/>
    <w:rsid w:val="004236FC"/>
    <w:rsid w:val="004465B6"/>
    <w:rsid w:val="00451595"/>
    <w:rsid w:val="00456C35"/>
    <w:rsid w:val="00461E7D"/>
    <w:rsid w:val="004658CD"/>
    <w:rsid w:val="00471D7E"/>
    <w:rsid w:val="0047386C"/>
    <w:rsid w:val="00475F34"/>
    <w:rsid w:val="0048615C"/>
    <w:rsid w:val="004912C1"/>
    <w:rsid w:val="00496263"/>
    <w:rsid w:val="004A0E27"/>
    <w:rsid w:val="004A1158"/>
    <w:rsid w:val="004A33CC"/>
    <w:rsid w:val="004A6ED8"/>
    <w:rsid w:val="004B0C0B"/>
    <w:rsid w:val="004B3741"/>
    <w:rsid w:val="004C06AA"/>
    <w:rsid w:val="004C0EE6"/>
    <w:rsid w:val="004D00AF"/>
    <w:rsid w:val="004D1633"/>
    <w:rsid w:val="004D3025"/>
    <w:rsid w:val="004D4EC4"/>
    <w:rsid w:val="004E0FCB"/>
    <w:rsid w:val="004E284F"/>
    <w:rsid w:val="004E2E29"/>
    <w:rsid w:val="004F1672"/>
    <w:rsid w:val="004F3AE5"/>
    <w:rsid w:val="004F5F8B"/>
    <w:rsid w:val="004F76B8"/>
    <w:rsid w:val="00506109"/>
    <w:rsid w:val="00510BED"/>
    <w:rsid w:val="00521AAA"/>
    <w:rsid w:val="00526F22"/>
    <w:rsid w:val="00532DE2"/>
    <w:rsid w:val="00533828"/>
    <w:rsid w:val="00534768"/>
    <w:rsid w:val="00536E34"/>
    <w:rsid w:val="00553747"/>
    <w:rsid w:val="0055725D"/>
    <w:rsid w:val="00557F36"/>
    <w:rsid w:val="00567447"/>
    <w:rsid w:val="00575E14"/>
    <w:rsid w:val="00597AC7"/>
    <w:rsid w:val="005A2ED0"/>
    <w:rsid w:val="005A5593"/>
    <w:rsid w:val="005B0B8F"/>
    <w:rsid w:val="005B10AE"/>
    <w:rsid w:val="005C533D"/>
    <w:rsid w:val="005D5659"/>
    <w:rsid w:val="005D5FBB"/>
    <w:rsid w:val="005E1D15"/>
    <w:rsid w:val="005E3910"/>
    <w:rsid w:val="005E6CB3"/>
    <w:rsid w:val="005F0AA5"/>
    <w:rsid w:val="005F5783"/>
    <w:rsid w:val="005F7DE4"/>
    <w:rsid w:val="00607B3F"/>
    <w:rsid w:val="006115AD"/>
    <w:rsid w:val="006125CD"/>
    <w:rsid w:val="00615EA2"/>
    <w:rsid w:val="006231DE"/>
    <w:rsid w:val="00633D86"/>
    <w:rsid w:val="006374D0"/>
    <w:rsid w:val="00644B92"/>
    <w:rsid w:val="00664153"/>
    <w:rsid w:val="00664BC3"/>
    <w:rsid w:val="00670B4D"/>
    <w:rsid w:val="006734C8"/>
    <w:rsid w:val="00674169"/>
    <w:rsid w:val="00674BF0"/>
    <w:rsid w:val="00676228"/>
    <w:rsid w:val="00683F3D"/>
    <w:rsid w:val="00693029"/>
    <w:rsid w:val="006A24FA"/>
    <w:rsid w:val="006A70EC"/>
    <w:rsid w:val="006B2C78"/>
    <w:rsid w:val="006B7D59"/>
    <w:rsid w:val="006C2804"/>
    <w:rsid w:val="006C6680"/>
    <w:rsid w:val="006C7245"/>
    <w:rsid w:val="006D6EE1"/>
    <w:rsid w:val="006E3AD9"/>
    <w:rsid w:val="006F05F4"/>
    <w:rsid w:val="006F0BC8"/>
    <w:rsid w:val="00704B70"/>
    <w:rsid w:val="00704C90"/>
    <w:rsid w:val="00707DD0"/>
    <w:rsid w:val="00712547"/>
    <w:rsid w:val="00712CC7"/>
    <w:rsid w:val="007237CE"/>
    <w:rsid w:val="0072647A"/>
    <w:rsid w:val="007320F8"/>
    <w:rsid w:val="00732B6B"/>
    <w:rsid w:val="00746623"/>
    <w:rsid w:val="00747A31"/>
    <w:rsid w:val="00754F5F"/>
    <w:rsid w:val="00760870"/>
    <w:rsid w:val="00761A95"/>
    <w:rsid w:val="00761C80"/>
    <w:rsid w:val="007656A3"/>
    <w:rsid w:val="00773D3A"/>
    <w:rsid w:val="007750F7"/>
    <w:rsid w:val="00775876"/>
    <w:rsid w:val="007801CE"/>
    <w:rsid w:val="00781204"/>
    <w:rsid w:val="00782971"/>
    <w:rsid w:val="00786720"/>
    <w:rsid w:val="00787CF2"/>
    <w:rsid w:val="007A1B96"/>
    <w:rsid w:val="007A21BC"/>
    <w:rsid w:val="007B496E"/>
    <w:rsid w:val="007B7AE6"/>
    <w:rsid w:val="007B7D95"/>
    <w:rsid w:val="007B7FE3"/>
    <w:rsid w:val="007C21F9"/>
    <w:rsid w:val="007C2E4D"/>
    <w:rsid w:val="007D4972"/>
    <w:rsid w:val="007D54B9"/>
    <w:rsid w:val="007D553A"/>
    <w:rsid w:val="007D780D"/>
    <w:rsid w:val="007E26F8"/>
    <w:rsid w:val="007E707F"/>
    <w:rsid w:val="007E7797"/>
    <w:rsid w:val="007F7DC5"/>
    <w:rsid w:val="0080005F"/>
    <w:rsid w:val="00800532"/>
    <w:rsid w:val="00802533"/>
    <w:rsid w:val="0080445F"/>
    <w:rsid w:val="00813883"/>
    <w:rsid w:val="00815C05"/>
    <w:rsid w:val="00821F95"/>
    <w:rsid w:val="008302BD"/>
    <w:rsid w:val="008321EB"/>
    <w:rsid w:val="0083365F"/>
    <w:rsid w:val="00833D35"/>
    <w:rsid w:val="00842E7F"/>
    <w:rsid w:val="00847884"/>
    <w:rsid w:val="0085571F"/>
    <w:rsid w:val="00871934"/>
    <w:rsid w:val="00872F17"/>
    <w:rsid w:val="00873FE2"/>
    <w:rsid w:val="00875588"/>
    <w:rsid w:val="00881401"/>
    <w:rsid w:val="00885FF9"/>
    <w:rsid w:val="00887322"/>
    <w:rsid w:val="0088781C"/>
    <w:rsid w:val="008910A3"/>
    <w:rsid w:val="008915DC"/>
    <w:rsid w:val="00892D71"/>
    <w:rsid w:val="00893132"/>
    <w:rsid w:val="0089629C"/>
    <w:rsid w:val="00896E17"/>
    <w:rsid w:val="008A24A0"/>
    <w:rsid w:val="008A6C46"/>
    <w:rsid w:val="008B01E3"/>
    <w:rsid w:val="008C508B"/>
    <w:rsid w:val="008C58B6"/>
    <w:rsid w:val="008D24D6"/>
    <w:rsid w:val="008D6E59"/>
    <w:rsid w:val="008E0219"/>
    <w:rsid w:val="008F40EE"/>
    <w:rsid w:val="008F45EC"/>
    <w:rsid w:val="0090211F"/>
    <w:rsid w:val="0090684C"/>
    <w:rsid w:val="00907462"/>
    <w:rsid w:val="00912183"/>
    <w:rsid w:val="00914692"/>
    <w:rsid w:val="0091474D"/>
    <w:rsid w:val="009240BA"/>
    <w:rsid w:val="0092680C"/>
    <w:rsid w:val="00934B87"/>
    <w:rsid w:val="00947708"/>
    <w:rsid w:val="0095714C"/>
    <w:rsid w:val="009636FC"/>
    <w:rsid w:val="009747F7"/>
    <w:rsid w:val="009818D0"/>
    <w:rsid w:val="0099367E"/>
    <w:rsid w:val="00997757"/>
    <w:rsid w:val="009A4FBA"/>
    <w:rsid w:val="009B072A"/>
    <w:rsid w:val="009B2C3E"/>
    <w:rsid w:val="009B7403"/>
    <w:rsid w:val="009C113B"/>
    <w:rsid w:val="009C2DB6"/>
    <w:rsid w:val="009C6426"/>
    <w:rsid w:val="009D68F9"/>
    <w:rsid w:val="009F4245"/>
    <w:rsid w:val="009F72BA"/>
    <w:rsid w:val="00A05B25"/>
    <w:rsid w:val="00A07D69"/>
    <w:rsid w:val="00A07FC3"/>
    <w:rsid w:val="00A1208A"/>
    <w:rsid w:val="00A13A36"/>
    <w:rsid w:val="00A1689D"/>
    <w:rsid w:val="00A23594"/>
    <w:rsid w:val="00A271C0"/>
    <w:rsid w:val="00A2754C"/>
    <w:rsid w:val="00A450DD"/>
    <w:rsid w:val="00A52C11"/>
    <w:rsid w:val="00A52E10"/>
    <w:rsid w:val="00A53355"/>
    <w:rsid w:val="00A55706"/>
    <w:rsid w:val="00A66139"/>
    <w:rsid w:val="00A84571"/>
    <w:rsid w:val="00A91939"/>
    <w:rsid w:val="00A9759F"/>
    <w:rsid w:val="00A97900"/>
    <w:rsid w:val="00AA579F"/>
    <w:rsid w:val="00AA757E"/>
    <w:rsid w:val="00AB1141"/>
    <w:rsid w:val="00AC19C6"/>
    <w:rsid w:val="00AC27E2"/>
    <w:rsid w:val="00AC59E6"/>
    <w:rsid w:val="00AD3FC6"/>
    <w:rsid w:val="00AD4D7B"/>
    <w:rsid w:val="00AD7A86"/>
    <w:rsid w:val="00AF04AD"/>
    <w:rsid w:val="00AF569A"/>
    <w:rsid w:val="00AF7546"/>
    <w:rsid w:val="00B1596E"/>
    <w:rsid w:val="00B207B7"/>
    <w:rsid w:val="00B21DA4"/>
    <w:rsid w:val="00B25035"/>
    <w:rsid w:val="00B43302"/>
    <w:rsid w:val="00B6330A"/>
    <w:rsid w:val="00B64DCA"/>
    <w:rsid w:val="00B65146"/>
    <w:rsid w:val="00B67DF3"/>
    <w:rsid w:val="00B81686"/>
    <w:rsid w:val="00B84523"/>
    <w:rsid w:val="00B92574"/>
    <w:rsid w:val="00BA4359"/>
    <w:rsid w:val="00BA5482"/>
    <w:rsid w:val="00BA553A"/>
    <w:rsid w:val="00BB7E5F"/>
    <w:rsid w:val="00BC7F8A"/>
    <w:rsid w:val="00BD1CDF"/>
    <w:rsid w:val="00BD562A"/>
    <w:rsid w:val="00BD761B"/>
    <w:rsid w:val="00BD7EA4"/>
    <w:rsid w:val="00BF2D61"/>
    <w:rsid w:val="00BF6EB1"/>
    <w:rsid w:val="00C01A0A"/>
    <w:rsid w:val="00C03550"/>
    <w:rsid w:val="00C04F9F"/>
    <w:rsid w:val="00C06E2F"/>
    <w:rsid w:val="00C077D8"/>
    <w:rsid w:val="00C113C7"/>
    <w:rsid w:val="00C149DF"/>
    <w:rsid w:val="00C23EEB"/>
    <w:rsid w:val="00C30377"/>
    <w:rsid w:val="00C35A9D"/>
    <w:rsid w:val="00C37C0B"/>
    <w:rsid w:val="00C4203D"/>
    <w:rsid w:val="00C43954"/>
    <w:rsid w:val="00C448E5"/>
    <w:rsid w:val="00C50201"/>
    <w:rsid w:val="00C57C4D"/>
    <w:rsid w:val="00C57D61"/>
    <w:rsid w:val="00C64646"/>
    <w:rsid w:val="00C702C2"/>
    <w:rsid w:val="00C722AC"/>
    <w:rsid w:val="00C72343"/>
    <w:rsid w:val="00C77B97"/>
    <w:rsid w:val="00C81E50"/>
    <w:rsid w:val="00C829C2"/>
    <w:rsid w:val="00C90E74"/>
    <w:rsid w:val="00C9109F"/>
    <w:rsid w:val="00C954D5"/>
    <w:rsid w:val="00CB24AB"/>
    <w:rsid w:val="00CB5886"/>
    <w:rsid w:val="00CB63A8"/>
    <w:rsid w:val="00CB6AB6"/>
    <w:rsid w:val="00CB7447"/>
    <w:rsid w:val="00CC3644"/>
    <w:rsid w:val="00CC6037"/>
    <w:rsid w:val="00CD2F9C"/>
    <w:rsid w:val="00CD343B"/>
    <w:rsid w:val="00CD4E02"/>
    <w:rsid w:val="00CE3B86"/>
    <w:rsid w:val="00CF2040"/>
    <w:rsid w:val="00CF31E9"/>
    <w:rsid w:val="00CF6A35"/>
    <w:rsid w:val="00CF7BA6"/>
    <w:rsid w:val="00D003DC"/>
    <w:rsid w:val="00D00B21"/>
    <w:rsid w:val="00D05CDA"/>
    <w:rsid w:val="00D071B9"/>
    <w:rsid w:val="00D07AF1"/>
    <w:rsid w:val="00D15049"/>
    <w:rsid w:val="00D20EE4"/>
    <w:rsid w:val="00D262C2"/>
    <w:rsid w:val="00D31770"/>
    <w:rsid w:val="00D434EB"/>
    <w:rsid w:val="00D518E9"/>
    <w:rsid w:val="00D6285E"/>
    <w:rsid w:val="00D65C2D"/>
    <w:rsid w:val="00D65F0E"/>
    <w:rsid w:val="00D72D21"/>
    <w:rsid w:val="00D759F5"/>
    <w:rsid w:val="00D76137"/>
    <w:rsid w:val="00D819C3"/>
    <w:rsid w:val="00D840ED"/>
    <w:rsid w:val="00D85FA0"/>
    <w:rsid w:val="00D95A4D"/>
    <w:rsid w:val="00DA2986"/>
    <w:rsid w:val="00DA444C"/>
    <w:rsid w:val="00DA7B37"/>
    <w:rsid w:val="00DB6AC9"/>
    <w:rsid w:val="00DD0F05"/>
    <w:rsid w:val="00DE7CA5"/>
    <w:rsid w:val="00DF5D73"/>
    <w:rsid w:val="00DF6B32"/>
    <w:rsid w:val="00DF70E1"/>
    <w:rsid w:val="00DF7C2F"/>
    <w:rsid w:val="00E03034"/>
    <w:rsid w:val="00E03145"/>
    <w:rsid w:val="00E078FA"/>
    <w:rsid w:val="00E109C9"/>
    <w:rsid w:val="00E1244B"/>
    <w:rsid w:val="00E1355B"/>
    <w:rsid w:val="00E13986"/>
    <w:rsid w:val="00E149D8"/>
    <w:rsid w:val="00E15EFB"/>
    <w:rsid w:val="00E25D5E"/>
    <w:rsid w:val="00E27E25"/>
    <w:rsid w:val="00E316E1"/>
    <w:rsid w:val="00E33AE0"/>
    <w:rsid w:val="00E3415B"/>
    <w:rsid w:val="00E35565"/>
    <w:rsid w:val="00E45957"/>
    <w:rsid w:val="00E466AF"/>
    <w:rsid w:val="00E52F7D"/>
    <w:rsid w:val="00E5301A"/>
    <w:rsid w:val="00E5337E"/>
    <w:rsid w:val="00E55C94"/>
    <w:rsid w:val="00E5760F"/>
    <w:rsid w:val="00E612B4"/>
    <w:rsid w:val="00E64056"/>
    <w:rsid w:val="00E668EB"/>
    <w:rsid w:val="00E76AED"/>
    <w:rsid w:val="00E77022"/>
    <w:rsid w:val="00E8054B"/>
    <w:rsid w:val="00E82F96"/>
    <w:rsid w:val="00E8552A"/>
    <w:rsid w:val="00E91E00"/>
    <w:rsid w:val="00E92E9D"/>
    <w:rsid w:val="00E94583"/>
    <w:rsid w:val="00E969EF"/>
    <w:rsid w:val="00EA1D55"/>
    <w:rsid w:val="00EA35ED"/>
    <w:rsid w:val="00EA7329"/>
    <w:rsid w:val="00EB0EF6"/>
    <w:rsid w:val="00EB2A38"/>
    <w:rsid w:val="00EC7DEA"/>
    <w:rsid w:val="00ED5A30"/>
    <w:rsid w:val="00EE2222"/>
    <w:rsid w:val="00EE298F"/>
    <w:rsid w:val="00EE30F8"/>
    <w:rsid w:val="00EE51AA"/>
    <w:rsid w:val="00EF5C36"/>
    <w:rsid w:val="00F01253"/>
    <w:rsid w:val="00F141A7"/>
    <w:rsid w:val="00F15AAF"/>
    <w:rsid w:val="00F300E9"/>
    <w:rsid w:val="00F30BF0"/>
    <w:rsid w:val="00F314CA"/>
    <w:rsid w:val="00F426FA"/>
    <w:rsid w:val="00F44EC1"/>
    <w:rsid w:val="00F504F2"/>
    <w:rsid w:val="00F52AF6"/>
    <w:rsid w:val="00F82719"/>
    <w:rsid w:val="00F943D3"/>
    <w:rsid w:val="00F94462"/>
    <w:rsid w:val="00F968E1"/>
    <w:rsid w:val="00F96DE6"/>
    <w:rsid w:val="00FA198A"/>
    <w:rsid w:val="00FA6109"/>
    <w:rsid w:val="00FA6260"/>
    <w:rsid w:val="00FB316E"/>
    <w:rsid w:val="00FB66AA"/>
    <w:rsid w:val="00FC057A"/>
    <w:rsid w:val="00FE1B9F"/>
    <w:rsid w:val="00FE2034"/>
    <w:rsid w:val="00FE6A47"/>
    <w:rsid w:val="00FE7934"/>
    <w:rsid w:val="00FF1100"/>
    <w:rsid w:val="00FF24B3"/>
    <w:rsid w:val="0CB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14E3A"/>
  <w15:docId w15:val="{9B6EF42C-0241-49FA-93F6-561CA5F3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rFonts w:ascii="Microsoft JhengHei" w:eastAsia="Microsoft JhengHei" w:hAnsi="Microsoft JhengHei"/>
      <w:b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widowControl/>
      <w:snapToGrid w:val="0"/>
      <w:spacing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otnote reference"/>
    <w:uiPriority w:val="99"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Microsoft JhengHei" w:eastAsia="Microsoft JhengHei" w:hAnsi="Microsoft JhengHei"/>
      <w:b/>
      <w:sz w:val="30"/>
      <w:szCs w:val="30"/>
    </w:rPr>
  </w:style>
  <w:style w:type="paragraph" w:customStyle="1" w:styleId="005">
    <w:name w:val="005正文"/>
    <w:basedOn w:val="a"/>
    <w:qFormat/>
    <w:pPr>
      <w:spacing w:beforeLines="50"/>
    </w:pPr>
    <w:rPr>
      <w:rFonts w:ascii="Times New Roman" w:hAnsi="Times New Roman" w:cs="Times New Roman"/>
      <w:b/>
      <w:sz w:val="24"/>
      <w:szCs w:val="24"/>
    </w:rPr>
  </w:style>
  <w:style w:type="character" w:customStyle="1" w:styleId="ac">
    <w:name w:val="脚注文本 字符"/>
    <w:basedOn w:val="a0"/>
    <w:link w:val="ab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fontstyle01">
    <w:name w:val="fontstyle01"/>
    <w:basedOn w:val="a0"/>
    <w:rsid w:val="000E24E7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9B7403"/>
    <w:rPr>
      <w:kern w:val="2"/>
      <w:sz w:val="21"/>
      <w:szCs w:val="22"/>
    </w:rPr>
  </w:style>
  <w:style w:type="character" w:styleId="af2">
    <w:name w:val="annotation reference"/>
    <w:basedOn w:val="a0"/>
    <w:uiPriority w:val="99"/>
    <w:unhideWhenUsed/>
    <w:qFormat/>
    <w:rsid w:val="006125CD"/>
    <w:rPr>
      <w:sz w:val="21"/>
      <w:szCs w:val="21"/>
    </w:rPr>
  </w:style>
  <w:style w:type="paragraph" w:styleId="af3">
    <w:name w:val="annotation text"/>
    <w:basedOn w:val="a"/>
    <w:link w:val="af4"/>
    <w:unhideWhenUsed/>
    <w:qFormat/>
    <w:rsid w:val="006125CD"/>
    <w:pPr>
      <w:jc w:val="left"/>
    </w:pPr>
  </w:style>
  <w:style w:type="character" w:customStyle="1" w:styleId="af4">
    <w:name w:val="批注文字 字符"/>
    <w:basedOn w:val="a0"/>
    <w:link w:val="af3"/>
    <w:qFormat/>
    <w:rsid w:val="006125CD"/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6125CD"/>
    <w:rPr>
      <w:color w:val="0000FF"/>
      <w:u w:val="single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1A404B"/>
    <w:rPr>
      <w:b/>
      <w:bCs/>
    </w:rPr>
  </w:style>
  <w:style w:type="character" w:customStyle="1" w:styleId="af7">
    <w:name w:val="批注主题 字符"/>
    <w:basedOn w:val="af4"/>
    <w:link w:val="af6"/>
    <w:uiPriority w:val="99"/>
    <w:semiHidden/>
    <w:rsid w:val="001A404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7E9785-E1EB-476C-81BD-12FD029F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成 祥东</dc:creator>
  <cp:lastModifiedBy>祥东 成</cp:lastModifiedBy>
  <cp:revision>39</cp:revision>
  <cp:lastPrinted>2022-11-23T06:33:00Z</cp:lastPrinted>
  <dcterms:created xsi:type="dcterms:W3CDTF">2024-09-19T06:02:00Z</dcterms:created>
  <dcterms:modified xsi:type="dcterms:W3CDTF">2024-11-26T08:42:00Z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FEA967A5593C4067A0C04C5CA8EE416B</vt:lpwstr>
  </property>
</Properties>
</file>