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9565A">
      <w:pPr>
        <w:spacing w:before="156" w:beforeLines="50" w:after="156" w:afterLines="50" w:line="400" w:lineRule="exact"/>
        <w:rPr>
          <w:rFonts w:ascii="Times New Roman" w:hAnsi="Times New Roman" w:eastAsia="宋体" w:cs="Times New Roman"/>
          <w:bCs/>
          <w:iCs/>
          <w:color w:val="000000"/>
          <w:sz w:val="28"/>
        </w:rPr>
      </w:pPr>
      <w:r>
        <w:rPr>
          <w:rFonts w:ascii="Times New Roman" w:hAnsi="Times New Roman" w:eastAsia="宋体" w:cs="Times New Roman"/>
          <w:bCs/>
          <w:iCs/>
          <w:color w:val="000000"/>
          <w:sz w:val="28"/>
        </w:rPr>
        <w:t>证券代码：688549                          证券简称：中巨芯</w:t>
      </w:r>
    </w:p>
    <w:p w14:paraId="2E41E58C">
      <w:pPr>
        <w:spacing w:before="156" w:beforeLines="50" w:after="156" w:afterLines="50" w:line="400" w:lineRule="exact"/>
        <w:jc w:val="center"/>
        <w:rPr>
          <w:rFonts w:ascii="Times New Roman" w:hAnsi="Times New Roman" w:eastAsia="宋体" w:cs="Times New Roman"/>
          <w:b/>
          <w:bCs/>
          <w:iCs/>
          <w:color w:val="000000"/>
          <w:sz w:val="32"/>
          <w:szCs w:val="32"/>
        </w:rPr>
      </w:pPr>
    </w:p>
    <w:p w14:paraId="296B273C">
      <w:pPr>
        <w:spacing w:before="156" w:beforeLines="50" w:after="156" w:afterLines="50" w:line="400" w:lineRule="exact"/>
        <w:jc w:val="center"/>
        <w:rPr>
          <w:rFonts w:ascii="Times New Roman" w:hAnsi="Times New Roman" w:eastAsia="宋体" w:cs="Times New Roman"/>
          <w:b/>
          <w:bCs/>
          <w:iCs/>
          <w:color w:val="000000"/>
          <w:sz w:val="32"/>
          <w:szCs w:val="32"/>
        </w:rPr>
      </w:pPr>
      <w:r>
        <w:rPr>
          <w:rFonts w:ascii="Times New Roman" w:hAnsi="Times New Roman" w:eastAsia="宋体" w:cs="Times New Roman"/>
          <w:b/>
          <w:bCs/>
          <w:iCs/>
          <w:color w:val="000000"/>
          <w:sz w:val="32"/>
          <w:szCs w:val="32"/>
        </w:rPr>
        <w:t>中巨芯科技股份有限公司投资者关系活动记录表</w:t>
      </w:r>
    </w:p>
    <w:p w14:paraId="37B6AD92">
      <w:pPr>
        <w:spacing w:line="400" w:lineRule="exact"/>
        <w:rPr>
          <w:rFonts w:hint="default" w:ascii="Times New Roman" w:hAnsi="Times New Roman" w:eastAsia="宋体" w:cs="Times New Roman"/>
          <w:bCs/>
          <w:iCs/>
          <w:sz w:val="24"/>
          <w:lang w:val="en-US" w:eastAsia="zh-CN"/>
        </w:rPr>
      </w:pPr>
      <w:r>
        <w:rPr>
          <w:rFonts w:ascii="Times New Roman" w:hAnsi="Times New Roman" w:eastAsia="宋体" w:cs="Times New Roman"/>
          <w:bCs/>
          <w:iCs/>
          <w:color w:val="000000"/>
          <w:sz w:val="24"/>
        </w:rPr>
        <w:t xml:space="preserve">                                                      </w:t>
      </w:r>
      <w:r>
        <w:rPr>
          <w:rFonts w:ascii="Times New Roman" w:hAnsi="Times New Roman" w:eastAsia="宋体" w:cs="Times New Roman"/>
          <w:bCs/>
          <w:iCs/>
          <w:color w:val="FF0000"/>
          <w:sz w:val="24"/>
        </w:rPr>
        <w:t xml:space="preserve"> </w:t>
      </w:r>
      <w:r>
        <w:rPr>
          <w:rFonts w:ascii="Times New Roman" w:hAnsi="Times New Roman" w:eastAsia="宋体" w:cs="Times New Roman"/>
          <w:bCs/>
          <w:iCs/>
          <w:sz w:val="24"/>
        </w:rPr>
        <w:t xml:space="preserve"> 编号：202</w:t>
      </w:r>
      <w:r>
        <w:rPr>
          <w:rFonts w:hint="eastAsia" w:ascii="Times New Roman" w:hAnsi="Times New Roman" w:eastAsia="宋体" w:cs="Times New Roman"/>
          <w:bCs/>
          <w:iCs/>
          <w:sz w:val="24"/>
        </w:rPr>
        <w:t>4</w:t>
      </w:r>
      <w:r>
        <w:rPr>
          <w:rFonts w:ascii="Times New Roman" w:hAnsi="Times New Roman" w:eastAsia="宋体" w:cs="Times New Roman"/>
          <w:bCs/>
          <w:iCs/>
          <w:sz w:val="24"/>
        </w:rPr>
        <w:t>-0</w:t>
      </w:r>
      <w:r>
        <w:rPr>
          <w:rFonts w:hint="eastAsia" w:ascii="Times New Roman" w:hAnsi="Times New Roman" w:eastAsia="宋体" w:cs="Times New Roman"/>
          <w:bCs/>
          <w:iCs/>
          <w:sz w:val="24"/>
          <w:lang w:val="en-US" w:eastAsia="zh-CN"/>
        </w:rPr>
        <w:t>10</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2"/>
        <w:gridCol w:w="1809"/>
        <w:gridCol w:w="1516"/>
        <w:gridCol w:w="1916"/>
        <w:gridCol w:w="1799"/>
      </w:tblGrid>
      <w:tr w14:paraId="7ACA3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pct"/>
            <w:tcBorders>
              <w:top w:val="single" w:color="auto" w:sz="4" w:space="0"/>
              <w:left w:val="single" w:color="auto" w:sz="4" w:space="0"/>
              <w:bottom w:val="single" w:color="auto" w:sz="4" w:space="0"/>
              <w:right w:val="single" w:color="auto" w:sz="4" w:space="0"/>
            </w:tcBorders>
            <w:shd w:val="clear" w:color="auto" w:fill="auto"/>
            <w:vAlign w:val="center"/>
          </w:tcPr>
          <w:p w14:paraId="74E448E6">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投资者关系活动类别</w:t>
            </w:r>
          </w:p>
          <w:p w14:paraId="7CAB181E">
            <w:pPr>
              <w:jc w:val="center"/>
              <w:rPr>
                <w:rFonts w:ascii="Times New Roman" w:hAnsi="Times New Roman" w:eastAsia="宋体" w:cs="Times New Roman"/>
                <w:bCs/>
                <w:iCs/>
                <w:color w:val="000000"/>
                <w:sz w:val="24"/>
                <w:szCs w:val="24"/>
              </w:rPr>
            </w:pPr>
          </w:p>
        </w:tc>
        <w:tc>
          <w:tcPr>
            <w:tcW w:w="4129" w:type="pct"/>
            <w:gridSpan w:val="4"/>
            <w:tcBorders>
              <w:top w:val="single" w:color="auto" w:sz="4" w:space="0"/>
              <w:left w:val="single" w:color="auto" w:sz="4" w:space="0"/>
              <w:bottom w:val="single" w:color="auto" w:sz="4" w:space="0"/>
              <w:right w:val="single" w:color="auto" w:sz="4" w:space="0"/>
            </w:tcBorders>
            <w:shd w:val="clear" w:color="auto" w:fill="auto"/>
          </w:tcPr>
          <w:p w14:paraId="18183491">
            <w:pPr>
              <w:spacing w:line="480" w:lineRule="atLeast"/>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sym w:font="Wingdings 2" w:char="0052"/>
            </w:r>
            <w:r>
              <w:rPr>
                <w:rFonts w:ascii="Times New Roman" w:hAnsi="Times New Roman" w:eastAsia="宋体" w:cs="Times New Roman"/>
                <w:sz w:val="24"/>
                <w:szCs w:val="24"/>
              </w:rPr>
              <w:t xml:space="preserve">特定对象调研        </w:t>
            </w:r>
            <w:r>
              <w:rPr>
                <w:rFonts w:ascii="Times New Roman" w:hAnsi="Times New Roman" w:eastAsia="宋体" w:cs="Times New Roman"/>
                <w:bCs/>
                <w:iCs/>
                <w:color w:val="000000"/>
                <w:sz w:val="24"/>
                <w:szCs w:val="24"/>
              </w:rPr>
              <w:t>□</w:t>
            </w:r>
            <w:r>
              <w:rPr>
                <w:rFonts w:ascii="Times New Roman" w:hAnsi="Times New Roman" w:eastAsia="宋体" w:cs="Times New Roman"/>
                <w:sz w:val="24"/>
                <w:szCs w:val="24"/>
              </w:rPr>
              <w:t>分析师会议</w:t>
            </w:r>
          </w:p>
          <w:p w14:paraId="6371CB54">
            <w:pPr>
              <w:spacing w:line="480" w:lineRule="atLeast"/>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w:t>
            </w:r>
            <w:r>
              <w:rPr>
                <w:rFonts w:ascii="Times New Roman" w:hAnsi="Times New Roman" w:eastAsia="宋体" w:cs="Times New Roman"/>
                <w:sz w:val="24"/>
                <w:szCs w:val="24"/>
              </w:rPr>
              <w:t xml:space="preserve">媒体采访            </w:t>
            </w:r>
            <w:r>
              <w:rPr>
                <w:rFonts w:ascii="Times New Roman" w:hAnsi="Times New Roman" w:eastAsia="宋体" w:cs="Times New Roman"/>
                <w:bCs/>
                <w:iCs/>
                <w:color w:val="000000"/>
                <w:sz w:val="24"/>
                <w:szCs w:val="24"/>
              </w:rPr>
              <w:t>□</w:t>
            </w:r>
            <w:r>
              <w:rPr>
                <w:rFonts w:ascii="Times New Roman" w:hAnsi="Times New Roman" w:eastAsia="宋体" w:cs="Times New Roman"/>
                <w:sz w:val="24"/>
                <w:szCs w:val="24"/>
              </w:rPr>
              <w:t>业绩说明会</w:t>
            </w:r>
          </w:p>
          <w:p w14:paraId="4A7206E5">
            <w:pPr>
              <w:spacing w:line="480" w:lineRule="atLeast"/>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w:t>
            </w:r>
            <w:r>
              <w:rPr>
                <w:rFonts w:ascii="Times New Roman" w:hAnsi="Times New Roman" w:eastAsia="宋体" w:cs="Times New Roman"/>
                <w:sz w:val="24"/>
                <w:szCs w:val="24"/>
              </w:rPr>
              <w:t xml:space="preserve">新闻发布会          </w:t>
            </w:r>
            <w:r>
              <w:rPr>
                <w:rFonts w:ascii="Times New Roman" w:hAnsi="Times New Roman" w:eastAsia="宋体" w:cs="Times New Roman"/>
                <w:bCs/>
                <w:iCs/>
                <w:color w:val="000000"/>
                <w:sz w:val="24"/>
                <w:szCs w:val="24"/>
              </w:rPr>
              <w:t>□</w:t>
            </w:r>
            <w:r>
              <w:rPr>
                <w:rFonts w:ascii="Times New Roman" w:hAnsi="Times New Roman" w:eastAsia="宋体" w:cs="Times New Roman"/>
                <w:sz w:val="24"/>
                <w:szCs w:val="24"/>
              </w:rPr>
              <w:t>路演活动</w:t>
            </w:r>
          </w:p>
          <w:p w14:paraId="0C15B395">
            <w:pPr>
              <w:tabs>
                <w:tab w:val="left" w:pos="3045"/>
                <w:tab w:val="center" w:pos="3199"/>
              </w:tabs>
              <w:spacing w:line="480" w:lineRule="atLeast"/>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w:t>
            </w:r>
            <w:r>
              <w:rPr>
                <w:rFonts w:ascii="Times New Roman" w:hAnsi="Times New Roman" w:eastAsia="宋体" w:cs="Times New Roman"/>
                <w:sz w:val="24"/>
                <w:szCs w:val="24"/>
              </w:rPr>
              <w:t>现场参观</w:t>
            </w:r>
            <w:r>
              <w:rPr>
                <w:rFonts w:ascii="Times New Roman" w:hAnsi="Times New Roman" w:eastAsia="宋体" w:cs="Times New Roman"/>
                <w:bCs/>
                <w:iCs/>
                <w:color w:val="000000"/>
                <w:sz w:val="24"/>
                <w:szCs w:val="24"/>
              </w:rPr>
              <w:tab/>
            </w:r>
          </w:p>
          <w:p w14:paraId="717BFF38">
            <w:pPr>
              <w:tabs>
                <w:tab w:val="center" w:pos="3199"/>
              </w:tabs>
              <w:spacing w:line="480" w:lineRule="atLeast"/>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w:t>
            </w:r>
            <w:r>
              <w:rPr>
                <w:rFonts w:ascii="Times New Roman" w:hAnsi="Times New Roman" w:eastAsia="宋体" w:cs="Times New Roman"/>
                <w:sz w:val="24"/>
                <w:szCs w:val="24"/>
              </w:rPr>
              <w:t>其他 （</w:t>
            </w:r>
            <w:r>
              <w:rPr>
                <w:rFonts w:ascii="Times New Roman" w:hAnsi="Times New Roman" w:eastAsia="宋体" w:cs="Times New Roman"/>
                <w:sz w:val="24"/>
                <w:szCs w:val="24"/>
                <w:u w:val="single"/>
              </w:rPr>
              <w:t>请文字说明其他活动内容）</w:t>
            </w:r>
          </w:p>
        </w:tc>
      </w:tr>
      <w:tr w14:paraId="35608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0" w:type="pct"/>
            <w:vMerge w:val="restart"/>
            <w:tcBorders>
              <w:top w:val="single" w:color="auto" w:sz="4" w:space="0"/>
              <w:left w:val="single" w:color="auto" w:sz="4" w:space="0"/>
              <w:right w:val="single" w:color="auto" w:sz="4" w:space="0"/>
            </w:tcBorders>
            <w:shd w:val="clear" w:color="auto" w:fill="auto"/>
            <w:vAlign w:val="center"/>
          </w:tcPr>
          <w:p w14:paraId="11739258">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参与单位名称</w:t>
            </w:r>
          </w:p>
        </w:tc>
        <w:tc>
          <w:tcPr>
            <w:tcW w:w="1061" w:type="pct"/>
            <w:tcBorders>
              <w:top w:val="single" w:color="auto" w:sz="4" w:space="0"/>
              <w:left w:val="single" w:color="auto" w:sz="4" w:space="0"/>
              <w:bottom w:val="nil"/>
              <w:right w:val="nil"/>
            </w:tcBorders>
            <w:shd w:val="clear" w:color="auto" w:fill="auto"/>
          </w:tcPr>
          <w:p w14:paraId="2351EED7">
            <w:pPr>
              <w:spacing w:line="480" w:lineRule="atLeast"/>
              <w:jc w:val="center"/>
              <w:rPr>
                <w:rFonts w:hint="eastAsia" w:ascii="Times New Roman" w:hAnsi="Times New Roman" w:eastAsia="宋体" w:cs="Times New Roman"/>
                <w:bCs/>
                <w:iCs/>
                <w:color w:val="000000"/>
                <w:sz w:val="24"/>
                <w:szCs w:val="24"/>
                <w:lang w:eastAsia="zh-CN"/>
              </w:rPr>
            </w:pPr>
            <w:r>
              <w:rPr>
                <w:rFonts w:hint="eastAsia" w:ascii="Times New Roman" w:hAnsi="Times New Roman" w:eastAsia="宋体" w:cs="Times New Roman"/>
                <w:bCs/>
                <w:iCs/>
                <w:color w:val="000000"/>
                <w:sz w:val="24"/>
                <w:szCs w:val="24"/>
                <w:lang w:val="en-US" w:eastAsia="zh-CN"/>
              </w:rPr>
              <w:t>中信证券</w:t>
            </w:r>
          </w:p>
        </w:tc>
        <w:tc>
          <w:tcPr>
            <w:tcW w:w="889" w:type="pct"/>
            <w:tcBorders>
              <w:top w:val="single" w:color="auto" w:sz="4" w:space="0"/>
              <w:left w:val="nil"/>
              <w:bottom w:val="nil"/>
              <w:right w:val="nil"/>
            </w:tcBorders>
            <w:shd w:val="clear" w:color="auto" w:fill="auto"/>
          </w:tcPr>
          <w:p w14:paraId="6A304B76">
            <w:pPr>
              <w:spacing w:line="480" w:lineRule="atLeast"/>
              <w:jc w:val="center"/>
              <w:rPr>
                <w:rFonts w:hint="eastAsia"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lang w:val="en-US" w:eastAsia="zh-CN"/>
              </w:rPr>
              <w:t>东北证券</w:t>
            </w:r>
          </w:p>
        </w:tc>
        <w:tc>
          <w:tcPr>
            <w:tcW w:w="1124" w:type="pct"/>
            <w:tcBorders>
              <w:top w:val="single" w:color="auto" w:sz="4" w:space="0"/>
              <w:left w:val="nil"/>
              <w:bottom w:val="nil"/>
              <w:right w:val="nil"/>
            </w:tcBorders>
            <w:shd w:val="clear" w:color="auto" w:fill="auto"/>
          </w:tcPr>
          <w:p w14:paraId="586977A6">
            <w:pPr>
              <w:spacing w:line="480" w:lineRule="atLeast"/>
              <w:jc w:val="center"/>
              <w:rPr>
                <w:rFonts w:hint="eastAsia" w:ascii="Times New Roman" w:hAnsi="Times New Roman" w:eastAsia="宋体" w:cs="Times New Roman"/>
                <w:bCs/>
                <w:iCs/>
                <w:color w:val="000000"/>
                <w:sz w:val="24"/>
                <w:szCs w:val="24"/>
                <w:lang w:val="en-US" w:eastAsia="zh-CN"/>
              </w:rPr>
            </w:pPr>
            <w:r>
              <w:rPr>
                <w:rFonts w:hint="eastAsia" w:ascii="Times New Roman" w:hAnsi="Times New Roman" w:eastAsia="宋体" w:cs="Times New Roman"/>
                <w:bCs/>
                <w:iCs/>
                <w:color w:val="000000"/>
                <w:sz w:val="24"/>
                <w:szCs w:val="24"/>
                <w:lang w:val="en-US" w:eastAsia="zh-CN"/>
              </w:rPr>
              <w:t>国信证券</w:t>
            </w:r>
          </w:p>
        </w:tc>
        <w:tc>
          <w:tcPr>
            <w:tcW w:w="1054" w:type="pct"/>
            <w:tcBorders>
              <w:top w:val="single" w:color="auto" w:sz="4" w:space="0"/>
              <w:left w:val="nil"/>
              <w:bottom w:val="nil"/>
              <w:right w:val="single" w:color="auto" w:sz="4" w:space="0"/>
            </w:tcBorders>
            <w:shd w:val="clear" w:color="auto" w:fill="auto"/>
          </w:tcPr>
          <w:p w14:paraId="4851A86B">
            <w:pPr>
              <w:spacing w:line="480" w:lineRule="atLeast"/>
              <w:jc w:val="center"/>
              <w:rPr>
                <w:rFonts w:hint="eastAsia"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lang w:val="en-US" w:eastAsia="zh-CN"/>
              </w:rPr>
              <w:t>中邮证券</w:t>
            </w:r>
          </w:p>
        </w:tc>
      </w:tr>
      <w:tr w14:paraId="1E256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0" w:type="pct"/>
            <w:vMerge w:val="continue"/>
            <w:tcBorders>
              <w:left w:val="single" w:color="auto" w:sz="4" w:space="0"/>
              <w:right w:val="single" w:color="auto" w:sz="4" w:space="0"/>
            </w:tcBorders>
            <w:shd w:val="clear" w:color="auto" w:fill="auto"/>
            <w:vAlign w:val="center"/>
          </w:tcPr>
          <w:p w14:paraId="73147205">
            <w:pPr>
              <w:spacing w:line="480" w:lineRule="atLeast"/>
            </w:pPr>
          </w:p>
        </w:tc>
        <w:tc>
          <w:tcPr>
            <w:tcW w:w="1061" w:type="pct"/>
            <w:tcBorders>
              <w:top w:val="nil"/>
              <w:left w:val="single" w:color="auto" w:sz="4" w:space="0"/>
              <w:bottom w:val="nil"/>
              <w:right w:val="nil"/>
            </w:tcBorders>
            <w:shd w:val="clear" w:color="auto" w:fill="auto"/>
          </w:tcPr>
          <w:p w14:paraId="1F17EC56">
            <w:pPr>
              <w:spacing w:line="480" w:lineRule="atLeast"/>
              <w:jc w:val="center"/>
            </w:pPr>
            <w:r>
              <w:rPr>
                <w:rFonts w:hint="eastAsia" w:ascii="Times New Roman" w:hAnsi="Times New Roman" w:eastAsia="宋体" w:cs="Times New Roman"/>
                <w:bCs/>
                <w:iCs/>
                <w:color w:val="000000"/>
                <w:sz w:val="24"/>
                <w:szCs w:val="24"/>
                <w:lang w:val="en-US" w:eastAsia="zh-CN"/>
              </w:rPr>
              <w:t>招商证券</w:t>
            </w:r>
          </w:p>
        </w:tc>
        <w:tc>
          <w:tcPr>
            <w:tcW w:w="889" w:type="pct"/>
            <w:tcBorders>
              <w:top w:val="nil"/>
              <w:left w:val="nil"/>
              <w:bottom w:val="nil"/>
              <w:right w:val="nil"/>
            </w:tcBorders>
            <w:shd w:val="clear" w:color="auto" w:fill="auto"/>
            <w:vAlign w:val="top"/>
          </w:tcPr>
          <w:p w14:paraId="5237E7A6">
            <w:pPr>
              <w:spacing w:line="480" w:lineRule="atLeast"/>
              <w:jc w:val="center"/>
              <w:rPr>
                <w:rFonts w:asciiTheme="minorHAnsi" w:hAnsiTheme="minorHAnsi" w:eastAsiaTheme="minorEastAsia" w:cstheme="minorBidi"/>
                <w:kern w:val="2"/>
                <w:sz w:val="21"/>
                <w:szCs w:val="22"/>
                <w:lang w:val="en-US" w:eastAsia="zh-CN" w:bidi="ar-SA"/>
              </w:rPr>
            </w:pPr>
            <w:r>
              <w:rPr>
                <w:rFonts w:hint="eastAsia" w:ascii="Times New Roman" w:hAnsi="Times New Roman" w:eastAsia="宋体" w:cs="Times New Roman"/>
                <w:bCs/>
                <w:iCs/>
                <w:color w:val="000000"/>
                <w:sz w:val="24"/>
                <w:szCs w:val="24"/>
                <w:lang w:val="en-US" w:eastAsia="zh-CN"/>
              </w:rPr>
              <w:t>易方达基金</w:t>
            </w:r>
          </w:p>
        </w:tc>
        <w:tc>
          <w:tcPr>
            <w:tcW w:w="1124" w:type="pct"/>
            <w:tcBorders>
              <w:top w:val="nil"/>
              <w:left w:val="nil"/>
              <w:bottom w:val="nil"/>
              <w:right w:val="nil"/>
            </w:tcBorders>
            <w:shd w:val="clear" w:color="auto" w:fill="auto"/>
            <w:vAlign w:val="top"/>
          </w:tcPr>
          <w:p w14:paraId="5475B474">
            <w:pPr>
              <w:spacing w:line="480" w:lineRule="atLeast"/>
              <w:jc w:val="center"/>
              <w:rPr>
                <w:rFonts w:asciiTheme="minorHAnsi" w:hAnsiTheme="minorHAnsi" w:eastAsiaTheme="minorEastAsia" w:cstheme="minorBidi"/>
                <w:kern w:val="2"/>
                <w:sz w:val="21"/>
                <w:szCs w:val="22"/>
                <w:lang w:val="en-US" w:eastAsia="zh-CN" w:bidi="ar-SA"/>
              </w:rPr>
            </w:pPr>
            <w:r>
              <w:rPr>
                <w:rFonts w:hint="eastAsia" w:ascii="Times New Roman" w:hAnsi="Times New Roman" w:eastAsia="宋体" w:cs="Times New Roman"/>
                <w:bCs/>
                <w:iCs/>
                <w:color w:val="000000"/>
                <w:sz w:val="24"/>
                <w:szCs w:val="24"/>
                <w:lang w:val="en-US" w:eastAsia="zh-CN"/>
              </w:rPr>
              <w:t>华夏基金</w:t>
            </w:r>
          </w:p>
        </w:tc>
        <w:tc>
          <w:tcPr>
            <w:tcW w:w="1054" w:type="pct"/>
            <w:tcBorders>
              <w:top w:val="nil"/>
              <w:left w:val="nil"/>
              <w:bottom w:val="nil"/>
              <w:right w:val="single" w:color="auto" w:sz="4" w:space="0"/>
            </w:tcBorders>
            <w:shd w:val="clear" w:color="auto" w:fill="auto"/>
          </w:tcPr>
          <w:p w14:paraId="2D00F0FB">
            <w:pPr>
              <w:spacing w:line="480" w:lineRule="atLeast"/>
              <w:jc w:val="center"/>
              <w:rPr>
                <w:rFonts w:hint="default" w:ascii="Times New Roman" w:hAnsi="Times New Roman" w:eastAsia="宋体" w:cs="Times New Roman"/>
                <w:bCs/>
                <w:iCs/>
                <w:color w:val="000000"/>
                <w:sz w:val="24"/>
                <w:szCs w:val="24"/>
                <w:lang w:val="en-US"/>
              </w:rPr>
            </w:pPr>
            <w:r>
              <w:rPr>
                <w:rFonts w:hint="eastAsia" w:ascii="Times New Roman" w:hAnsi="Times New Roman" w:eastAsia="宋体" w:cs="Times New Roman"/>
                <w:bCs/>
                <w:iCs/>
                <w:color w:val="000000"/>
                <w:sz w:val="24"/>
                <w:szCs w:val="24"/>
                <w:lang w:val="en-US" w:eastAsia="zh-CN"/>
              </w:rPr>
              <w:t>国投瑞银基金</w:t>
            </w:r>
          </w:p>
        </w:tc>
      </w:tr>
      <w:tr w14:paraId="40FCA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0" w:type="pct"/>
            <w:vMerge w:val="continue"/>
            <w:tcBorders>
              <w:left w:val="single" w:color="auto" w:sz="4" w:space="0"/>
              <w:right w:val="single" w:color="auto" w:sz="4" w:space="0"/>
            </w:tcBorders>
            <w:shd w:val="clear" w:color="auto" w:fill="auto"/>
            <w:vAlign w:val="center"/>
          </w:tcPr>
          <w:p w14:paraId="60DFBBC2">
            <w:pPr>
              <w:spacing w:line="480" w:lineRule="atLeast"/>
              <w:rPr>
                <w:rFonts w:hint="eastAsia" w:ascii="Times New Roman" w:hAnsi="Times New Roman" w:eastAsia="宋体" w:cs="Times New Roman"/>
                <w:bCs/>
                <w:iCs/>
                <w:color w:val="000000"/>
                <w:sz w:val="24"/>
                <w:szCs w:val="24"/>
              </w:rPr>
            </w:pPr>
          </w:p>
        </w:tc>
        <w:tc>
          <w:tcPr>
            <w:tcW w:w="1061" w:type="pct"/>
            <w:tcBorders>
              <w:top w:val="nil"/>
              <w:left w:val="single" w:color="auto" w:sz="4" w:space="0"/>
              <w:bottom w:val="nil"/>
              <w:right w:val="nil"/>
            </w:tcBorders>
            <w:shd w:val="clear" w:color="auto" w:fill="auto"/>
          </w:tcPr>
          <w:p w14:paraId="2E6DA1BA">
            <w:pPr>
              <w:spacing w:line="480" w:lineRule="atLeast"/>
              <w:jc w:val="center"/>
              <w:rPr>
                <w:rFonts w:hint="eastAsia"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lang w:val="en-US" w:eastAsia="zh-CN"/>
              </w:rPr>
              <w:t>博时基金</w:t>
            </w:r>
          </w:p>
        </w:tc>
        <w:tc>
          <w:tcPr>
            <w:tcW w:w="889" w:type="pct"/>
            <w:tcBorders>
              <w:top w:val="nil"/>
              <w:left w:val="nil"/>
              <w:bottom w:val="nil"/>
              <w:right w:val="nil"/>
            </w:tcBorders>
            <w:shd w:val="clear" w:color="auto" w:fill="auto"/>
            <w:vAlign w:val="top"/>
          </w:tcPr>
          <w:p w14:paraId="3C3365AA">
            <w:pPr>
              <w:spacing w:line="480" w:lineRule="atLeast"/>
              <w:jc w:val="center"/>
              <w:rPr>
                <w:rFonts w:hint="eastAsia" w:ascii="Times New Roman" w:hAnsi="Times New Roman" w:eastAsia="宋体" w:cs="Times New Roman"/>
                <w:bCs/>
                <w:iCs/>
                <w:color w:val="000000"/>
                <w:kern w:val="2"/>
                <w:sz w:val="24"/>
                <w:szCs w:val="24"/>
                <w:lang w:val="en-US" w:eastAsia="zh-CN" w:bidi="ar-SA"/>
              </w:rPr>
            </w:pPr>
            <w:r>
              <w:rPr>
                <w:rFonts w:hint="eastAsia" w:ascii="Times New Roman" w:hAnsi="Times New Roman" w:eastAsia="宋体" w:cs="Times New Roman"/>
                <w:bCs/>
                <w:iCs/>
                <w:color w:val="000000"/>
                <w:sz w:val="24"/>
                <w:szCs w:val="24"/>
                <w:lang w:val="en-US" w:eastAsia="zh-CN"/>
              </w:rPr>
              <w:t>天弘基金</w:t>
            </w:r>
          </w:p>
        </w:tc>
        <w:tc>
          <w:tcPr>
            <w:tcW w:w="1124" w:type="pct"/>
            <w:tcBorders>
              <w:top w:val="nil"/>
              <w:left w:val="nil"/>
              <w:bottom w:val="nil"/>
              <w:right w:val="nil"/>
            </w:tcBorders>
            <w:shd w:val="clear" w:color="auto" w:fill="auto"/>
            <w:vAlign w:val="top"/>
          </w:tcPr>
          <w:p w14:paraId="1CAC60FB">
            <w:pPr>
              <w:spacing w:line="480" w:lineRule="atLeast"/>
              <w:jc w:val="center"/>
              <w:rPr>
                <w:rFonts w:hint="eastAsia" w:ascii="Times New Roman" w:hAnsi="Times New Roman" w:eastAsia="宋体" w:cs="Times New Roman"/>
                <w:bCs/>
                <w:iCs/>
                <w:color w:val="000000"/>
                <w:kern w:val="2"/>
                <w:sz w:val="24"/>
                <w:szCs w:val="24"/>
                <w:lang w:val="en-US" w:eastAsia="zh-CN" w:bidi="ar-SA"/>
              </w:rPr>
            </w:pPr>
            <w:r>
              <w:rPr>
                <w:rFonts w:hint="eastAsia" w:ascii="Times New Roman" w:hAnsi="Times New Roman" w:eastAsia="宋体" w:cs="Times New Roman"/>
                <w:bCs/>
                <w:iCs/>
                <w:color w:val="000000"/>
                <w:sz w:val="24"/>
                <w:szCs w:val="24"/>
                <w:lang w:val="en-US" w:eastAsia="zh-CN"/>
              </w:rPr>
              <w:t>融通基金</w:t>
            </w:r>
          </w:p>
        </w:tc>
        <w:tc>
          <w:tcPr>
            <w:tcW w:w="1054" w:type="pct"/>
            <w:tcBorders>
              <w:top w:val="nil"/>
              <w:left w:val="nil"/>
              <w:bottom w:val="nil"/>
              <w:right w:val="single" w:color="auto" w:sz="4" w:space="0"/>
            </w:tcBorders>
            <w:shd w:val="clear" w:color="auto" w:fill="auto"/>
          </w:tcPr>
          <w:p w14:paraId="5E26B444">
            <w:pPr>
              <w:spacing w:line="480" w:lineRule="atLeast"/>
              <w:jc w:val="center"/>
              <w:rPr>
                <w:rFonts w:hint="eastAsia"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lang w:val="en-US" w:eastAsia="zh-CN"/>
              </w:rPr>
              <w:t>景顺长城基金</w:t>
            </w:r>
          </w:p>
        </w:tc>
      </w:tr>
      <w:tr w14:paraId="0804F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0" w:type="pct"/>
            <w:vMerge w:val="continue"/>
            <w:tcBorders>
              <w:left w:val="single" w:color="auto" w:sz="4" w:space="0"/>
              <w:right w:val="single" w:color="auto" w:sz="4" w:space="0"/>
            </w:tcBorders>
            <w:shd w:val="clear" w:color="auto" w:fill="auto"/>
            <w:vAlign w:val="center"/>
          </w:tcPr>
          <w:p w14:paraId="7C15706E">
            <w:pPr>
              <w:spacing w:line="480" w:lineRule="atLeast"/>
              <w:rPr>
                <w:rFonts w:hint="eastAsia" w:ascii="Times New Roman" w:hAnsi="Times New Roman" w:eastAsia="宋体" w:cs="Times New Roman"/>
                <w:bCs/>
                <w:iCs/>
                <w:color w:val="000000"/>
                <w:sz w:val="24"/>
                <w:szCs w:val="24"/>
              </w:rPr>
            </w:pPr>
          </w:p>
        </w:tc>
        <w:tc>
          <w:tcPr>
            <w:tcW w:w="1061" w:type="pct"/>
            <w:tcBorders>
              <w:top w:val="nil"/>
              <w:left w:val="single" w:color="auto" w:sz="4" w:space="0"/>
              <w:bottom w:val="nil"/>
              <w:right w:val="nil"/>
            </w:tcBorders>
            <w:shd w:val="clear" w:color="auto" w:fill="auto"/>
          </w:tcPr>
          <w:p w14:paraId="50569D36">
            <w:pPr>
              <w:spacing w:line="480" w:lineRule="atLeast"/>
              <w:jc w:val="center"/>
              <w:rPr>
                <w:rFonts w:hint="default" w:ascii="Times New Roman" w:hAnsi="Times New Roman" w:eastAsia="宋体" w:cs="Times New Roman"/>
                <w:bCs/>
                <w:iCs/>
                <w:color w:val="000000"/>
                <w:sz w:val="24"/>
                <w:szCs w:val="24"/>
                <w:lang w:val="en-US" w:eastAsia="zh-CN"/>
              </w:rPr>
            </w:pPr>
            <w:r>
              <w:rPr>
                <w:rFonts w:hint="eastAsia" w:ascii="Times New Roman" w:hAnsi="Times New Roman" w:eastAsia="宋体" w:cs="Times New Roman"/>
                <w:bCs/>
                <w:iCs/>
                <w:color w:val="000000"/>
                <w:sz w:val="24"/>
                <w:szCs w:val="24"/>
                <w:lang w:val="en-US" w:eastAsia="zh-CN"/>
              </w:rPr>
              <w:t>平安基金</w:t>
            </w:r>
          </w:p>
        </w:tc>
        <w:tc>
          <w:tcPr>
            <w:tcW w:w="889" w:type="pct"/>
            <w:tcBorders>
              <w:top w:val="nil"/>
              <w:left w:val="nil"/>
              <w:bottom w:val="nil"/>
              <w:right w:val="nil"/>
            </w:tcBorders>
            <w:shd w:val="clear" w:color="auto" w:fill="auto"/>
          </w:tcPr>
          <w:p w14:paraId="78117438">
            <w:pPr>
              <w:spacing w:line="480" w:lineRule="atLeast"/>
              <w:jc w:val="center"/>
              <w:rPr>
                <w:rFonts w:hint="default" w:ascii="Times New Roman" w:hAnsi="Times New Roman" w:eastAsia="宋体" w:cs="Times New Roman"/>
                <w:bCs/>
                <w:iCs/>
                <w:color w:val="000000"/>
                <w:sz w:val="24"/>
                <w:szCs w:val="24"/>
                <w:lang w:val="en-US" w:eastAsia="zh-CN"/>
              </w:rPr>
            </w:pPr>
            <w:r>
              <w:rPr>
                <w:rFonts w:hint="eastAsia" w:ascii="Times New Roman" w:hAnsi="Times New Roman" w:eastAsia="宋体" w:cs="Times New Roman"/>
                <w:bCs/>
                <w:iCs/>
                <w:color w:val="000000"/>
                <w:sz w:val="24"/>
                <w:szCs w:val="24"/>
                <w:lang w:val="en-US" w:eastAsia="zh-CN"/>
              </w:rPr>
              <w:t>华安基金</w:t>
            </w:r>
          </w:p>
        </w:tc>
        <w:tc>
          <w:tcPr>
            <w:tcW w:w="1124" w:type="pct"/>
            <w:tcBorders>
              <w:top w:val="nil"/>
              <w:left w:val="nil"/>
              <w:bottom w:val="nil"/>
              <w:right w:val="nil"/>
            </w:tcBorders>
            <w:shd w:val="clear" w:color="auto" w:fill="auto"/>
          </w:tcPr>
          <w:p w14:paraId="3139CBF2">
            <w:pPr>
              <w:spacing w:line="480" w:lineRule="atLeast"/>
              <w:jc w:val="center"/>
              <w:rPr>
                <w:rFonts w:hint="default" w:ascii="Times New Roman" w:hAnsi="Times New Roman" w:eastAsia="宋体" w:cs="Times New Roman"/>
                <w:bCs/>
                <w:iCs/>
                <w:color w:val="000000"/>
                <w:sz w:val="24"/>
                <w:szCs w:val="24"/>
                <w:lang w:val="en-US" w:eastAsia="zh-CN"/>
              </w:rPr>
            </w:pPr>
            <w:r>
              <w:rPr>
                <w:rFonts w:hint="eastAsia" w:ascii="Times New Roman" w:hAnsi="Times New Roman" w:eastAsia="宋体" w:cs="Times New Roman"/>
                <w:bCs/>
                <w:iCs/>
                <w:color w:val="000000"/>
                <w:sz w:val="24"/>
                <w:szCs w:val="24"/>
                <w:lang w:val="en-US" w:eastAsia="zh-CN"/>
              </w:rPr>
              <w:t>诺安基金</w:t>
            </w:r>
          </w:p>
        </w:tc>
        <w:tc>
          <w:tcPr>
            <w:tcW w:w="1054" w:type="pct"/>
            <w:tcBorders>
              <w:top w:val="nil"/>
              <w:left w:val="nil"/>
              <w:bottom w:val="nil"/>
              <w:right w:val="single" w:color="auto" w:sz="4" w:space="0"/>
            </w:tcBorders>
            <w:shd w:val="clear" w:color="auto" w:fill="auto"/>
          </w:tcPr>
          <w:p w14:paraId="3A1B69F1">
            <w:pPr>
              <w:spacing w:line="480" w:lineRule="atLeast"/>
              <w:jc w:val="center"/>
              <w:rPr>
                <w:rFonts w:hint="default" w:ascii="Times New Roman" w:hAnsi="Times New Roman" w:eastAsia="宋体" w:cs="Times New Roman"/>
                <w:bCs/>
                <w:iCs/>
                <w:color w:val="000000"/>
                <w:sz w:val="24"/>
                <w:szCs w:val="24"/>
                <w:lang w:val="en-US" w:eastAsia="zh-CN"/>
              </w:rPr>
            </w:pPr>
            <w:r>
              <w:rPr>
                <w:rFonts w:hint="eastAsia" w:ascii="Times New Roman" w:hAnsi="Times New Roman" w:eastAsia="宋体" w:cs="Times New Roman"/>
                <w:bCs/>
                <w:iCs/>
                <w:color w:val="000000"/>
                <w:sz w:val="24"/>
                <w:szCs w:val="24"/>
                <w:lang w:val="en-US" w:eastAsia="zh-CN"/>
              </w:rPr>
              <w:t>富荣基金</w:t>
            </w:r>
          </w:p>
        </w:tc>
      </w:tr>
      <w:tr w14:paraId="68A4D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0" w:type="pct"/>
            <w:vMerge w:val="continue"/>
            <w:tcBorders>
              <w:left w:val="single" w:color="auto" w:sz="4" w:space="0"/>
              <w:right w:val="single" w:color="auto" w:sz="4" w:space="0"/>
            </w:tcBorders>
            <w:shd w:val="clear" w:color="auto" w:fill="auto"/>
            <w:vAlign w:val="center"/>
          </w:tcPr>
          <w:p w14:paraId="0E5DF8CB">
            <w:pPr>
              <w:spacing w:line="480" w:lineRule="atLeast"/>
              <w:rPr>
                <w:rFonts w:hint="eastAsia" w:ascii="Times New Roman" w:hAnsi="Times New Roman" w:eastAsia="宋体" w:cs="Times New Roman"/>
                <w:bCs/>
                <w:iCs/>
                <w:color w:val="000000"/>
                <w:sz w:val="24"/>
                <w:szCs w:val="24"/>
              </w:rPr>
            </w:pPr>
          </w:p>
        </w:tc>
        <w:tc>
          <w:tcPr>
            <w:tcW w:w="1061" w:type="pct"/>
            <w:tcBorders>
              <w:top w:val="nil"/>
              <w:left w:val="single" w:color="auto" w:sz="4" w:space="0"/>
              <w:bottom w:val="nil"/>
              <w:right w:val="nil"/>
            </w:tcBorders>
            <w:shd w:val="clear" w:color="auto" w:fill="auto"/>
            <w:vAlign w:val="top"/>
          </w:tcPr>
          <w:p w14:paraId="30F15F6F">
            <w:pPr>
              <w:spacing w:line="480" w:lineRule="atLeast"/>
              <w:jc w:val="center"/>
              <w:rPr>
                <w:rFonts w:hint="default" w:ascii="Times New Roman" w:hAnsi="Times New Roman" w:eastAsia="宋体" w:cs="Times New Roman"/>
                <w:bCs/>
                <w:iCs/>
                <w:color w:val="000000"/>
                <w:kern w:val="2"/>
                <w:sz w:val="24"/>
                <w:szCs w:val="24"/>
                <w:lang w:val="en-US" w:eastAsia="zh-CN" w:bidi="ar-SA"/>
              </w:rPr>
            </w:pPr>
            <w:r>
              <w:rPr>
                <w:rFonts w:hint="eastAsia" w:ascii="Times New Roman" w:hAnsi="Times New Roman" w:eastAsia="宋体" w:cs="Times New Roman"/>
                <w:bCs/>
                <w:iCs/>
                <w:color w:val="000000"/>
                <w:sz w:val="24"/>
                <w:szCs w:val="24"/>
                <w:lang w:val="en-US" w:eastAsia="zh-CN"/>
              </w:rPr>
              <w:t>海雅金控</w:t>
            </w:r>
          </w:p>
        </w:tc>
        <w:tc>
          <w:tcPr>
            <w:tcW w:w="889" w:type="pct"/>
            <w:tcBorders>
              <w:top w:val="nil"/>
              <w:left w:val="nil"/>
              <w:bottom w:val="nil"/>
              <w:right w:val="nil"/>
            </w:tcBorders>
            <w:shd w:val="clear" w:color="auto" w:fill="auto"/>
            <w:vAlign w:val="top"/>
          </w:tcPr>
          <w:p w14:paraId="33FAFC3F">
            <w:pPr>
              <w:spacing w:line="480" w:lineRule="atLeast"/>
              <w:jc w:val="center"/>
              <w:rPr>
                <w:rFonts w:hint="default" w:ascii="Times New Roman" w:hAnsi="Times New Roman" w:eastAsia="宋体" w:cs="Times New Roman"/>
                <w:bCs/>
                <w:iCs/>
                <w:color w:val="000000"/>
                <w:kern w:val="2"/>
                <w:sz w:val="24"/>
                <w:szCs w:val="24"/>
                <w:lang w:val="en-US" w:eastAsia="zh-CN" w:bidi="ar-SA"/>
              </w:rPr>
            </w:pPr>
            <w:r>
              <w:rPr>
                <w:rFonts w:hint="eastAsia" w:ascii="Times New Roman" w:hAnsi="Times New Roman" w:eastAsia="宋体" w:cs="Times New Roman"/>
                <w:bCs/>
                <w:iCs/>
                <w:color w:val="000000"/>
                <w:sz w:val="24"/>
                <w:szCs w:val="24"/>
                <w:lang w:val="en-US" w:eastAsia="zh-CN"/>
              </w:rPr>
              <w:t>望正资管</w:t>
            </w:r>
          </w:p>
        </w:tc>
        <w:tc>
          <w:tcPr>
            <w:tcW w:w="1124" w:type="pct"/>
            <w:tcBorders>
              <w:top w:val="nil"/>
              <w:left w:val="nil"/>
              <w:bottom w:val="nil"/>
              <w:right w:val="nil"/>
            </w:tcBorders>
            <w:shd w:val="clear" w:color="auto" w:fill="auto"/>
            <w:vAlign w:val="top"/>
          </w:tcPr>
          <w:p w14:paraId="736A18E2">
            <w:pPr>
              <w:spacing w:line="480" w:lineRule="atLeast"/>
              <w:jc w:val="center"/>
              <w:rPr>
                <w:rFonts w:hint="eastAsia" w:ascii="Times New Roman" w:hAnsi="Times New Roman" w:eastAsia="宋体" w:cs="Times New Roman"/>
                <w:bCs/>
                <w:iCs/>
                <w:color w:val="000000"/>
                <w:kern w:val="2"/>
                <w:sz w:val="24"/>
                <w:szCs w:val="24"/>
                <w:lang w:val="en-US" w:eastAsia="zh-CN" w:bidi="ar-SA"/>
              </w:rPr>
            </w:pPr>
            <w:r>
              <w:rPr>
                <w:rFonts w:hint="eastAsia" w:ascii="Times New Roman" w:hAnsi="Times New Roman" w:eastAsia="宋体" w:cs="Times New Roman"/>
                <w:bCs/>
                <w:iCs/>
                <w:color w:val="000000"/>
                <w:sz w:val="24"/>
                <w:szCs w:val="24"/>
                <w:lang w:val="en-US" w:eastAsia="zh-CN"/>
              </w:rPr>
              <w:t>圆石投资</w:t>
            </w:r>
          </w:p>
        </w:tc>
        <w:tc>
          <w:tcPr>
            <w:tcW w:w="1054" w:type="pct"/>
            <w:tcBorders>
              <w:top w:val="nil"/>
              <w:left w:val="nil"/>
              <w:bottom w:val="nil"/>
              <w:right w:val="single" w:color="auto" w:sz="4" w:space="0"/>
            </w:tcBorders>
            <w:shd w:val="clear" w:color="auto" w:fill="auto"/>
            <w:vAlign w:val="top"/>
          </w:tcPr>
          <w:p w14:paraId="771FA235">
            <w:pPr>
              <w:spacing w:line="480" w:lineRule="atLeast"/>
              <w:jc w:val="center"/>
              <w:rPr>
                <w:rFonts w:hint="eastAsia" w:ascii="Times New Roman" w:hAnsi="Times New Roman" w:eastAsia="宋体" w:cs="Times New Roman"/>
                <w:bCs/>
                <w:iCs/>
                <w:color w:val="000000"/>
                <w:kern w:val="2"/>
                <w:sz w:val="24"/>
                <w:szCs w:val="24"/>
                <w:lang w:val="en-US" w:eastAsia="zh-CN" w:bidi="ar-SA"/>
              </w:rPr>
            </w:pPr>
            <w:r>
              <w:rPr>
                <w:rFonts w:hint="eastAsia" w:ascii="Times New Roman" w:hAnsi="Times New Roman" w:eastAsia="宋体" w:cs="Times New Roman"/>
                <w:bCs/>
                <w:iCs/>
                <w:color w:val="000000"/>
                <w:sz w:val="24"/>
                <w:szCs w:val="24"/>
                <w:lang w:val="en-US" w:eastAsia="zh-CN"/>
              </w:rPr>
              <w:t>新活力资本</w:t>
            </w:r>
          </w:p>
        </w:tc>
      </w:tr>
      <w:tr w14:paraId="092E0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0" w:type="pct"/>
            <w:vMerge w:val="continue"/>
            <w:tcBorders>
              <w:left w:val="single" w:color="auto" w:sz="4" w:space="0"/>
              <w:right w:val="single" w:color="auto" w:sz="4" w:space="0"/>
            </w:tcBorders>
            <w:shd w:val="clear" w:color="auto" w:fill="auto"/>
            <w:vAlign w:val="center"/>
          </w:tcPr>
          <w:p w14:paraId="5DE0B759">
            <w:pPr>
              <w:spacing w:line="480" w:lineRule="atLeast"/>
              <w:rPr>
                <w:rFonts w:hint="eastAsia" w:ascii="Times New Roman" w:hAnsi="Times New Roman" w:eastAsia="宋体" w:cs="Times New Roman"/>
                <w:bCs/>
                <w:iCs/>
                <w:color w:val="000000"/>
                <w:sz w:val="24"/>
                <w:szCs w:val="24"/>
              </w:rPr>
            </w:pPr>
          </w:p>
        </w:tc>
        <w:tc>
          <w:tcPr>
            <w:tcW w:w="1061" w:type="pct"/>
            <w:tcBorders>
              <w:top w:val="nil"/>
              <w:left w:val="single" w:color="auto" w:sz="4" w:space="0"/>
              <w:bottom w:val="nil"/>
              <w:right w:val="nil"/>
            </w:tcBorders>
            <w:shd w:val="clear" w:color="auto" w:fill="auto"/>
            <w:vAlign w:val="top"/>
          </w:tcPr>
          <w:p w14:paraId="57CD7F2C">
            <w:pPr>
              <w:spacing w:line="480" w:lineRule="atLeast"/>
              <w:jc w:val="center"/>
              <w:rPr>
                <w:rFonts w:hint="eastAsia" w:ascii="Times New Roman" w:hAnsi="Times New Roman" w:eastAsia="宋体" w:cs="Times New Roman"/>
                <w:bCs/>
                <w:iCs/>
                <w:color w:val="000000"/>
                <w:kern w:val="2"/>
                <w:sz w:val="24"/>
                <w:szCs w:val="24"/>
                <w:lang w:val="en-US" w:eastAsia="zh-CN" w:bidi="ar-SA"/>
              </w:rPr>
            </w:pPr>
            <w:r>
              <w:rPr>
                <w:rFonts w:hint="eastAsia" w:ascii="Times New Roman" w:hAnsi="Times New Roman" w:eastAsia="宋体" w:cs="Times New Roman"/>
                <w:bCs/>
                <w:iCs/>
                <w:color w:val="000000"/>
                <w:sz w:val="24"/>
                <w:szCs w:val="24"/>
                <w:lang w:val="en-US" w:eastAsia="zh-CN"/>
              </w:rPr>
              <w:t>元昊投资</w:t>
            </w:r>
          </w:p>
        </w:tc>
        <w:tc>
          <w:tcPr>
            <w:tcW w:w="889" w:type="pct"/>
            <w:tcBorders>
              <w:top w:val="nil"/>
              <w:left w:val="nil"/>
              <w:bottom w:val="nil"/>
              <w:right w:val="nil"/>
            </w:tcBorders>
            <w:shd w:val="clear" w:color="auto" w:fill="auto"/>
            <w:vAlign w:val="top"/>
          </w:tcPr>
          <w:p w14:paraId="74B3711D">
            <w:pPr>
              <w:spacing w:line="480" w:lineRule="atLeast"/>
              <w:jc w:val="center"/>
              <w:rPr>
                <w:rFonts w:hint="eastAsia" w:ascii="Times New Roman" w:hAnsi="Times New Roman" w:eastAsia="宋体" w:cs="Times New Roman"/>
                <w:bCs/>
                <w:iCs/>
                <w:color w:val="000000"/>
                <w:kern w:val="2"/>
                <w:sz w:val="24"/>
                <w:szCs w:val="24"/>
                <w:lang w:val="en-US" w:eastAsia="zh-CN" w:bidi="ar-SA"/>
              </w:rPr>
            </w:pPr>
            <w:r>
              <w:rPr>
                <w:rFonts w:hint="eastAsia" w:ascii="Times New Roman" w:hAnsi="Times New Roman" w:eastAsia="宋体" w:cs="Times New Roman"/>
                <w:bCs/>
                <w:iCs/>
                <w:color w:val="000000"/>
                <w:sz w:val="24"/>
                <w:szCs w:val="24"/>
                <w:lang w:val="en-US" w:eastAsia="zh-CN"/>
              </w:rPr>
              <w:t>百川投资</w:t>
            </w:r>
          </w:p>
        </w:tc>
        <w:tc>
          <w:tcPr>
            <w:tcW w:w="1124" w:type="pct"/>
            <w:tcBorders>
              <w:top w:val="nil"/>
              <w:left w:val="nil"/>
              <w:bottom w:val="nil"/>
              <w:right w:val="nil"/>
            </w:tcBorders>
            <w:shd w:val="clear" w:color="auto" w:fill="auto"/>
            <w:vAlign w:val="top"/>
          </w:tcPr>
          <w:p w14:paraId="57B06EC3">
            <w:pPr>
              <w:spacing w:line="480" w:lineRule="atLeast"/>
              <w:jc w:val="center"/>
              <w:rPr>
                <w:rFonts w:hint="eastAsia" w:ascii="Times New Roman" w:hAnsi="Times New Roman" w:eastAsia="宋体" w:cs="Times New Roman"/>
                <w:bCs/>
                <w:iCs/>
                <w:color w:val="000000"/>
                <w:kern w:val="2"/>
                <w:sz w:val="24"/>
                <w:szCs w:val="24"/>
                <w:lang w:val="en-US" w:eastAsia="zh-CN" w:bidi="ar-SA"/>
              </w:rPr>
            </w:pPr>
            <w:r>
              <w:rPr>
                <w:rFonts w:hint="eastAsia" w:ascii="Times New Roman" w:hAnsi="Times New Roman" w:eastAsia="宋体" w:cs="Times New Roman"/>
                <w:bCs/>
                <w:iCs/>
                <w:color w:val="000000"/>
                <w:sz w:val="24"/>
                <w:szCs w:val="24"/>
                <w:lang w:val="en-US" w:eastAsia="zh-CN"/>
              </w:rPr>
              <w:t>欣歌投资</w:t>
            </w:r>
          </w:p>
        </w:tc>
        <w:tc>
          <w:tcPr>
            <w:tcW w:w="1054" w:type="pct"/>
            <w:tcBorders>
              <w:top w:val="nil"/>
              <w:left w:val="nil"/>
              <w:bottom w:val="nil"/>
              <w:right w:val="single" w:color="auto" w:sz="4" w:space="0"/>
            </w:tcBorders>
            <w:shd w:val="clear" w:color="auto" w:fill="auto"/>
            <w:vAlign w:val="top"/>
          </w:tcPr>
          <w:p w14:paraId="27B0E60E">
            <w:pPr>
              <w:spacing w:line="480" w:lineRule="atLeast"/>
              <w:jc w:val="center"/>
              <w:rPr>
                <w:rFonts w:hint="eastAsia" w:ascii="Times New Roman" w:hAnsi="Times New Roman" w:eastAsia="宋体" w:cs="Times New Roman"/>
                <w:bCs/>
                <w:iCs/>
                <w:color w:val="000000"/>
                <w:kern w:val="2"/>
                <w:sz w:val="24"/>
                <w:szCs w:val="24"/>
                <w:lang w:val="en-US" w:eastAsia="zh-CN" w:bidi="ar-SA"/>
              </w:rPr>
            </w:pPr>
            <w:r>
              <w:rPr>
                <w:rFonts w:hint="default" w:ascii="Times New Roman" w:hAnsi="Times New Roman" w:eastAsia="宋体" w:cs="Times New Roman"/>
                <w:bCs/>
                <w:iCs/>
                <w:color w:val="000000"/>
                <w:sz w:val="24"/>
                <w:szCs w:val="24"/>
                <w:lang w:val="en-US" w:eastAsia="zh-CN"/>
              </w:rPr>
              <w:t xml:space="preserve">Morgan </w:t>
            </w:r>
            <w:r>
              <w:rPr>
                <w:rFonts w:hint="eastAsia" w:ascii="Times New Roman" w:hAnsi="Times New Roman" w:eastAsia="宋体" w:cs="Times New Roman"/>
                <w:bCs/>
                <w:iCs/>
                <w:color w:val="000000"/>
                <w:sz w:val="24"/>
                <w:szCs w:val="24"/>
                <w:lang w:val="en-US" w:eastAsia="zh-CN"/>
              </w:rPr>
              <w:t>S</w:t>
            </w:r>
            <w:r>
              <w:rPr>
                <w:rFonts w:hint="default" w:ascii="Times New Roman" w:hAnsi="Times New Roman" w:eastAsia="宋体" w:cs="Times New Roman"/>
                <w:bCs/>
                <w:iCs/>
                <w:color w:val="000000"/>
                <w:sz w:val="24"/>
                <w:szCs w:val="24"/>
                <w:lang w:val="en-US" w:eastAsia="zh-CN"/>
              </w:rPr>
              <w:t>tanley</w:t>
            </w:r>
          </w:p>
        </w:tc>
      </w:tr>
      <w:tr w14:paraId="6AF8E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pct"/>
            <w:tcBorders>
              <w:top w:val="single" w:color="auto" w:sz="4" w:space="0"/>
              <w:left w:val="single" w:color="auto" w:sz="4" w:space="0"/>
              <w:bottom w:val="single" w:color="auto" w:sz="4" w:space="0"/>
              <w:right w:val="single" w:color="auto" w:sz="4" w:space="0"/>
            </w:tcBorders>
            <w:shd w:val="clear" w:color="auto" w:fill="auto"/>
            <w:vAlign w:val="center"/>
          </w:tcPr>
          <w:p w14:paraId="06B11CB3">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时间</w:t>
            </w:r>
          </w:p>
        </w:tc>
        <w:tc>
          <w:tcPr>
            <w:tcW w:w="4129" w:type="pct"/>
            <w:gridSpan w:val="4"/>
            <w:tcBorders>
              <w:top w:val="single" w:color="auto" w:sz="4" w:space="0"/>
              <w:left w:val="single" w:color="auto" w:sz="4" w:space="0"/>
              <w:bottom w:val="single" w:color="auto" w:sz="4" w:space="0"/>
              <w:right w:val="single" w:color="auto" w:sz="4" w:space="0"/>
            </w:tcBorders>
            <w:shd w:val="clear" w:color="auto" w:fill="auto"/>
          </w:tcPr>
          <w:p w14:paraId="1BF42B3F">
            <w:pPr>
              <w:spacing w:line="480" w:lineRule="atLeast"/>
              <w:rPr>
                <w:rFonts w:hint="default" w:ascii="Times New Roman" w:hAnsi="Times New Roman" w:eastAsia="宋体" w:cs="Times New Roman"/>
                <w:bCs/>
                <w:iCs/>
                <w:color w:val="000000"/>
                <w:sz w:val="24"/>
                <w:szCs w:val="24"/>
                <w:lang w:val="en-US" w:eastAsia="zh-CN"/>
              </w:rPr>
            </w:pPr>
            <w:r>
              <w:rPr>
                <w:rFonts w:hint="eastAsia" w:ascii="Times New Roman" w:hAnsi="Times New Roman" w:eastAsia="宋体" w:cs="Times New Roman"/>
                <w:bCs/>
                <w:iCs/>
                <w:color w:val="000000"/>
                <w:sz w:val="24"/>
                <w:szCs w:val="24"/>
              </w:rPr>
              <w:t>2024年</w:t>
            </w:r>
            <w:r>
              <w:rPr>
                <w:rFonts w:hint="eastAsia" w:ascii="Times New Roman" w:hAnsi="Times New Roman" w:eastAsia="宋体" w:cs="Times New Roman"/>
                <w:bCs/>
                <w:iCs/>
                <w:color w:val="000000"/>
                <w:sz w:val="24"/>
                <w:szCs w:val="24"/>
                <w:lang w:val="en-US" w:eastAsia="zh-CN"/>
              </w:rPr>
              <w:t>11</w:t>
            </w:r>
            <w:r>
              <w:rPr>
                <w:rFonts w:hint="eastAsia" w:ascii="Times New Roman" w:hAnsi="Times New Roman" w:eastAsia="宋体" w:cs="Times New Roman"/>
                <w:bCs/>
                <w:iCs/>
                <w:color w:val="000000"/>
                <w:sz w:val="24"/>
                <w:szCs w:val="24"/>
              </w:rPr>
              <w:t>月</w:t>
            </w:r>
            <w:r>
              <w:rPr>
                <w:rFonts w:hint="eastAsia" w:ascii="Times New Roman" w:hAnsi="Times New Roman" w:eastAsia="宋体" w:cs="Times New Roman"/>
                <w:bCs/>
                <w:iCs/>
                <w:color w:val="000000"/>
                <w:sz w:val="24"/>
                <w:szCs w:val="24"/>
                <w:lang w:val="en-US" w:eastAsia="zh-CN"/>
              </w:rPr>
              <w:t>21-22</w:t>
            </w:r>
            <w:r>
              <w:rPr>
                <w:rFonts w:hint="eastAsia" w:ascii="Times New Roman" w:hAnsi="Times New Roman" w:eastAsia="宋体" w:cs="Times New Roman"/>
                <w:bCs/>
                <w:iCs/>
                <w:color w:val="000000"/>
                <w:sz w:val="24"/>
                <w:szCs w:val="24"/>
              </w:rPr>
              <w:t>日</w:t>
            </w:r>
            <w:r>
              <w:rPr>
                <w:rFonts w:hint="eastAsia" w:ascii="Times New Roman" w:hAnsi="Times New Roman" w:eastAsia="宋体" w:cs="Times New Roman"/>
                <w:bCs/>
                <w:iCs/>
                <w:color w:val="000000"/>
                <w:sz w:val="24"/>
                <w:szCs w:val="24"/>
                <w:lang w:eastAsia="zh-CN"/>
              </w:rPr>
              <w:t>、</w:t>
            </w:r>
            <w:r>
              <w:rPr>
                <w:rFonts w:hint="eastAsia" w:ascii="Times New Roman" w:hAnsi="Times New Roman" w:eastAsia="宋体" w:cs="Times New Roman"/>
                <w:bCs/>
                <w:iCs/>
                <w:color w:val="000000"/>
                <w:sz w:val="24"/>
                <w:szCs w:val="24"/>
                <w:lang w:val="en-US" w:eastAsia="zh-CN"/>
              </w:rPr>
              <w:t>25日电话会议</w:t>
            </w:r>
          </w:p>
        </w:tc>
      </w:tr>
      <w:tr w14:paraId="0A2E7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pct"/>
            <w:tcBorders>
              <w:top w:val="single" w:color="auto" w:sz="4" w:space="0"/>
              <w:left w:val="single" w:color="auto" w:sz="4" w:space="0"/>
              <w:bottom w:val="single" w:color="auto" w:sz="4" w:space="0"/>
              <w:right w:val="single" w:color="auto" w:sz="4" w:space="0"/>
            </w:tcBorders>
            <w:shd w:val="clear" w:color="auto" w:fill="auto"/>
            <w:vAlign w:val="center"/>
          </w:tcPr>
          <w:p w14:paraId="1787CC05">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地点</w:t>
            </w:r>
          </w:p>
        </w:tc>
        <w:tc>
          <w:tcPr>
            <w:tcW w:w="4129" w:type="pct"/>
            <w:gridSpan w:val="4"/>
            <w:tcBorders>
              <w:top w:val="single" w:color="auto" w:sz="4" w:space="0"/>
              <w:left w:val="single" w:color="auto" w:sz="4" w:space="0"/>
              <w:bottom w:val="single" w:color="auto" w:sz="4" w:space="0"/>
              <w:right w:val="single" w:color="auto" w:sz="4" w:space="0"/>
            </w:tcBorders>
            <w:shd w:val="clear" w:color="auto" w:fill="auto"/>
          </w:tcPr>
          <w:p w14:paraId="51F28FA1">
            <w:pPr>
              <w:spacing w:line="480" w:lineRule="atLeast"/>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lang w:val="en-US" w:eastAsia="zh-CN"/>
              </w:rPr>
              <w:t>深圳东海朗庭酒店、公司会议室等</w:t>
            </w:r>
          </w:p>
        </w:tc>
      </w:tr>
      <w:tr w14:paraId="3C869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pct"/>
            <w:tcBorders>
              <w:top w:val="single" w:color="auto" w:sz="4" w:space="0"/>
              <w:left w:val="single" w:color="auto" w:sz="4" w:space="0"/>
              <w:bottom w:val="single" w:color="auto" w:sz="4" w:space="0"/>
              <w:right w:val="single" w:color="auto" w:sz="4" w:space="0"/>
            </w:tcBorders>
            <w:shd w:val="clear" w:color="auto" w:fill="auto"/>
            <w:vAlign w:val="center"/>
          </w:tcPr>
          <w:p w14:paraId="2B5A1318">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上市公司接待人员姓名</w:t>
            </w:r>
          </w:p>
        </w:tc>
        <w:tc>
          <w:tcPr>
            <w:tcW w:w="4129" w:type="pct"/>
            <w:gridSpan w:val="4"/>
            <w:tcBorders>
              <w:top w:val="single" w:color="auto" w:sz="4" w:space="0"/>
              <w:left w:val="single" w:color="auto" w:sz="4" w:space="0"/>
              <w:bottom w:val="single" w:color="auto" w:sz="4" w:space="0"/>
              <w:right w:val="single" w:color="auto" w:sz="4" w:space="0"/>
            </w:tcBorders>
            <w:shd w:val="clear" w:color="auto" w:fill="auto"/>
          </w:tcPr>
          <w:p w14:paraId="30B14188">
            <w:pPr>
              <w:spacing w:line="480" w:lineRule="atLeast"/>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rPr>
              <w:t>董事会秘书：陈立峰</w:t>
            </w:r>
          </w:p>
        </w:tc>
      </w:tr>
      <w:tr w14:paraId="0EC90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pct"/>
            <w:tcBorders>
              <w:top w:val="single" w:color="auto" w:sz="4" w:space="0"/>
              <w:left w:val="single" w:color="auto" w:sz="4" w:space="0"/>
              <w:bottom w:val="single" w:color="auto" w:sz="4" w:space="0"/>
              <w:right w:val="single" w:color="auto" w:sz="4" w:space="0"/>
            </w:tcBorders>
            <w:shd w:val="clear" w:color="auto" w:fill="auto"/>
            <w:vAlign w:val="center"/>
          </w:tcPr>
          <w:p w14:paraId="57AF9F6E">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投资者关系活动主要内容介绍</w:t>
            </w:r>
          </w:p>
          <w:p w14:paraId="21110BB1">
            <w:pPr>
              <w:jc w:val="center"/>
              <w:rPr>
                <w:rFonts w:ascii="Times New Roman" w:hAnsi="Times New Roman" w:eastAsia="宋体" w:cs="Times New Roman"/>
                <w:bCs/>
                <w:iCs/>
                <w:color w:val="000000"/>
                <w:sz w:val="24"/>
                <w:szCs w:val="24"/>
              </w:rPr>
            </w:pPr>
          </w:p>
        </w:tc>
        <w:tc>
          <w:tcPr>
            <w:tcW w:w="4129" w:type="pct"/>
            <w:gridSpan w:val="4"/>
            <w:tcBorders>
              <w:top w:val="single" w:color="auto" w:sz="4" w:space="0"/>
              <w:left w:val="single" w:color="auto" w:sz="4" w:space="0"/>
              <w:bottom w:val="single" w:color="auto" w:sz="4" w:space="0"/>
              <w:right w:val="single" w:color="auto" w:sz="4" w:space="0"/>
            </w:tcBorders>
            <w:shd w:val="clear" w:color="auto" w:fill="auto"/>
          </w:tcPr>
          <w:p w14:paraId="5205B2F7">
            <w:pPr>
              <w:widowControl/>
              <w:spacing w:line="360" w:lineRule="auto"/>
              <w:jc w:val="left"/>
              <w:rPr>
                <w:sz w:val="24"/>
                <w:szCs w:val="24"/>
              </w:rPr>
            </w:pPr>
            <w:r>
              <w:rPr>
                <w:rFonts w:hint="eastAsia" w:ascii="宋体" w:hAnsi="宋体" w:eastAsia="宋体" w:cs="宋体"/>
                <w:b/>
                <w:bCs/>
                <w:color w:val="000000"/>
                <w:kern w:val="0"/>
                <w:sz w:val="24"/>
                <w:szCs w:val="24"/>
                <w:lang w:bidi="ar"/>
              </w:rPr>
              <w:t>一、公司</w:t>
            </w:r>
            <w:r>
              <w:rPr>
                <w:rFonts w:hint="eastAsia" w:ascii="宋体" w:hAnsi="宋体" w:eastAsia="宋体" w:cs="宋体"/>
                <w:b/>
                <w:bCs/>
                <w:color w:val="000000"/>
                <w:kern w:val="0"/>
                <w:sz w:val="24"/>
                <w:szCs w:val="24"/>
                <w:lang w:val="en-US" w:eastAsia="zh-CN" w:bidi="ar"/>
              </w:rPr>
              <w:t>基本情况</w:t>
            </w:r>
            <w:r>
              <w:rPr>
                <w:rFonts w:hint="eastAsia" w:ascii="宋体" w:hAnsi="宋体" w:eastAsia="宋体" w:cs="宋体"/>
                <w:b/>
                <w:bCs/>
                <w:color w:val="000000"/>
                <w:kern w:val="0"/>
                <w:sz w:val="24"/>
                <w:szCs w:val="24"/>
                <w:lang w:bidi="ar"/>
              </w:rPr>
              <w:t xml:space="preserve">介绍： </w:t>
            </w:r>
          </w:p>
          <w:p w14:paraId="7E69584B">
            <w:pPr>
              <w:widowControl/>
              <w:spacing w:line="360" w:lineRule="auto"/>
              <w:jc w:val="left"/>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介绍公司整体情况</w:t>
            </w:r>
            <w:r>
              <w:rPr>
                <w:rFonts w:hint="eastAsia" w:ascii="宋体" w:hAnsi="宋体" w:eastAsia="宋体" w:cs="宋体"/>
                <w:color w:val="000000"/>
                <w:kern w:val="0"/>
                <w:sz w:val="24"/>
                <w:szCs w:val="24"/>
                <w:lang w:val="en-US" w:eastAsia="zh-CN" w:bidi="ar"/>
              </w:rPr>
              <w:t>和重要参股</w:t>
            </w:r>
            <w:r>
              <w:rPr>
                <w:rFonts w:hint="eastAsia" w:ascii="宋体" w:hAnsi="宋体" w:eastAsia="宋体" w:cs="宋体"/>
                <w:b w:val="0"/>
                <w:bCs w:val="0"/>
                <w:color w:val="000000"/>
                <w:kern w:val="0"/>
                <w:sz w:val="24"/>
                <w:szCs w:val="24"/>
                <w:lang w:val="en-US" w:eastAsia="zh-CN" w:bidi="ar"/>
              </w:rPr>
              <w:t>子公司收购海外高纯石英项目的基本情况</w:t>
            </w:r>
            <w:r>
              <w:rPr>
                <w:rFonts w:hint="eastAsia" w:ascii="宋体" w:hAnsi="宋体" w:eastAsia="宋体" w:cs="宋体"/>
                <w:color w:val="000000"/>
                <w:kern w:val="0"/>
                <w:sz w:val="24"/>
                <w:szCs w:val="24"/>
                <w:lang w:bidi="ar"/>
              </w:rPr>
              <w:t>等。</w:t>
            </w:r>
          </w:p>
          <w:p w14:paraId="049B5A6A">
            <w:pPr>
              <w:widowControl/>
              <w:spacing w:line="360" w:lineRule="auto"/>
              <w:jc w:val="left"/>
              <w:rPr>
                <w:sz w:val="24"/>
                <w:szCs w:val="24"/>
              </w:rPr>
            </w:pPr>
            <w:r>
              <w:rPr>
                <w:rFonts w:hint="eastAsia" w:ascii="宋体" w:hAnsi="宋体" w:eastAsia="宋体" w:cs="宋体"/>
                <w:b/>
                <w:bCs/>
                <w:color w:val="000000"/>
                <w:kern w:val="0"/>
                <w:sz w:val="24"/>
                <w:szCs w:val="24"/>
                <w:lang w:bidi="ar"/>
              </w:rPr>
              <w:t xml:space="preserve"> </w:t>
            </w:r>
          </w:p>
          <w:p w14:paraId="5837FDE7">
            <w:pPr>
              <w:widowControl/>
              <w:spacing w:line="360" w:lineRule="auto"/>
              <w:jc w:val="left"/>
              <w:rPr>
                <w:sz w:val="24"/>
                <w:szCs w:val="24"/>
              </w:rPr>
            </w:pPr>
            <w:r>
              <w:rPr>
                <w:rFonts w:hint="eastAsia" w:ascii="宋体" w:hAnsi="宋体" w:eastAsia="宋体" w:cs="宋体"/>
                <w:b/>
                <w:bCs/>
                <w:color w:val="000000"/>
                <w:kern w:val="0"/>
                <w:sz w:val="24"/>
                <w:szCs w:val="24"/>
                <w:lang w:bidi="ar"/>
              </w:rPr>
              <w:t xml:space="preserve">二、问答环节主要内容： </w:t>
            </w:r>
          </w:p>
          <w:p w14:paraId="5B04BD81">
            <w:pPr>
              <w:widowControl/>
              <w:spacing w:line="360" w:lineRule="auto"/>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bidi="ar"/>
              </w:rPr>
              <w:t>Q：</w:t>
            </w:r>
            <w:r>
              <w:rPr>
                <w:rFonts w:hint="eastAsia" w:ascii="宋体" w:hAnsi="宋体" w:eastAsia="宋体" w:cs="宋体"/>
                <w:b/>
                <w:bCs/>
                <w:color w:val="000000"/>
                <w:kern w:val="0"/>
                <w:sz w:val="24"/>
                <w:szCs w:val="24"/>
                <w:lang w:val="en-US" w:eastAsia="zh-CN" w:bidi="ar"/>
              </w:rPr>
              <w:t>了解到近期公司发布了募投项目变更的公告，变化相对比较大。</w:t>
            </w:r>
            <w:r>
              <w:rPr>
                <w:rFonts w:hint="eastAsia" w:ascii="宋体" w:hAnsi="宋体" w:eastAsia="宋体" w:cs="宋体"/>
                <w:b/>
                <w:bCs/>
                <w:color w:val="000000"/>
                <w:kern w:val="0"/>
                <w:sz w:val="24"/>
                <w:szCs w:val="24"/>
                <w:lang w:bidi="ar"/>
              </w:rPr>
              <w:t>请问公司</w:t>
            </w:r>
            <w:r>
              <w:rPr>
                <w:rFonts w:hint="eastAsia" w:ascii="宋体" w:hAnsi="宋体" w:eastAsia="宋体" w:cs="宋体"/>
                <w:b/>
                <w:bCs/>
                <w:color w:val="000000"/>
                <w:kern w:val="0"/>
                <w:sz w:val="24"/>
                <w:szCs w:val="24"/>
                <w:lang w:val="en-US" w:eastAsia="zh-CN" w:bidi="ar"/>
              </w:rPr>
              <w:t>此次</w:t>
            </w:r>
            <w:r>
              <w:rPr>
                <w:rFonts w:hint="eastAsia" w:ascii="宋体" w:hAnsi="宋体" w:eastAsia="宋体" w:cs="宋体"/>
                <w:b/>
                <w:bCs/>
                <w:color w:val="000000"/>
                <w:kern w:val="0"/>
                <w:sz w:val="24"/>
                <w:szCs w:val="24"/>
                <w:lang w:bidi="ar"/>
              </w:rPr>
              <w:t>变更募投项目</w:t>
            </w:r>
            <w:r>
              <w:rPr>
                <w:rFonts w:hint="eastAsia" w:ascii="宋体" w:hAnsi="宋体" w:eastAsia="宋体" w:cs="宋体"/>
                <w:b/>
                <w:bCs/>
                <w:color w:val="000000"/>
                <w:kern w:val="0"/>
                <w:sz w:val="24"/>
                <w:szCs w:val="24"/>
                <w:lang w:val="en-US" w:eastAsia="zh-CN" w:bidi="ar"/>
              </w:rPr>
              <w:t>的主要原因是什么？变更后募投项目投资哪些产品，具体进度如何？</w:t>
            </w:r>
          </w:p>
          <w:p w14:paraId="141CE0E4">
            <w:pPr>
              <w:spacing w:line="360" w:lineRule="auto"/>
              <w:ind w:firstLine="0" w:firstLineChars="0"/>
              <w:rPr>
                <w:rFonts w:hint="eastAsia" w:ascii="宋体" w:hAnsi="宋体" w:eastAsia="宋体" w:cs="宋体"/>
                <w:color w:val="000000"/>
                <w:kern w:val="0"/>
                <w:sz w:val="24"/>
                <w:szCs w:val="24"/>
                <w:lang w:val="en-US" w:eastAsia="zh-CN" w:bidi="ar"/>
              </w:rPr>
            </w:pPr>
            <w:bookmarkStart w:id="0" w:name="_GoBack"/>
            <w:bookmarkEnd w:id="0"/>
            <w:r>
              <w:rPr>
                <w:rFonts w:hint="eastAsia" w:ascii="宋体" w:hAnsi="宋体" w:eastAsia="宋体" w:cs="宋体"/>
                <w:color w:val="000000"/>
                <w:kern w:val="0"/>
                <w:sz w:val="24"/>
                <w:szCs w:val="24"/>
                <w:lang w:bidi="ar"/>
              </w:rPr>
              <w:t>A：在</w:t>
            </w:r>
            <w:r>
              <w:rPr>
                <w:rFonts w:hint="eastAsia" w:ascii="宋体" w:hAnsi="宋体" w:eastAsia="宋体" w:cs="宋体"/>
                <w:color w:val="000000"/>
                <w:kern w:val="0"/>
                <w:sz w:val="24"/>
                <w:szCs w:val="24"/>
                <w:lang w:val="en-US" w:eastAsia="zh-CN" w:bidi="ar"/>
              </w:rPr>
              <w:t>综合考虑</w:t>
            </w:r>
            <w:r>
              <w:rPr>
                <w:rFonts w:hint="eastAsia" w:ascii="宋体" w:hAnsi="宋体" w:eastAsia="宋体" w:cs="宋体"/>
                <w:color w:val="000000"/>
                <w:kern w:val="0"/>
                <w:sz w:val="24"/>
                <w:szCs w:val="24"/>
                <w:lang w:bidi="ar"/>
              </w:rPr>
              <w:t>地缘政治</w:t>
            </w:r>
            <w:r>
              <w:rPr>
                <w:rFonts w:hint="eastAsia" w:ascii="宋体" w:hAnsi="宋体" w:eastAsia="宋体" w:cs="宋体"/>
                <w:color w:val="000000"/>
                <w:kern w:val="0"/>
                <w:sz w:val="24"/>
                <w:szCs w:val="24"/>
                <w:lang w:val="en-US" w:eastAsia="zh-CN" w:bidi="ar"/>
              </w:rPr>
              <w:t>影响</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国内外市场与客户的需求变化</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公司未来发展规划</w:t>
            </w:r>
            <w:r>
              <w:rPr>
                <w:rFonts w:hint="eastAsia" w:ascii="宋体" w:hAnsi="宋体" w:eastAsia="宋体" w:cs="宋体"/>
                <w:color w:val="000000"/>
                <w:kern w:val="0"/>
                <w:sz w:val="24"/>
                <w:szCs w:val="24"/>
                <w:lang w:val="en-US" w:eastAsia="zh-CN" w:bidi="ar"/>
              </w:rPr>
              <w:t>等因素</w:t>
            </w:r>
            <w:r>
              <w:rPr>
                <w:rFonts w:hint="eastAsia" w:ascii="宋体" w:hAnsi="宋体" w:eastAsia="宋体" w:cs="宋体"/>
                <w:color w:val="000000"/>
                <w:kern w:val="0"/>
                <w:sz w:val="24"/>
                <w:szCs w:val="24"/>
                <w:lang w:bidi="ar"/>
              </w:rPr>
              <w:t>，为提高募集资金的使用效率，</w:t>
            </w:r>
            <w:r>
              <w:rPr>
                <w:rFonts w:hint="eastAsia" w:ascii="宋体" w:hAnsi="宋体" w:eastAsia="宋体" w:cs="宋体"/>
                <w:color w:val="000000"/>
                <w:kern w:val="0"/>
                <w:sz w:val="24"/>
                <w:szCs w:val="24"/>
                <w:lang w:val="en-US" w:eastAsia="zh-CN" w:bidi="ar"/>
              </w:rPr>
              <w:t>提升公司综合竞争力，公司进行了部分募投项目的变更。</w:t>
            </w:r>
          </w:p>
          <w:p w14:paraId="64F6D69E">
            <w:pPr>
              <w:spacing w:line="360" w:lineRule="auto"/>
              <w:ind w:firstLine="480" w:firstLineChars="200"/>
              <w:rPr>
                <w:rFonts w:hint="default" w:ascii="宋体" w:hAnsi="宋体" w:eastAsia="宋体" w:cs="宋体"/>
                <w:color w:val="000000"/>
                <w:kern w:val="0"/>
                <w:sz w:val="24"/>
                <w:szCs w:val="24"/>
                <w:highlight w:val="yellow"/>
                <w:lang w:val="en-US" w:eastAsia="zh-CN" w:bidi="ar"/>
              </w:rPr>
            </w:pPr>
            <w:r>
              <w:rPr>
                <w:rFonts w:hint="eastAsia" w:ascii="宋体" w:hAnsi="宋体" w:eastAsia="宋体" w:cs="宋体"/>
                <w:color w:val="000000"/>
                <w:kern w:val="0"/>
                <w:sz w:val="24"/>
                <w:szCs w:val="24"/>
                <w:lang w:val="en-US" w:eastAsia="zh-CN" w:bidi="ar"/>
              </w:rPr>
              <w:t>变更后，一是可以通过提升公司优势产品产能及电子级硫酸的综合竞争力，进一步巩固优势产品市场地位，二是紧跟市场和客户需求的变化趋势，加快布局配方型功能化学品产品系列，培育公司未来新的增长点。</w:t>
            </w:r>
            <w:r>
              <w:rPr>
                <w:rFonts w:hint="eastAsia" w:ascii="宋体" w:hAnsi="宋体" w:eastAsia="宋体" w:cs="宋体"/>
                <w:color w:val="000000"/>
                <w:kern w:val="0"/>
                <w:sz w:val="24"/>
                <w:szCs w:val="24"/>
                <w:highlight w:val="none"/>
                <w:lang w:val="en-US" w:eastAsia="zh-CN" w:bidi="ar"/>
              </w:rPr>
              <w:t>具体实施进度，请参阅公司4月1日发布的投资者关系活动记录表所披露的信息。</w:t>
            </w:r>
          </w:p>
          <w:p w14:paraId="428C6B8B">
            <w:pPr>
              <w:widowControl/>
              <w:spacing w:line="360" w:lineRule="auto"/>
              <w:jc w:val="left"/>
              <w:rPr>
                <w:rFonts w:hint="eastAsia" w:ascii="宋体" w:hAnsi="宋体" w:eastAsia="宋体" w:cs="宋体"/>
                <w:b/>
                <w:bCs/>
                <w:color w:val="000000"/>
                <w:kern w:val="0"/>
                <w:sz w:val="24"/>
                <w:szCs w:val="24"/>
                <w:lang w:val="en-US" w:eastAsia="zh-CN" w:bidi="ar"/>
              </w:rPr>
            </w:pPr>
          </w:p>
          <w:p w14:paraId="6B777048">
            <w:pPr>
              <w:widowControl/>
              <w:spacing w:line="360" w:lineRule="auto"/>
              <w:jc w:val="left"/>
              <w:rPr>
                <w:rFonts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val="en-US" w:eastAsia="zh-CN" w:bidi="ar"/>
              </w:rPr>
              <w:t>Q:</w:t>
            </w:r>
            <w:r>
              <w:rPr>
                <w:rFonts w:hint="eastAsia" w:ascii="宋体" w:hAnsi="宋体" w:eastAsia="宋体" w:cs="宋体"/>
                <w:b/>
                <w:bCs/>
                <w:color w:val="000000"/>
                <w:kern w:val="0"/>
                <w:sz w:val="24"/>
                <w:szCs w:val="24"/>
                <w:lang w:bidi="ar"/>
              </w:rPr>
              <w:t>公司</w:t>
            </w:r>
            <w:r>
              <w:rPr>
                <w:rFonts w:hint="eastAsia" w:ascii="宋体" w:hAnsi="宋体" w:eastAsia="宋体" w:cs="宋体"/>
                <w:b/>
                <w:bCs/>
                <w:color w:val="000000"/>
                <w:kern w:val="0"/>
                <w:sz w:val="24"/>
                <w:szCs w:val="24"/>
                <w:lang w:val="en-US" w:eastAsia="zh-CN" w:bidi="ar"/>
              </w:rPr>
              <w:t>产品</w:t>
            </w:r>
            <w:r>
              <w:rPr>
                <w:rFonts w:hint="eastAsia" w:ascii="宋体" w:hAnsi="宋体" w:eastAsia="宋体" w:cs="宋体"/>
                <w:b/>
                <w:bCs/>
                <w:color w:val="000000"/>
                <w:kern w:val="0"/>
                <w:sz w:val="24"/>
                <w:szCs w:val="24"/>
                <w:lang w:bidi="ar"/>
              </w:rPr>
              <w:t>毛利率</w:t>
            </w:r>
            <w:r>
              <w:rPr>
                <w:rFonts w:hint="eastAsia" w:ascii="宋体" w:hAnsi="宋体" w:eastAsia="宋体" w:cs="宋体"/>
                <w:b/>
                <w:bCs/>
                <w:color w:val="000000"/>
                <w:kern w:val="0"/>
                <w:sz w:val="24"/>
                <w:szCs w:val="24"/>
                <w:lang w:val="en-US" w:eastAsia="zh-CN" w:bidi="ar"/>
              </w:rPr>
              <w:t>当前整体处</w:t>
            </w:r>
            <w:r>
              <w:rPr>
                <w:rFonts w:hint="eastAsia" w:ascii="宋体" w:hAnsi="宋体" w:eastAsia="宋体" w:cs="宋体"/>
                <w:b/>
                <w:bCs/>
                <w:color w:val="000000"/>
                <w:kern w:val="0"/>
                <w:sz w:val="24"/>
                <w:szCs w:val="24"/>
                <w:lang w:bidi="ar"/>
              </w:rPr>
              <w:t>于低位。结合</w:t>
            </w:r>
            <w:r>
              <w:rPr>
                <w:rFonts w:hint="eastAsia" w:ascii="宋体" w:hAnsi="宋体" w:eastAsia="宋体" w:cs="宋体"/>
                <w:b/>
                <w:bCs/>
                <w:color w:val="000000"/>
                <w:kern w:val="0"/>
                <w:sz w:val="24"/>
                <w:szCs w:val="24"/>
                <w:lang w:val="en-US" w:eastAsia="zh-CN" w:bidi="ar"/>
              </w:rPr>
              <w:t>明年市场预期，公司有无提升毛利率的措施</w:t>
            </w:r>
            <w:r>
              <w:rPr>
                <w:rFonts w:hint="eastAsia" w:ascii="宋体" w:hAnsi="宋体" w:eastAsia="宋体" w:cs="宋体"/>
                <w:b/>
                <w:bCs/>
                <w:color w:val="000000"/>
                <w:kern w:val="0"/>
                <w:sz w:val="24"/>
                <w:szCs w:val="24"/>
                <w:lang w:bidi="ar"/>
              </w:rPr>
              <w:t>？</w:t>
            </w:r>
          </w:p>
          <w:p w14:paraId="65643912">
            <w:pPr>
              <w:spacing w:line="360" w:lineRule="auto"/>
              <w:rPr>
                <w:rFonts w:ascii="微软雅黑" w:hAnsi="微软雅黑" w:eastAsia="微软雅黑" w:cs="微软雅黑"/>
                <w:color w:val="333333"/>
                <w:sz w:val="24"/>
                <w:szCs w:val="24"/>
                <w:shd w:val="clear" w:color="auto" w:fill="FFFFFF"/>
              </w:rPr>
            </w:pPr>
            <w:r>
              <w:rPr>
                <w:rFonts w:hint="eastAsia" w:ascii="宋体" w:hAnsi="宋体" w:eastAsia="宋体" w:cs="宋体"/>
                <w:color w:val="000000"/>
                <w:kern w:val="0"/>
                <w:sz w:val="24"/>
                <w:szCs w:val="24"/>
                <w:lang w:bidi="ar"/>
              </w:rPr>
              <w:t>A：</w:t>
            </w:r>
            <w:r>
              <w:rPr>
                <w:rFonts w:hint="eastAsia" w:ascii="宋体" w:hAnsi="宋体" w:eastAsia="宋体" w:cs="宋体"/>
                <w:color w:val="000000"/>
                <w:kern w:val="0"/>
                <w:sz w:val="24"/>
                <w:szCs w:val="24"/>
                <w:lang w:val="en-US" w:eastAsia="zh-CN" w:bidi="ar"/>
              </w:rPr>
              <w:t>在行业内卷、公司部分产品仍处于客户导入阶段等背景下，公司毛利率2024年1-3季度持续承压。未来，公司一是将加快氟碳类电子特气及前驱体材料等产品的客户端导入进度，尽快释放相关产品产能；二是将通过持续的管理提升，</w:t>
            </w:r>
            <w:r>
              <w:rPr>
                <w:rFonts w:hint="eastAsia" w:ascii="宋体" w:hAnsi="宋体" w:eastAsia="宋体" w:cs="宋体"/>
                <w:color w:val="000000"/>
                <w:kern w:val="0"/>
                <w:sz w:val="24"/>
                <w:szCs w:val="24"/>
                <w:lang w:bidi="ar"/>
              </w:rPr>
              <w:t>提高运营效率，降低管理成本，提升盈利水平。</w:t>
            </w:r>
          </w:p>
          <w:p w14:paraId="165CCD25">
            <w:pPr>
              <w:spacing w:line="360" w:lineRule="auto"/>
              <w:rPr>
                <w:rFonts w:hint="eastAsia" w:ascii="宋体" w:hAnsi="宋体" w:eastAsia="宋体" w:cs="宋体"/>
                <w:color w:val="000000"/>
                <w:kern w:val="0"/>
                <w:sz w:val="24"/>
                <w:szCs w:val="24"/>
                <w:lang w:bidi="ar"/>
              </w:rPr>
            </w:pPr>
          </w:p>
          <w:p w14:paraId="5EB32B05">
            <w:pPr>
              <w:widowControl/>
              <w:spacing w:line="360" w:lineRule="auto"/>
              <w:jc w:val="left"/>
              <w:rPr>
                <w:rFonts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Q：公司</w:t>
            </w:r>
            <w:r>
              <w:rPr>
                <w:rFonts w:hint="eastAsia" w:ascii="宋体" w:hAnsi="宋体" w:eastAsia="宋体" w:cs="宋体"/>
                <w:b/>
                <w:bCs/>
                <w:color w:val="000000"/>
                <w:kern w:val="0"/>
                <w:sz w:val="24"/>
                <w:szCs w:val="24"/>
                <w:lang w:val="en-US" w:eastAsia="zh-CN" w:bidi="ar"/>
              </w:rPr>
              <w:t>1-3季度</w:t>
            </w:r>
            <w:r>
              <w:rPr>
                <w:rFonts w:hint="eastAsia" w:ascii="宋体" w:hAnsi="宋体" w:eastAsia="宋体" w:cs="宋体"/>
                <w:b/>
                <w:bCs/>
                <w:color w:val="000000"/>
                <w:kern w:val="0"/>
                <w:sz w:val="24"/>
                <w:szCs w:val="24"/>
                <w:lang w:bidi="ar"/>
              </w:rPr>
              <w:t>有一定盈利，今年有望摘U吗</w:t>
            </w:r>
            <w:r>
              <w:rPr>
                <w:rFonts w:hint="eastAsia" w:ascii="宋体" w:hAnsi="宋体" w:eastAsia="宋体" w:cs="宋体"/>
                <w:b/>
                <w:bCs/>
                <w:color w:val="000000"/>
                <w:kern w:val="0"/>
                <w:sz w:val="24"/>
                <w:szCs w:val="24"/>
                <w:lang w:val="en-US" w:eastAsia="zh-CN" w:bidi="ar"/>
              </w:rPr>
              <w:t>？</w:t>
            </w:r>
          </w:p>
          <w:p w14:paraId="6A6ADD97">
            <w:pPr>
              <w:spacing w:line="360" w:lineRule="auto"/>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A：根据相关规则，公司上市时尚未盈利的，在股票简称后加“U”。上市后首次实现盈利的，该特殊标识取消。公司</w:t>
            </w:r>
            <w:r>
              <w:rPr>
                <w:rFonts w:hint="eastAsia" w:ascii="宋体" w:hAnsi="宋体" w:eastAsia="宋体" w:cs="宋体"/>
                <w:color w:val="000000"/>
                <w:kern w:val="0"/>
                <w:sz w:val="24"/>
                <w:szCs w:val="24"/>
                <w:lang w:val="en-US" w:eastAsia="zh-CN" w:bidi="ar"/>
              </w:rPr>
              <w:t>今年</w:t>
            </w:r>
            <w:r>
              <w:rPr>
                <w:rFonts w:hint="eastAsia" w:ascii="宋体" w:hAnsi="宋体" w:eastAsia="宋体" w:cs="宋体"/>
                <w:color w:val="000000"/>
                <w:kern w:val="0"/>
                <w:sz w:val="24"/>
                <w:szCs w:val="24"/>
                <w:lang w:bidi="ar"/>
              </w:rPr>
              <w:t>是否符合摘U条件取决于</w:t>
            </w:r>
            <w:r>
              <w:rPr>
                <w:rFonts w:hint="eastAsia" w:ascii="宋体" w:hAnsi="宋体" w:eastAsia="宋体" w:cs="宋体"/>
                <w:color w:val="000000"/>
                <w:kern w:val="0"/>
                <w:sz w:val="24"/>
                <w:szCs w:val="24"/>
                <w:lang w:val="en-US" w:eastAsia="zh-CN" w:bidi="ar"/>
              </w:rPr>
              <w:t>今年</w:t>
            </w:r>
            <w:r>
              <w:rPr>
                <w:rFonts w:hint="eastAsia" w:ascii="宋体" w:hAnsi="宋体" w:eastAsia="宋体" w:cs="宋体"/>
                <w:color w:val="000000"/>
                <w:kern w:val="0"/>
                <w:sz w:val="24"/>
                <w:szCs w:val="24"/>
                <w:lang w:bidi="ar"/>
              </w:rPr>
              <w:t>最终业绩实现情况。未来如符合条件，公司将按照交易所相关规定及时申请摘U</w:t>
            </w:r>
            <w:r>
              <w:rPr>
                <w:rFonts w:hint="eastAsia" w:ascii="宋体" w:hAnsi="宋体" w:eastAsia="宋体" w:cs="宋体"/>
                <w:color w:val="000000"/>
                <w:kern w:val="0"/>
                <w:sz w:val="24"/>
                <w:szCs w:val="24"/>
                <w:lang w:eastAsia="zh-CN" w:bidi="ar"/>
              </w:rPr>
              <w:t>。</w:t>
            </w:r>
          </w:p>
          <w:p w14:paraId="5E885F09">
            <w:pPr>
              <w:widowControl/>
              <w:spacing w:line="360" w:lineRule="auto"/>
              <w:jc w:val="left"/>
              <w:rPr>
                <w:rFonts w:hint="eastAsia" w:ascii="宋体" w:hAnsi="宋体" w:eastAsia="宋体" w:cs="宋体"/>
                <w:b/>
                <w:bCs/>
                <w:color w:val="000000"/>
                <w:kern w:val="0"/>
                <w:sz w:val="24"/>
                <w:szCs w:val="24"/>
                <w:lang w:bidi="ar"/>
              </w:rPr>
            </w:pPr>
          </w:p>
          <w:p w14:paraId="2C4F0319">
            <w:pPr>
              <w:keepNext w:val="0"/>
              <w:keepLines w:val="0"/>
              <w:widowControl/>
              <w:suppressLineNumbers w:val="0"/>
              <w:spacing w:line="360" w:lineRule="auto"/>
              <w:jc w:val="left"/>
              <w:rPr>
                <w:sz w:val="24"/>
                <w:szCs w:val="24"/>
              </w:rPr>
            </w:pPr>
            <w:r>
              <w:rPr>
                <w:rFonts w:hint="eastAsia" w:ascii="宋体" w:hAnsi="宋体" w:eastAsia="宋体" w:cs="宋体"/>
                <w:b/>
                <w:bCs/>
                <w:color w:val="000000"/>
                <w:kern w:val="0"/>
                <w:sz w:val="24"/>
                <w:szCs w:val="24"/>
                <w:lang w:val="en-US" w:eastAsia="zh-CN" w:bidi="ar"/>
              </w:rPr>
              <w:t>Q：</w:t>
            </w:r>
            <w:r>
              <w:rPr>
                <w:rFonts w:hint="eastAsia" w:ascii="宋体" w:hAnsi="宋体" w:eastAsia="宋体" w:cs="宋体"/>
                <w:b/>
                <w:bCs/>
                <w:color w:val="000000"/>
                <w:kern w:val="0"/>
                <w:sz w:val="24"/>
                <w:szCs w:val="24"/>
                <w:lang w:bidi="ar"/>
              </w:rPr>
              <w:t>请问公司今年的发展战略目标是什么</w:t>
            </w:r>
            <w:r>
              <w:rPr>
                <w:rFonts w:hint="eastAsia" w:ascii="宋体" w:hAnsi="宋体" w:eastAsia="宋体" w:cs="宋体"/>
                <w:b/>
                <w:bCs/>
                <w:color w:val="000000"/>
                <w:kern w:val="0"/>
                <w:sz w:val="24"/>
                <w:szCs w:val="24"/>
                <w:lang w:eastAsia="zh-CN" w:bidi="ar"/>
              </w:rPr>
              <w:t>，</w:t>
            </w:r>
            <w:r>
              <w:rPr>
                <w:rFonts w:hint="eastAsia" w:ascii="宋体" w:hAnsi="宋体" w:eastAsia="宋体" w:cs="宋体"/>
                <w:b/>
                <w:bCs/>
                <w:color w:val="000000"/>
                <w:kern w:val="0"/>
                <w:sz w:val="24"/>
                <w:szCs w:val="24"/>
                <w:lang w:bidi="ar"/>
              </w:rPr>
              <w:t>有无计划通过并购、参股等方式完善电子化学材料上下游产业结构布局？</w:t>
            </w:r>
            <w:r>
              <w:rPr>
                <w:rFonts w:hint="eastAsia" w:ascii="宋体" w:hAnsi="宋体" w:eastAsia="宋体" w:cs="宋体"/>
                <w:b/>
                <w:bCs/>
                <w:color w:val="000000"/>
                <w:kern w:val="0"/>
                <w:sz w:val="24"/>
                <w:szCs w:val="24"/>
                <w:lang w:val="en-US" w:eastAsia="zh-CN" w:bidi="ar"/>
              </w:rPr>
              <w:t xml:space="preserve"> </w:t>
            </w:r>
          </w:p>
          <w:p w14:paraId="0F1D02C8">
            <w:pPr>
              <w:keepNext w:val="0"/>
              <w:keepLines w:val="0"/>
              <w:widowControl/>
              <w:numPr>
                <w:ilvl w:val="-1"/>
                <w:numId w:val="0"/>
              </w:numPr>
              <w:suppressLineNumbers w:val="0"/>
              <w:spacing w:line="360" w:lineRule="auto"/>
              <w:ind w:left="0" w:leftChars="0" w:firstLine="0" w:firstLineChars="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A：</w:t>
            </w:r>
            <w:r>
              <w:rPr>
                <w:rFonts w:hint="eastAsia" w:ascii="宋体" w:hAnsi="宋体" w:eastAsia="宋体" w:cs="宋体"/>
                <w:color w:val="000000"/>
                <w:kern w:val="0"/>
                <w:sz w:val="24"/>
                <w:szCs w:val="24"/>
                <w:lang w:bidi="ar"/>
              </w:rPr>
              <w:t>在</w:t>
            </w:r>
            <w:r>
              <w:rPr>
                <w:rFonts w:hint="eastAsia" w:ascii="宋体" w:hAnsi="宋体" w:eastAsia="宋体" w:cs="宋体"/>
                <w:color w:val="000000"/>
                <w:kern w:val="0"/>
                <w:sz w:val="24"/>
                <w:szCs w:val="24"/>
                <w:lang w:val="en-US" w:eastAsia="zh-CN" w:bidi="ar"/>
              </w:rPr>
              <w:t>中巨芯</w:t>
            </w:r>
            <w:r>
              <w:rPr>
                <w:rFonts w:hint="eastAsia" w:ascii="宋体" w:hAnsi="宋体" w:eastAsia="宋体" w:cs="宋体"/>
                <w:color w:val="000000"/>
                <w:kern w:val="0"/>
                <w:sz w:val="24"/>
                <w:szCs w:val="24"/>
                <w:lang w:bidi="ar"/>
              </w:rPr>
              <w:t>的第一个五年发展阶段（2019-2023），公司聚焦集成电路制造用电子化学材料产业；在第二个五年发展阶段（2024-2028），公司将进一步扩宽产业边界，公司战略将在原电子化学材料领域进一步拓展至半导体材料等半导体支撑业领域，途径则是通过项目自建和产业投资并购这两种方式进行产业布局。</w:t>
            </w:r>
          </w:p>
          <w:p w14:paraId="259BE39D">
            <w:pPr>
              <w:keepNext w:val="0"/>
              <w:keepLines w:val="0"/>
              <w:widowControl/>
              <w:numPr>
                <w:ilvl w:val="-1"/>
                <w:numId w:val="0"/>
              </w:numPr>
              <w:suppressLineNumbers w:val="0"/>
              <w:spacing w:line="360" w:lineRule="auto"/>
              <w:ind w:left="0" w:leftChars="0" w:firstLine="480" w:firstLineChars="200"/>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未来，</w:t>
            </w:r>
            <w:r>
              <w:rPr>
                <w:rFonts w:hint="eastAsia" w:ascii="宋体" w:hAnsi="宋体" w:eastAsia="宋体" w:cs="宋体"/>
                <w:color w:val="000000"/>
                <w:kern w:val="0"/>
                <w:sz w:val="24"/>
                <w:szCs w:val="24"/>
                <w:lang w:bidi="ar"/>
              </w:rPr>
              <w:t>公司会结合市场需求、行业前景、战略发展等方面审慎考虑投资或并购业务，后续如有涉及相关重大事项的，公司将严格按照相关法律法规的规定及时履行信息披露义务</w:t>
            </w:r>
            <w:r>
              <w:rPr>
                <w:rFonts w:hint="eastAsia" w:ascii="宋体" w:hAnsi="宋体" w:eastAsia="宋体" w:cs="宋体"/>
                <w:color w:val="000000"/>
                <w:kern w:val="0"/>
                <w:sz w:val="24"/>
                <w:szCs w:val="24"/>
                <w:lang w:eastAsia="zh-CN" w:bidi="ar"/>
              </w:rPr>
              <w:t>。</w:t>
            </w:r>
          </w:p>
          <w:p w14:paraId="78A1961D">
            <w:pPr>
              <w:widowControl/>
              <w:spacing w:line="360" w:lineRule="auto"/>
              <w:jc w:val="left"/>
              <w:rPr>
                <w:rFonts w:hint="eastAsia" w:ascii="宋体" w:hAnsi="宋体" w:eastAsia="宋体" w:cs="宋体"/>
                <w:b/>
                <w:bCs/>
                <w:color w:val="000000"/>
                <w:kern w:val="0"/>
                <w:sz w:val="24"/>
                <w:szCs w:val="24"/>
                <w:lang w:bidi="ar"/>
              </w:rPr>
            </w:pPr>
          </w:p>
          <w:p w14:paraId="00A698F5">
            <w:pPr>
              <w:keepNext w:val="0"/>
              <w:keepLines w:val="0"/>
              <w:widowControl/>
              <w:suppressLineNumbers w:val="0"/>
              <w:spacing w:line="360" w:lineRule="auto"/>
              <w:jc w:val="left"/>
              <w:rPr>
                <w:sz w:val="24"/>
                <w:szCs w:val="24"/>
              </w:rPr>
            </w:pPr>
            <w:r>
              <w:rPr>
                <w:rFonts w:hint="eastAsia" w:ascii="宋体" w:hAnsi="宋体" w:eastAsia="宋体" w:cs="宋体"/>
                <w:b/>
                <w:bCs/>
                <w:color w:val="000000"/>
                <w:kern w:val="0"/>
                <w:sz w:val="24"/>
                <w:szCs w:val="24"/>
                <w:lang w:val="en-US" w:eastAsia="zh-CN" w:bidi="ar"/>
              </w:rPr>
              <w:t xml:space="preserve">Q：近期证监会发布《上市公司监管指引第10号——市值管理》，请问公司是否属于此次指引范围之内，公司未来会有什么实质性的举措吗？ </w:t>
            </w:r>
          </w:p>
          <w:p w14:paraId="4BCD98F3">
            <w:pPr>
              <w:widowControl/>
              <w:spacing w:line="360" w:lineRule="auto"/>
              <w:jc w:val="left"/>
              <w:rPr>
                <w:rFonts w:hint="eastAsia" w:ascii="宋体" w:hAnsi="宋体" w:eastAsia="宋体" w:cs="宋体"/>
                <w:i w:val="0"/>
                <w:iCs w:val="0"/>
                <w:caps w:val="0"/>
                <w:color w:val="000000"/>
                <w:spacing w:val="0"/>
                <w:kern w:val="0"/>
                <w:sz w:val="24"/>
                <w:szCs w:val="24"/>
                <w:shd w:val="clear"/>
                <w:lang w:eastAsia="zh-CN" w:bidi="ar"/>
              </w:rPr>
            </w:pPr>
            <w:r>
              <w:rPr>
                <w:rFonts w:hint="eastAsia" w:ascii="宋体" w:hAnsi="宋体" w:eastAsia="宋体" w:cs="宋体"/>
                <w:color w:val="000000"/>
                <w:kern w:val="0"/>
                <w:sz w:val="24"/>
                <w:szCs w:val="24"/>
                <w:lang w:val="en-US" w:eastAsia="zh-CN" w:bidi="ar"/>
              </w:rPr>
              <w:t>A：中巨芯当前属于上证科创板100 指数成份股公司。下一步，公司</w:t>
            </w:r>
            <w:r>
              <w:rPr>
                <w:rFonts w:hint="eastAsia" w:ascii="宋体" w:hAnsi="宋体" w:eastAsia="宋体" w:cs="宋体"/>
                <w:color w:val="000000"/>
                <w:kern w:val="0"/>
                <w:sz w:val="24"/>
                <w:szCs w:val="24"/>
                <w:lang w:bidi="ar"/>
              </w:rPr>
              <w:t>将严格遵守相关制度的规定，落实市值管理制度的制定</w:t>
            </w:r>
            <w:r>
              <w:rPr>
                <w:rFonts w:hint="eastAsia" w:ascii="宋体" w:hAnsi="宋体" w:eastAsia="宋体" w:cs="宋体"/>
                <w:color w:val="000000"/>
                <w:kern w:val="0"/>
                <w:sz w:val="24"/>
                <w:szCs w:val="24"/>
                <w:lang w:val="en-US" w:eastAsia="zh-CN" w:bidi="ar"/>
              </w:rPr>
              <w:t>并</w:t>
            </w:r>
            <w:r>
              <w:rPr>
                <w:rFonts w:hint="eastAsia" w:ascii="宋体" w:hAnsi="宋体" w:eastAsia="宋体" w:cs="宋体"/>
                <w:color w:val="000000"/>
                <w:kern w:val="0"/>
                <w:sz w:val="24"/>
                <w:szCs w:val="24"/>
                <w:lang w:bidi="ar"/>
              </w:rPr>
              <w:t>执行，具体内容请以未来公告为准</w:t>
            </w:r>
            <w:r>
              <w:rPr>
                <w:rFonts w:hint="eastAsia" w:ascii="宋体" w:hAnsi="宋体" w:eastAsia="宋体" w:cs="宋体"/>
                <w:i w:val="0"/>
                <w:iCs w:val="0"/>
                <w:caps w:val="0"/>
                <w:color w:val="000000"/>
                <w:spacing w:val="0"/>
                <w:kern w:val="0"/>
                <w:sz w:val="24"/>
                <w:szCs w:val="24"/>
                <w:shd w:val="clear"/>
                <w:lang w:eastAsia="zh-CN" w:bidi="ar"/>
              </w:rPr>
              <w:t>。</w:t>
            </w:r>
          </w:p>
          <w:p w14:paraId="3D8E574B">
            <w:pPr>
              <w:widowControl/>
              <w:spacing w:line="360" w:lineRule="auto"/>
              <w:jc w:val="left"/>
              <w:rPr>
                <w:rFonts w:hint="eastAsia" w:ascii="宋体" w:hAnsi="宋体" w:eastAsia="宋体" w:cs="宋体"/>
                <w:i w:val="0"/>
                <w:iCs w:val="0"/>
                <w:caps w:val="0"/>
                <w:color w:val="000000"/>
                <w:spacing w:val="0"/>
                <w:kern w:val="0"/>
                <w:sz w:val="24"/>
                <w:szCs w:val="24"/>
                <w:shd w:val="clear"/>
                <w:lang w:eastAsia="zh-CN" w:bidi="ar"/>
              </w:rPr>
            </w:pPr>
          </w:p>
          <w:p w14:paraId="1EBFF13B">
            <w:pPr>
              <w:keepNext w:val="0"/>
              <w:keepLines w:val="0"/>
              <w:widowControl/>
              <w:suppressLineNumbers w:val="0"/>
              <w:spacing w:line="360" w:lineRule="auto"/>
              <w:jc w:val="left"/>
              <w:rPr>
                <w:sz w:val="24"/>
                <w:szCs w:val="24"/>
              </w:rPr>
            </w:pPr>
            <w:r>
              <w:rPr>
                <w:rFonts w:hint="eastAsia" w:ascii="宋体" w:hAnsi="宋体" w:eastAsia="宋体" w:cs="宋体"/>
                <w:b/>
                <w:bCs/>
                <w:color w:val="000000"/>
                <w:kern w:val="0"/>
                <w:sz w:val="24"/>
                <w:szCs w:val="24"/>
                <w:lang w:val="en-US" w:eastAsia="zh-CN" w:bidi="ar"/>
              </w:rPr>
              <w:t xml:space="preserve">Q：公司子公司收购海外高纯石英项目的进度如何？另外请问公司未来高纯石英产业发展规划是怎样的？ </w:t>
            </w:r>
          </w:p>
          <w:p w14:paraId="6CCF035A">
            <w:pPr>
              <w:numPr>
                <w:ilvl w:val="-1"/>
                <w:numId w:val="0"/>
              </w:numPr>
              <w:spacing w:line="360" w:lineRule="auto"/>
              <w:ind w:left="0" w:leftChars="0" w:firstLine="0" w:firstLineChars="0"/>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A：该项目当前正在国家ODI（境外投资备案）阶段。在通过ODI审批后，公司将会同晶恒希道（上海）科技有限公司另外两名股东以及标的公司，共同研讨制定未来高纯石英产业的发展规划</w:t>
            </w:r>
            <w:r>
              <w:rPr>
                <w:rFonts w:hint="default" w:ascii="宋体" w:hAnsi="宋体" w:eastAsia="宋体" w:cs="宋体"/>
                <w:color w:val="000000"/>
                <w:kern w:val="0"/>
                <w:sz w:val="24"/>
                <w:szCs w:val="24"/>
                <w:lang w:val="en-US" w:eastAsia="zh-CN" w:bidi="ar"/>
              </w:rPr>
              <w:t>。</w:t>
            </w:r>
          </w:p>
          <w:p w14:paraId="3778167B">
            <w:pPr>
              <w:spacing w:line="360" w:lineRule="auto"/>
              <w:rPr>
                <w:rFonts w:hint="eastAsia" w:ascii="宋体" w:hAnsi="宋体" w:eastAsia="宋体" w:cs="宋体"/>
                <w:color w:val="000000"/>
                <w:kern w:val="0"/>
                <w:sz w:val="24"/>
                <w:szCs w:val="24"/>
                <w:lang w:bidi="ar"/>
              </w:rPr>
            </w:pPr>
          </w:p>
        </w:tc>
      </w:tr>
      <w:tr w14:paraId="66A5F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pct"/>
            <w:tcBorders>
              <w:top w:val="single" w:color="auto" w:sz="4" w:space="0"/>
              <w:left w:val="single" w:color="auto" w:sz="4" w:space="0"/>
              <w:bottom w:val="single" w:color="auto" w:sz="4" w:space="0"/>
              <w:right w:val="single" w:color="auto" w:sz="4" w:space="0"/>
            </w:tcBorders>
            <w:shd w:val="clear" w:color="auto" w:fill="auto"/>
            <w:vAlign w:val="center"/>
          </w:tcPr>
          <w:p w14:paraId="534D51E6">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关于本次活动是否涉及应当披露重大信息的说明</w:t>
            </w:r>
          </w:p>
        </w:tc>
        <w:tc>
          <w:tcPr>
            <w:tcW w:w="4129" w:type="pct"/>
            <w:gridSpan w:val="4"/>
            <w:tcBorders>
              <w:top w:val="single" w:color="auto" w:sz="4" w:space="0"/>
              <w:left w:val="single" w:color="auto" w:sz="4" w:space="0"/>
              <w:bottom w:val="single" w:color="auto" w:sz="4" w:space="0"/>
              <w:right w:val="single" w:color="auto" w:sz="4" w:space="0"/>
            </w:tcBorders>
            <w:shd w:val="clear" w:color="auto" w:fill="auto"/>
          </w:tcPr>
          <w:p w14:paraId="207C28AE">
            <w:pPr>
              <w:spacing w:line="480" w:lineRule="atLeast"/>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本次活动，公司严格按照相关规定交流沟通，不存在未公开重大信息泄露等情形。</w:t>
            </w:r>
          </w:p>
        </w:tc>
      </w:tr>
      <w:tr w14:paraId="27F8A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pct"/>
            <w:tcBorders>
              <w:top w:val="single" w:color="auto" w:sz="4" w:space="0"/>
              <w:left w:val="single" w:color="auto" w:sz="4" w:space="0"/>
              <w:bottom w:val="single" w:color="auto" w:sz="4" w:space="0"/>
              <w:right w:val="single" w:color="auto" w:sz="4" w:space="0"/>
            </w:tcBorders>
            <w:shd w:val="clear" w:color="auto" w:fill="auto"/>
            <w:vAlign w:val="center"/>
          </w:tcPr>
          <w:p w14:paraId="4D13041A">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附件清单（如有）</w:t>
            </w:r>
          </w:p>
        </w:tc>
        <w:tc>
          <w:tcPr>
            <w:tcW w:w="4129" w:type="pct"/>
            <w:gridSpan w:val="4"/>
            <w:tcBorders>
              <w:top w:val="single" w:color="auto" w:sz="4" w:space="0"/>
              <w:left w:val="single" w:color="auto" w:sz="4" w:space="0"/>
              <w:bottom w:val="single" w:color="auto" w:sz="4" w:space="0"/>
              <w:right w:val="single" w:color="auto" w:sz="4" w:space="0"/>
            </w:tcBorders>
            <w:shd w:val="clear" w:color="auto" w:fill="auto"/>
          </w:tcPr>
          <w:p w14:paraId="35620E99">
            <w:pPr>
              <w:spacing w:line="480" w:lineRule="atLeast"/>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rPr>
              <w:t>无</w:t>
            </w:r>
          </w:p>
        </w:tc>
      </w:tr>
      <w:tr w14:paraId="32709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70" w:type="pct"/>
            <w:tcBorders>
              <w:top w:val="single" w:color="auto" w:sz="4" w:space="0"/>
              <w:left w:val="single" w:color="auto" w:sz="4" w:space="0"/>
              <w:bottom w:val="single" w:color="auto" w:sz="4" w:space="0"/>
              <w:right w:val="single" w:color="auto" w:sz="4" w:space="0"/>
            </w:tcBorders>
            <w:shd w:val="clear" w:color="auto" w:fill="auto"/>
            <w:vAlign w:val="center"/>
          </w:tcPr>
          <w:p w14:paraId="2CF708F4">
            <w:pPr>
              <w:jc w:val="center"/>
              <w:rPr>
                <w:rFonts w:ascii="Times New Roman" w:hAnsi="Times New Roman" w:eastAsia="宋体" w:cs="Times New Roman"/>
                <w:bCs/>
                <w:iCs/>
                <w:sz w:val="24"/>
                <w:szCs w:val="24"/>
              </w:rPr>
            </w:pPr>
            <w:r>
              <w:rPr>
                <w:rFonts w:ascii="Times New Roman" w:hAnsi="Times New Roman" w:eastAsia="宋体" w:cs="Times New Roman"/>
                <w:bCs/>
                <w:iCs/>
                <w:sz w:val="24"/>
                <w:szCs w:val="24"/>
              </w:rPr>
              <w:t>日期</w:t>
            </w:r>
          </w:p>
        </w:tc>
        <w:tc>
          <w:tcPr>
            <w:tcW w:w="4129" w:type="pct"/>
            <w:gridSpan w:val="4"/>
            <w:tcBorders>
              <w:top w:val="single" w:color="auto" w:sz="4" w:space="0"/>
              <w:left w:val="single" w:color="auto" w:sz="4" w:space="0"/>
              <w:bottom w:val="single" w:color="auto" w:sz="4" w:space="0"/>
              <w:right w:val="single" w:color="auto" w:sz="4" w:space="0"/>
            </w:tcBorders>
            <w:shd w:val="clear" w:color="auto" w:fill="auto"/>
          </w:tcPr>
          <w:p w14:paraId="4F05F9B9">
            <w:pPr>
              <w:spacing w:line="480" w:lineRule="atLeast"/>
              <w:rPr>
                <w:rFonts w:ascii="Times New Roman" w:hAnsi="Times New Roman" w:eastAsia="宋体" w:cs="Times New Roman"/>
                <w:bCs/>
                <w:iCs/>
                <w:sz w:val="24"/>
                <w:szCs w:val="24"/>
              </w:rPr>
            </w:pPr>
            <w:r>
              <w:rPr>
                <w:rFonts w:hint="eastAsia" w:ascii="Times New Roman" w:hAnsi="Times New Roman" w:eastAsia="宋体" w:cs="Times New Roman"/>
                <w:bCs/>
                <w:iCs/>
                <w:sz w:val="24"/>
                <w:szCs w:val="24"/>
              </w:rPr>
              <w:t>2024年</w:t>
            </w:r>
            <w:r>
              <w:rPr>
                <w:rFonts w:hint="eastAsia" w:ascii="Times New Roman" w:hAnsi="Times New Roman" w:eastAsia="宋体" w:cs="Times New Roman"/>
                <w:bCs/>
                <w:iCs/>
                <w:sz w:val="24"/>
                <w:szCs w:val="24"/>
                <w:lang w:val="en-US" w:eastAsia="zh-CN"/>
              </w:rPr>
              <w:t>11</w:t>
            </w:r>
            <w:r>
              <w:rPr>
                <w:rFonts w:hint="eastAsia" w:ascii="Times New Roman" w:hAnsi="Times New Roman" w:eastAsia="宋体" w:cs="Times New Roman"/>
                <w:bCs/>
                <w:iCs/>
                <w:sz w:val="24"/>
                <w:szCs w:val="24"/>
              </w:rPr>
              <w:t>月</w:t>
            </w:r>
            <w:r>
              <w:rPr>
                <w:rFonts w:hint="eastAsia" w:ascii="Times New Roman" w:hAnsi="Times New Roman" w:eastAsia="宋体" w:cs="Times New Roman"/>
                <w:bCs/>
                <w:iCs/>
                <w:sz w:val="24"/>
                <w:szCs w:val="24"/>
                <w:lang w:val="en-US" w:eastAsia="zh-CN"/>
              </w:rPr>
              <w:t>26</w:t>
            </w:r>
            <w:r>
              <w:rPr>
                <w:rFonts w:hint="eastAsia" w:ascii="Times New Roman" w:hAnsi="Times New Roman" w:eastAsia="宋体" w:cs="Times New Roman"/>
                <w:bCs/>
                <w:iCs/>
                <w:sz w:val="24"/>
                <w:szCs w:val="24"/>
              </w:rPr>
              <w:t>日</w:t>
            </w:r>
          </w:p>
        </w:tc>
      </w:tr>
    </w:tbl>
    <w:p w14:paraId="10B7971F">
      <w:pPr>
        <w:spacing w:line="360" w:lineRule="auto"/>
        <w:rPr>
          <w:rFonts w:ascii="Times New Roman" w:hAnsi="Times New Roman" w:cs="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5ZjhkZjVkMzRjOWQyNTk5Mzc0ZjA3ZmZkOTk3YWMifQ=="/>
  </w:docVars>
  <w:rsids>
    <w:rsidRoot w:val="4E4C5872"/>
    <w:rsid w:val="00014C9A"/>
    <w:rsid w:val="00041346"/>
    <w:rsid w:val="00051138"/>
    <w:rsid w:val="00077269"/>
    <w:rsid w:val="000C202A"/>
    <w:rsid w:val="000C51C5"/>
    <w:rsid w:val="001012FC"/>
    <w:rsid w:val="00135507"/>
    <w:rsid w:val="0016783D"/>
    <w:rsid w:val="001B2BF9"/>
    <w:rsid w:val="0021215C"/>
    <w:rsid w:val="00223F94"/>
    <w:rsid w:val="00270A26"/>
    <w:rsid w:val="002E29D6"/>
    <w:rsid w:val="003268FF"/>
    <w:rsid w:val="00351550"/>
    <w:rsid w:val="00380C08"/>
    <w:rsid w:val="0038452F"/>
    <w:rsid w:val="003B5F7A"/>
    <w:rsid w:val="003E24FB"/>
    <w:rsid w:val="003F124B"/>
    <w:rsid w:val="00466BA7"/>
    <w:rsid w:val="00524A7E"/>
    <w:rsid w:val="005827B7"/>
    <w:rsid w:val="005A6039"/>
    <w:rsid w:val="005D7C44"/>
    <w:rsid w:val="00657B07"/>
    <w:rsid w:val="0066264A"/>
    <w:rsid w:val="00663864"/>
    <w:rsid w:val="00675087"/>
    <w:rsid w:val="006C7B83"/>
    <w:rsid w:val="006D0743"/>
    <w:rsid w:val="008746DE"/>
    <w:rsid w:val="008E3248"/>
    <w:rsid w:val="00973C3D"/>
    <w:rsid w:val="00991C92"/>
    <w:rsid w:val="00A21808"/>
    <w:rsid w:val="00A222A4"/>
    <w:rsid w:val="00A25D6E"/>
    <w:rsid w:val="00A4567D"/>
    <w:rsid w:val="00AB2E69"/>
    <w:rsid w:val="00AB4173"/>
    <w:rsid w:val="00B55B2B"/>
    <w:rsid w:val="00B62565"/>
    <w:rsid w:val="00C11035"/>
    <w:rsid w:val="00C70537"/>
    <w:rsid w:val="00C85A2C"/>
    <w:rsid w:val="00D0612E"/>
    <w:rsid w:val="00D44537"/>
    <w:rsid w:val="00D459F5"/>
    <w:rsid w:val="00D9564B"/>
    <w:rsid w:val="00DC028D"/>
    <w:rsid w:val="00DC1F47"/>
    <w:rsid w:val="00E10369"/>
    <w:rsid w:val="00E328A4"/>
    <w:rsid w:val="00E86208"/>
    <w:rsid w:val="00E90257"/>
    <w:rsid w:val="00E9742B"/>
    <w:rsid w:val="00EA2B85"/>
    <w:rsid w:val="00F15A5A"/>
    <w:rsid w:val="00F22009"/>
    <w:rsid w:val="00F8103E"/>
    <w:rsid w:val="00FA34DF"/>
    <w:rsid w:val="00FB6718"/>
    <w:rsid w:val="016F5A56"/>
    <w:rsid w:val="01EC3E90"/>
    <w:rsid w:val="02E903CF"/>
    <w:rsid w:val="03A8028B"/>
    <w:rsid w:val="04161698"/>
    <w:rsid w:val="052E656D"/>
    <w:rsid w:val="05380302"/>
    <w:rsid w:val="05434EA7"/>
    <w:rsid w:val="07300CC3"/>
    <w:rsid w:val="08227BFE"/>
    <w:rsid w:val="089D5EE4"/>
    <w:rsid w:val="092B1742"/>
    <w:rsid w:val="097E5D15"/>
    <w:rsid w:val="09F96578"/>
    <w:rsid w:val="0A4933F3"/>
    <w:rsid w:val="0A5B7E05"/>
    <w:rsid w:val="0AE95411"/>
    <w:rsid w:val="0C177D5B"/>
    <w:rsid w:val="0C9615C8"/>
    <w:rsid w:val="0DAC6CBC"/>
    <w:rsid w:val="0DDF7558"/>
    <w:rsid w:val="0F4073E7"/>
    <w:rsid w:val="0F9D2C6D"/>
    <w:rsid w:val="1021389E"/>
    <w:rsid w:val="1047786D"/>
    <w:rsid w:val="1084548A"/>
    <w:rsid w:val="10A65B38"/>
    <w:rsid w:val="10EF09BF"/>
    <w:rsid w:val="112B018C"/>
    <w:rsid w:val="11641C95"/>
    <w:rsid w:val="11BC387F"/>
    <w:rsid w:val="130E667E"/>
    <w:rsid w:val="145B5BE8"/>
    <w:rsid w:val="14F95EB0"/>
    <w:rsid w:val="157633D7"/>
    <w:rsid w:val="160A3274"/>
    <w:rsid w:val="163119B3"/>
    <w:rsid w:val="16420245"/>
    <w:rsid w:val="16AC607D"/>
    <w:rsid w:val="17F027BA"/>
    <w:rsid w:val="1901601B"/>
    <w:rsid w:val="197E141A"/>
    <w:rsid w:val="19BE73EB"/>
    <w:rsid w:val="1A977CB9"/>
    <w:rsid w:val="1AC90DBB"/>
    <w:rsid w:val="1D1F1166"/>
    <w:rsid w:val="1F2D27EA"/>
    <w:rsid w:val="1FB77D57"/>
    <w:rsid w:val="206D21E8"/>
    <w:rsid w:val="209854B7"/>
    <w:rsid w:val="21E85FCA"/>
    <w:rsid w:val="2305495A"/>
    <w:rsid w:val="23293051"/>
    <w:rsid w:val="24A361D8"/>
    <w:rsid w:val="25A328ED"/>
    <w:rsid w:val="262C6984"/>
    <w:rsid w:val="26E70454"/>
    <w:rsid w:val="276B1BCF"/>
    <w:rsid w:val="279D33B3"/>
    <w:rsid w:val="282B7CB0"/>
    <w:rsid w:val="28302479"/>
    <w:rsid w:val="28CF2509"/>
    <w:rsid w:val="29E3678C"/>
    <w:rsid w:val="29F574D6"/>
    <w:rsid w:val="2B746B21"/>
    <w:rsid w:val="2BC5112A"/>
    <w:rsid w:val="2BFA1CD5"/>
    <w:rsid w:val="2C0D5E5A"/>
    <w:rsid w:val="2C131C91"/>
    <w:rsid w:val="2C8E1203"/>
    <w:rsid w:val="2CA451E4"/>
    <w:rsid w:val="2D5072E5"/>
    <w:rsid w:val="2D617A2B"/>
    <w:rsid w:val="2D630BFB"/>
    <w:rsid w:val="2D8F7C42"/>
    <w:rsid w:val="3043457C"/>
    <w:rsid w:val="30B05B70"/>
    <w:rsid w:val="32764F2C"/>
    <w:rsid w:val="3317670F"/>
    <w:rsid w:val="335F00B6"/>
    <w:rsid w:val="339A10EE"/>
    <w:rsid w:val="33FF27C2"/>
    <w:rsid w:val="34156BEB"/>
    <w:rsid w:val="34D72A5E"/>
    <w:rsid w:val="35150A87"/>
    <w:rsid w:val="366F23BE"/>
    <w:rsid w:val="36C879B2"/>
    <w:rsid w:val="371511B8"/>
    <w:rsid w:val="37FA3DEA"/>
    <w:rsid w:val="389649A8"/>
    <w:rsid w:val="39BA4B8C"/>
    <w:rsid w:val="3A1A4D37"/>
    <w:rsid w:val="3A6475AB"/>
    <w:rsid w:val="3C306C1A"/>
    <w:rsid w:val="3ECD2378"/>
    <w:rsid w:val="3F06588A"/>
    <w:rsid w:val="3FBD23EC"/>
    <w:rsid w:val="406D3E12"/>
    <w:rsid w:val="41817970"/>
    <w:rsid w:val="41990C37"/>
    <w:rsid w:val="429A07C3"/>
    <w:rsid w:val="42BA70B7"/>
    <w:rsid w:val="43486FF0"/>
    <w:rsid w:val="438208ED"/>
    <w:rsid w:val="448F3A3F"/>
    <w:rsid w:val="48AC3DAF"/>
    <w:rsid w:val="49BF1DE2"/>
    <w:rsid w:val="4A58343D"/>
    <w:rsid w:val="4B215F25"/>
    <w:rsid w:val="4CF612C3"/>
    <w:rsid w:val="4D1675E0"/>
    <w:rsid w:val="4E4C5872"/>
    <w:rsid w:val="4EB225BB"/>
    <w:rsid w:val="4EB470B0"/>
    <w:rsid w:val="4F5543EF"/>
    <w:rsid w:val="50646D59"/>
    <w:rsid w:val="50E60BA8"/>
    <w:rsid w:val="51D81616"/>
    <w:rsid w:val="52795A61"/>
    <w:rsid w:val="53034162"/>
    <w:rsid w:val="55927687"/>
    <w:rsid w:val="562C55D2"/>
    <w:rsid w:val="565F7815"/>
    <w:rsid w:val="56E12A0D"/>
    <w:rsid w:val="57B40121"/>
    <w:rsid w:val="58262DCD"/>
    <w:rsid w:val="5ABE6548"/>
    <w:rsid w:val="5B503CBD"/>
    <w:rsid w:val="5C8B4C9F"/>
    <w:rsid w:val="5CAB38A1"/>
    <w:rsid w:val="5D746389"/>
    <w:rsid w:val="5DDC3F2E"/>
    <w:rsid w:val="5DEF1EB3"/>
    <w:rsid w:val="5EBB2C44"/>
    <w:rsid w:val="600F2399"/>
    <w:rsid w:val="605C4EB2"/>
    <w:rsid w:val="60687CFB"/>
    <w:rsid w:val="62A6291C"/>
    <w:rsid w:val="62C603F1"/>
    <w:rsid w:val="63A1648C"/>
    <w:rsid w:val="651346D9"/>
    <w:rsid w:val="656D30D8"/>
    <w:rsid w:val="65F55820"/>
    <w:rsid w:val="67866B91"/>
    <w:rsid w:val="678F66C0"/>
    <w:rsid w:val="680E72CD"/>
    <w:rsid w:val="68AB4C28"/>
    <w:rsid w:val="68C36416"/>
    <w:rsid w:val="68E37F41"/>
    <w:rsid w:val="692F7608"/>
    <w:rsid w:val="6A846C3C"/>
    <w:rsid w:val="6C335661"/>
    <w:rsid w:val="6E0E5A3E"/>
    <w:rsid w:val="6E8A571E"/>
    <w:rsid w:val="6F7C52D9"/>
    <w:rsid w:val="6F94661F"/>
    <w:rsid w:val="700510C2"/>
    <w:rsid w:val="70075BD7"/>
    <w:rsid w:val="705078C9"/>
    <w:rsid w:val="744D2BDD"/>
    <w:rsid w:val="75E3075A"/>
    <w:rsid w:val="764B0E32"/>
    <w:rsid w:val="775841CD"/>
    <w:rsid w:val="77911234"/>
    <w:rsid w:val="7813558F"/>
    <w:rsid w:val="78202F3D"/>
    <w:rsid w:val="78E94215"/>
    <w:rsid w:val="79004B1D"/>
    <w:rsid w:val="7A37631C"/>
    <w:rsid w:val="7A8619BC"/>
    <w:rsid w:val="7B1859C4"/>
    <w:rsid w:val="7BD46D0B"/>
    <w:rsid w:val="7C0D37D8"/>
    <w:rsid w:val="7CFE75C5"/>
    <w:rsid w:val="7D9664FE"/>
    <w:rsid w:val="7EC74B2E"/>
    <w:rsid w:val="7F854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5"/>
    <w:autoRedefine/>
    <w:qFormat/>
    <w:uiPriority w:val="0"/>
    <w:pPr>
      <w:jc w:val="left"/>
    </w:pPr>
  </w:style>
  <w:style w:type="paragraph" w:styleId="4">
    <w:name w:val="Balloon Text"/>
    <w:basedOn w:val="1"/>
    <w:link w:val="14"/>
    <w:autoRedefine/>
    <w:qFormat/>
    <w:uiPriority w:val="0"/>
    <w:rPr>
      <w:sz w:val="18"/>
      <w:szCs w:val="18"/>
    </w:rPr>
  </w:style>
  <w:style w:type="paragraph" w:styleId="5">
    <w:name w:val="footer"/>
    <w:basedOn w:val="1"/>
    <w:link w:val="19"/>
    <w:autoRedefine/>
    <w:qFormat/>
    <w:uiPriority w:val="0"/>
    <w:pPr>
      <w:tabs>
        <w:tab w:val="center" w:pos="4153"/>
        <w:tab w:val="right" w:pos="8306"/>
      </w:tabs>
      <w:snapToGrid w:val="0"/>
      <w:jc w:val="left"/>
    </w:pPr>
    <w:rPr>
      <w:sz w:val="18"/>
      <w:szCs w:val="18"/>
    </w:rPr>
  </w:style>
  <w:style w:type="paragraph" w:styleId="6">
    <w:name w:val="header"/>
    <w:basedOn w:val="1"/>
    <w:link w:val="18"/>
    <w:autoRedefine/>
    <w:qFormat/>
    <w:uiPriority w:val="0"/>
    <w:pPr>
      <w:tabs>
        <w:tab w:val="center" w:pos="4153"/>
        <w:tab w:val="right" w:pos="8306"/>
      </w:tabs>
      <w:snapToGrid w:val="0"/>
      <w:jc w:val="center"/>
    </w:pPr>
    <w:rPr>
      <w:sz w:val="18"/>
      <w:szCs w:val="18"/>
    </w:rPr>
  </w:style>
  <w:style w:type="paragraph" w:styleId="7">
    <w:name w:val="Normal (Web)"/>
    <w:basedOn w:val="1"/>
    <w:autoRedefine/>
    <w:qFormat/>
    <w:uiPriority w:val="0"/>
    <w:pPr>
      <w:spacing w:beforeAutospacing="1" w:afterAutospacing="1"/>
      <w:jc w:val="left"/>
    </w:pPr>
    <w:rPr>
      <w:rFonts w:cs="Times New Roman"/>
      <w:kern w:val="0"/>
      <w:sz w:val="24"/>
    </w:rPr>
  </w:style>
  <w:style w:type="paragraph" w:styleId="8">
    <w:name w:val="annotation subject"/>
    <w:basedOn w:val="3"/>
    <w:next w:val="3"/>
    <w:link w:val="16"/>
    <w:autoRedefine/>
    <w:qFormat/>
    <w:uiPriority w:val="0"/>
    <w:rPr>
      <w:b/>
      <w:bCs/>
    </w:rPr>
  </w:style>
  <w:style w:type="character" w:styleId="11">
    <w:name w:val="Emphasis"/>
    <w:basedOn w:val="10"/>
    <w:autoRedefine/>
    <w:qFormat/>
    <w:uiPriority w:val="0"/>
    <w:rPr>
      <w:i/>
    </w:rPr>
  </w:style>
  <w:style w:type="character" w:styleId="12">
    <w:name w:val="Hyperlink"/>
    <w:basedOn w:val="10"/>
    <w:autoRedefine/>
    <w:unhideWhenUsed/>
    <w:qFormat/>
    <w:uiPriority w:val="99"/>
    <w:rPr>
      <w:color w:val="0000FF"/>
      <w:u w:val="single"/>
    </w:rPr>
  </w:style>
  <w:style w:type="character" w:styleId="13">
    <w:name w:val="annotation reference"/>
    <w:basedOn w:val="10"/>
    <w:autoRedefine/>
    <w:qFormat/>
    <w:uiPriority w:val="0"/>
    <w:rPr>
      <w:sz w:val="21"/>
      <w:szCs w:val="21"/>
    </w:rPr>
  </w:style>
  <w:style w:type="character" w:customStyle="1" w:styleId="14">
    <w:name w:val="批注框文本 字符"/>
    <w:basedOn w:val="10"/>
    <w:link w:val="4"/>
    <w:autoRedefine/>
    <w:qFormat/>
    <w:uiPriority w:val="0"/>
    <w:rPr>
      <w:kern w:val="2"/>
      <w:sz w:val="18"/>
      <w:szCs w:val="18"/>
    </w:rPr>
  </w:style>
  <w:style w:type="character" w:customStyle="1" w:styleId="15">
    <w:name w:val="批注文字 字符"/>
    <w:basedOn w:val="10"/>
    <w:link w:val="3"/>
    <w:autoRedefine/>
    <w:qFormat/>
    <w:uiPriority w:val="0"/>
    <w:rPr>
      <w:kern w:val="2"/>
      <w:sz w:val="21"/>
      <w:szCs w:val="22"/>
    </w:rPr>
  </w:style>
  <w:style w:type="character" w:customStyle="1" w:styleId="16">
    <w:name w:val="批注主题 字符"/>
    <w:basedOn w:val="15"/>
    <w:link w:val="8"/>
    <w:autoRedefine/>
    <w:qFormat/>
    <w:uiPriority w:val="0"/>
    <w:rPr>
      <w:b/>
      <w:bCs/>
      <w:kern w:val="2"/>
      <w:sz w:val="21"/>
      <w:szCs w:val="22"/>
    </w:rPr>
  </w:style>
  <w:style w:type="paragraph" w:customStyle="1" w:styleId="17">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8">
    <w:name w:val="页眉 字符"/>
    <w:basedOn w:val="10"/>
    <w:link w:val="6"/>
    <w:autoRedefine/>
    <w:qFormat/>
    <w:uiPriority w:val="0"/>
    <w:rPr>
      <w:rFonts w:asciiTheme="minorHAnsi" w:hAnsiTheme="minorHAnsi" w:eastAsiaTheme="minorEastAsia" w:cstheme="minorBidi"/>
      <w:kern w:val="2"/>
      <w:sz w:val="18"/>
      <w:szCs w:val="18"/>
    </w:rPr>
  </w:style>
  <w:style w:type="character" w:customStyle="1" w:styleId="19">
    <w:name w:val="页脚 字符"/>
    <w:basedOn w:val="10"/>
    <w:link w:val="5"/>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1491</Words>
  <Characters>1560</Characters>
  <Lines>13</Lines>
  <Paragraphs>3</Paragraphs>
  <TotalTime>20</TotalTime>
  <ScaleCrop>false</ScaleCrop>
  <LinksUpToDate>false</LinksUpToDate>
  <CharactersWithSpaces>1682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2024-03-29T09:53:00Z</dcterms:created>
  <dc:creator>季灵杰</dc:creator>
  <cp:lastModifiedBy>季灵杰</cp:lastModifiedBy>
  <dcterms:modified xsi:type="dcterms:W3CDTF">2024-11-26T09:56:03Z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4D75A105792547188D9BFFFAEA5407CC_13</vt:lpwstr>
  </property>
</Properties>
</file>