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07B" w:rsidRDefault="00485F14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证券代码：688053                                 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思科瑞</w:t>
      </w:r>
    </w:p>
    <w:p w:rsidR="005F207B" w:rsidRDefault="00485F14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成都思科瑞微电子股份有限公司</w:t>
      </w:r>
    </w:p>
    <w:p w:rsidR="005F207B" w:rsidRDefault="00485F14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:rsidR="005F207B" w:rsidRDefault="00485F14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编号：2024-00</w:t>
      </w:r>
      <w:r w:rsidR="00451F19">
        <w:rPr>
          <w:rFonts w:ascii="宋体" w:eastAsia="宋体" w:hAnsi="宋体" w:cs="Times New Roman"/>
          <w:b/>
          <w:bCs/>
          <w:sz w:val="24"/>
          <w:szCs w:val="24"/>
        </w:rPr>
        <w:t>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5693"/>
      </w:tblGrid>
      <w:tr w:rsidR="005F207B">
        <w:tc>
          <w:tcPr>
            <w:tcW w:w="2978" w:type="dxa"/>
            <w:shd w:val="clear" w:color="auto" w:fill="auto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5F207B" w:rsidRDefault="005F207B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5F207B" w:rsidRDefault="00451F1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85F1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85F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85F1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2A23B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5F207B" w:rsidRDefault="00485F1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 w:rsid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5F207B" w:rsidRDefault="00485F1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5F207B">
        <w:tc>
          <w:tcPr>
            <w:tcW w:w="2978" w:type="dxa"/>
            <w:shd w:val="clear" w:color="auto" w:fill="auto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:rsidR="005F207B" w:rsidRDefault="00451F19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方正证券、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博时基金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交银施罗德基金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华夏基金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中国人寿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平安资产管理有限责任公司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上海趣时资产管理有限公司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上海混沌投资（集团）有限公司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4B56AC" w:rsidRPr="004B56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信达澳亚基</w:t>
            </w:r>
            <w:proofErr w:type="gramEnd"/>
            <w:r w:rsidR="004B56AC" w:rsidRPr="004B56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金</w:t>
            </w:r>
            <w:r w:rsidR="004B56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拾贝投资管理（北京）有限公司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正圆投资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天治基金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东北证券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51F1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中欧基金</w:t>
            </w:r>
            <w:r w:rsidR="004B56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</w:t>
            </w:r>
          </w:p>
        </w:tc>
      </w:tr>
      <w:tr w:rsidR="005F207B">
        <w:tc>
          <w:tcPr>
            <w:tcW w:w="2978" w:type="dxa"/>
            <w:shd w:val="clear" w:color="auto" w:fill="auto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2024年 </w:t>
            </w:r>
            <w:r w:rsidR="002A23B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451F1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451F1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28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5F207B">
        <w:tc>
          <w:tcPr>
            <w:tcW w:w="2978" w:type="dxa"/>
            <w:shd w:val="clear" w:color="auto" w:fill="auto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:rsidR="005F207B" w:rsidRDefault="00451F1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进门财经</w:t>
            </w:r>
          </w:p>
        </w:tc>
      </w:tr>
      <w:tr w:rsidR="005F207B">
        <w:tc>
          <w:tcPr>
            <w:tcW w:w="2978" w:type="dxa"/>
            <w:shd w:val="clear" w:color="auto" w:fill="auto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:rsidR="005F207B" w:rsidRDefault="00485F14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董事会秘书：吴常念 </w:t>
            </w:r>
          </w:p>
          <w:p w:rsidR="005F207B" w:rsidRDefault="005F207B">
            <w:pPr>
              <w:spacing w:line="360" w:lineRule="auto"/>
            </w:pPr>
          </w:p>
        </w:tc>
      </w:tr>
      <w:tr w:rsidR="005F207B">
        <w:trPr>
          <w:trHeight w:val="2701"/>
        </w:trPr>
        <w:tc>
          <w:tcPr>
            <w:tcW w:w="2978" w:type="dxa"/>
            <w:shd w:val="clear" w:color="auto" w:fill="auto"/>
            <w:vAlign w:val="center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:rsidR="005F207B" w:rsidRDefault="00485F14">
            <w:pPr>
              <w:pStyle w:val="2"/>
              <w:spacing w:before="0" w:after="0" w:line="440" w:lineRule="exact"/>
            </w:pPr>
            <w:bookmarkStart w:id="0" w:name="_Toc107222398"/>
            <w:r>
              <w:rPr>
                <w:rFonts w:hint="eastAsia"/>
              </w:rPr>
              <w:t>问：</w:t>
            </w:r>
            <w:r w:rsidR="002A23B3" w:rsidRPr="00A401AA">
              <w:rPr>
                <w:rFonts w:hint="eastAsia"/>
              </w:rPr>
              <w:t>请</w:t>
            </w:r>
            <w:r w:rsidR="004B56AC">
              <w:rPr>
                <w:rFonts w:hint="eastAsia"/>
              </w:rPr>
              <w:t>介绍一下公司近期经营状况。</w:t>
            </w:r>
          </w:p>
          <w:p w:rsidR="004B56AC" w:rsidRPr="004B56AC" w:rsidRDefault="00485F14" w:rsidP="004B56AC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答：</w:t>
            </w:r>
            <w:bookmarkEnd w:id="0"/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前三季度</w:t>
            </w:r>
            <w:r w:rsid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公司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营收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9925.25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万，第三季度营收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4365.91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万。面对军工市场的弱周期，公司持续增加研发投入，推进成都、无锡、西安测试基地的建设，进展良好。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11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月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11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日，公司</w:t>
            </w:r>
            <w:r w:rsid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携手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文昌国际航天城管理局、四川天府新区</w:t>
            </w:r>
            <w:r w:rsid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改革创新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研究院，</w:t>
            </w:r>
            <w:r w:rsid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成功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举办了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2024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年卫星批量生产可靠性工程研讨会。主要围绕百箭千星计划，探讨如何将传统的航天检测模式和现代工业流水线检测模式相结合，在保质保量基础上，以低成本的方式打造多功能、智能化、数字化的测试平台，实现元器件模块系统小整机批量检测的高质量发展，共建行业标</w:t>
            </w:r>
            <w:r w:rsidR="004B56AC"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lastRenderedPageBreak/>
              <w:t>准，为卫星超级工厂打造一站式可靠性检测技术服务。</w:t>
            </w:r>
          </w:p>
          <w:p w:rsidR="004B56AC" w:rsidRPr="004B56AC" w:rsidRDefault="004B56AC" w:rsidP="004B56AC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会上公司和电子科技大学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光电学</w:t>
            </w:r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院签订了联合实验室，跟</w:t>
            </w:r>
            <w:r w:rsidRPr="004B56AC">
              <w:rPr>
                <w:rFonts w:ascii="Cambria" w:hAnsi="Cambria"/>
                <w:b/>
                <w:bCs/>
                <w:kern w:val="0"/>
                <w:szCs w:val="32"/>
              </w:rPr>
              <w:t>成都岷山电磁环境适应技术研究院</w:t>
            </w:r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签订了战略合作协议，</w:t>
            </w: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和</w:t>
            </w:r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成都天奥技术发展有限公司签订了战略合作协议，主要针对文昌未来整体的技术发展。和整星厂以及产业专家就卫星批量生产可靠性检测进行讨论，成果颇丰。公司也搬迁到了新的总部基地。</w:t>
            </w:r>
          </w:p>
          <w:p w:rsidR="002A23B3" w:rsidRPr="00A401AA" w:rsidRDefault="004B56AC" w:rsidP="004B56AC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全资子公司海南国</w:t>
            </w:r>
            <w:proofErr w:type="gramStart"/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星飞测预计</w:t>
            </w:r>
            <w:proofErr w:type="gramEnd"/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在</w:t>
            </w:r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2025</w:t>
            </w:r>
            <w:r w:rsidRPr="004B56AC">
              <w:rPr>
                <w:rFonts w:ascii="Cambria" w:hAnsi="Cambria" w:hint="eastAsia"/>
                <w:b/>
                <w:bCs/>
                <w:kern w:val="0"/>
                <w:szCs w:val="32"/>
              </w:rPr>
              <w:t>年形成产能，建成后将为卫星超级工厂提供一站式可靠性检测技术服务，明年将为公司业务带来新的增长点。随着检测市场的不断复苏，公司产能将逐步释放。</w:t>
            </w:r>
          </w:p>
          <w:p w:rsidR="002A23B3" w:rsidRPr="00A401AA" w:rsidRDefault="002A23B3">
            <w:pPr>
              <w:ind w:firstLineChars="200" w:firstLine="422"/>
              <w:rPr>
                <w:rFonts w:ascii="Cambria" w:hAnsi="Cambria"/>
                <w:b/>
                <w:bCs/>
                <w:kern w:val="0"/>
                <w:szCs w:val="32"/>
              </w:rPr>
            </w:pPr>
          </w:p>
          <w:p w:rsidR="002A23B3" w:rsidRDefault="002A23B3" w:rsidP="002A23B3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问：</w:t>
            </w:r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成都思科瑞是最早</w:t>
            </w:r>
            <w:r w:rsid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一批</w:t>
            </w:r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确定落地超级工厂产业园的企业，而且全部是自有资金进行投资建设，请问吴总，</w:t>
            </w:r>
            <w:r w:rsid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公司</w:t>
            </w:r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如此坚决来文</w:t>
            </w:r>
            <w:proofErr w:type="gramStart"/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昌发展</w:t>
            </w:r>
            <w:proofErr w:type="gramEnd"/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的信心来自于哪里呢？</w:t>
            </w:r>
          </w:p>
          <w:p w:rsidR="005F207B" w:rsidRDefault="00485F14" w:rsidP="00A401AA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答：</w:t>
            </w:r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思科瑞落地超级工厂产业园基于多方面因素。在航天强国主旨下，卫星制造、卫星互联网领域景气度的提升，文昌航天城作为发展重点，将承担我国商业火箭和中国星网的卫星等发射任务，涵盖火箭及卫星的研发、制造、发射及后期运营全链条业务，具备独特的区域优势与良好的政策环境，将为企业发展提供广阔空间与坚实支撑。此外，保质保量基础上的低成本模式是商业航天行业的基本诉求。文昌发射场作为低纬度沿海发射场，发射优势明显，在此基础上将传统航天生产模式与现代工业流水线生产相结合，尽量缩短中间流程，建设“出厂即发射”模式势在必行，这要求思科瑞主动参与到文昌航天城的建设中去。</w:t>
            </w:r>
          </w:p>
          <w:p w:rsidR="005F207B" w:rsidRDefault="005F207B">
            <w:pPr>
              <w:ind w:firstLineChars="200" w:firstLine="422"/>
              <w:rPr>
                <w:rFonts w:ascii="Cambria" w:hAnsi="Cambria"/>
                <w:b/>
                <w:bCs/>
                <w:kern w:val="0"/>
                <w:szCs w:val="32"/>
              </w:rPr>
            </w:pPr>
          </w:p>
          <w:p w:rsidR="005F207B" w:rsidRPr="00A401AA" w:rsidRDefault="00485F14" w:rsidP="00A401AA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问：</w:t>
            </w:r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思科瑞未来在元器件保证和单机环境试验领域是如何布局的？</w:t>
            </w:r>
          </w:p>
          <w:p w:rsidR="005F207B" w:rsidRPr="00A401AA" w:rsidRDefault="00485F14" w:rsidP="00A401AA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答：</w:t>
            </w:r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在元器件保证领域，思科瑞将着力构建更完善的检测体系，加大研发投入以提升对各类元器件性能检测的精准度与效率。不断探索前沿技术与理念，致力质量把控上始终走在行业前列，为客户提供高可靠性的元器件保证服务。于单机环境试验领域，我们将持续扩充试验设备种类与规模，打造多功能、智能化的试验平台。针对不同客户需求，定制</w:t>
            </w:r>
            <w:proofErr w:type="gramStart"/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化开发</w:t>
            </w:r>
            <w:proofErr w:type="gramEnd"/>
            <w:r w:rsidR="007A1706" w:rsidRPr="007A1706">
              <w:rPr>
                <w:rFonts w:ascii="Cambria" w:hAnsi="Cambria" w:hint="eastAsia"/>
                <w:b/>
                <w:bCs/>
                <w:kern w:val="0"/>
                <w:szCs w:val="32"/>
              </w:rPr>
              <w:t>试验方案，从航空航天到电子通讯等多领域全面覆盖。通过强化数据分析与处理能力，为产品优化改进提供深度依据，提升单机产品环境适应性与竞争力，实现高质量发展。</w:t>
            </w:r>
          </w:p>
          <w:p w:rsidR="005F207B" w:rsidRDefault="005F207B">
            <w:pPr>
              <w:spacing w:line="400" w:lineRule="exact"/>
              <w:rPr>
                <w:rFonts w:ascii="Cambria" w:hAnsi="Cambria"/>
                <w:b/>
                <w:bCs/>
                <w:kern w:val="0"/>
                <w:szCs w:val="32"/>
              </w:rPr>
            </w:pPr>
            <w:bookmarkStart w:id="1" w:name="_Toc118146358"/>
          </w:p>
          <w:p w:rsidR="005F207B" w:rsidRDefault="00485F14" w:rsidP="00A401AA">
            <w:pPr>
              <w:widowControl/>
              <w:jc w:val="left"/>
              <w:rPr>
                <w:rFonts w:ascii="Cambria" w:hAnsi="Cambria"/>
                <w:b/>
                <w:bCs/>
                <w:kern w:val="0"/>
                <w:szCs w:val="32"/>
              </w:rPr>
            </w:pP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问：</w:t>
            </w:r>
            <w:bookmarkEnd w:id="1"/>
            <w:r w:rsidR="00A401AA"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如何看待公司未来发展前景？公司的未来增长点主要集中在哪几个方面？</w:t>
            </w:r>
          </w:p>
          <w:p w:rsidR="005F207B" w:rsidRDefault="00A401AA" w:rsidP="00A401AA">
            <w:pPr>
              <w:widowControl/>
              <w:jc w:val="left"/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答：公司持续致力于打造行业领先的业务实力。公司</w:t>
            </w:r>
            <w:proofErr w:type="gramStart"/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持续持续</w:t>
            </w:r>
            <w:proofErr w:type="gramEnd"/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推动研发技术进步，提升技术储备，打造优质的检测能力。在环境可靠性试验、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EMC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、汽车电子领域，公司已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lastRenderedPageBreak/>
              <w:t>投入专业团队，进行技术储备、实现新领域提前布局，致力于打造一流的可靠性检测平台，满足客户一站式检测需求。此外，全资子公司海南国</w:t>
            </w:r>
            <w:proofErr w:type="gramStart"/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星飞测预计</w:t>
            </w:r>
            <w:proofErr w:type="gramEnd"/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于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2025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年形成产能，计划投资建造产能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8-10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亿，建成后将为火箭产业园、卫星超级工厂及相关配套新质生产力项目提供完善的检测服务配套。</w:t>
            </w:r>
          </w:p>
          <w:p w:rsidR="00A401AA" w:rsidRDefault="00A401AA" w:rsidP="00A401AA">
            <w:pPr>
              <w:widowControl/>
              <w:ind w:firstLineChars="100" w:firstLine="211"/>
              <w:jc w:val="left"/>
              <w:rPr>
                <w:rFonts w:ascii="Cambria" w:hAnsi="Cambria"/>
                <w:b/>
                <w:bCs/>
                <w:kern w:val="0"/>
                <w:szCs w:val="32"/>
              </w:rPr>
            </w:pPr>
          </w:p>
          <w:p w:rsidR="00A401AA" w:rsidRDefault="00A401AA" w:rsidP="00A401AA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问：</w:t>
            </w:r>
            <w:r w:rsid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公司与</w:t>
            </w:r>
            <w:r w:rsidR="00777BA0" w:rsidRP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成都岷山电磁环境适应技术研究院</w:t>
            </w:r>
            <w:r w:rsid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签订战略合作协议对公司有哪些重大意义</w:t>
            </w: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？</w:t>
            </w:r>
          </w:p>
          <w:p w:rsidR="005F207B" w:rsidRDefault="00485F14" w:rsidP="00A401AA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>
              <w:rPr>
                <w:rFonts w:ascii="Cambria" w:hAnsi="Cambria" w:hint="eastAsia"/>
                <w:b/>
                <w:bCs/>
                <w:kern w:val="0"/>
                <w:szCs w:val="32"/>
              </w:rPr>
              <w:t>答：</w:t>
            </w:r>
            <w:r w:rsidR="00777BA0" w:rsidRP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成都岷山电磁环境适应技术研究院是成都高新区“岷山行动”计划第二批揭榜挂帅新型研发机构</w:t>
            </w:r>
            <w:r w:rsidR="00777BA0" w:rsidRP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，</w:t>
            </w:r>
            <w:r w:rsidR="00777BA0" w:rsidRP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研究院依托工信部重点实验室，聚焦电磁环境适应技术设计、检测等领域，突破关键技术，开展系统电磁环境适应性仿真设计平台、测试系统、先进智能化综合天线等产品研发，实现工程化和产业化，服务国防及电子信息、能源装备、新能源汽车等产业，达到世界先进、国内领先水平。</w:t>
            </w:r>
            <w:r w:rsid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签订协议后，</w:t>
            </w:r>
            <w:r w:rsidR="00777BA0" w:rsidRPr="00777BA0">
              <w:rPr>
                <w:rFonts w:ascii="Cambria" w:hAnsi="Cambria" w:hint="eastAsia"/>
                <w:b/>
                <w:bCs/>
                <w:kern w:val="0"/>
                <w:szCs w:val="32"/>
              </w:rPr>
              <w:t>基于双方在电磁兼容检测领域的科研优势和技术服务能力</w:t>
            </w:r>
            <w:r w:rsidR="009F5F06">
              <w:rPr>
                <w:rFonts w:ascii="Cambria" w:hAnsi="Cambria" w:hint="eastAsia"/>
                <w:b/>
                <w:bCs/>
                <w:kern w:val="0"/>
                <w:szCs w:val="32"/>
              </w:rPr>
              <w:t>，</w:t>
            </w:r>
            <w:r w:rsidR="009F5F06" w:rsidRPr="009F5F06">
              <w:rPr>
                <w:rFonts w:ascii="Cambria" w:hAnsi="Cambria" w:hint="eastAsia"/>
                <w:b/>
                <w:bCs/>
                <w:kern w:val="0"/>
                <w:szCs w:val="32"/>
              </w:rPr>
              <w:t>双方</w:t>
            </w:r>
            <w:r w:rsidR="009F5F06" w:rsidRPr="009F5F06">
              <w:rPr>
                <w:rFonts w:ascii="Cambria" w:hAnsi="Cambria"/>
                <w:b/>
                <w:bCs/>
                <w:kern w:val="0"/>
                <w:szCs w:val="32"/>
              </w:rPr>
              <w:t>可</w:t>
            </w:r>
            <w:r w:rsidR="009F5F06" w:rsidRPr="009F5F06">
              <w:rPr>
                <w:rFonts w:ascii="Cambria" w:hAnsi="Cambria" w:hint="eastAsia"/>
                <w:b/>
                <w:bCs/>
                <w:kern w:val="0"/>
                <w:szCs w:val="32"/>
              </w:rPr>
              <w:t>在电磁兼容检测领域开展科研项目联合攻关、科研人才交流、实验设备设施互补共享、专业实验室共建共享等有益合作。</w:t>
            </w:r>
            <w:r w:rsidR="009F5F06">
              <w:rPr>
                <w:rFonts w:ascii="Cambria" w:hAnsi="Cambria" w:hint="eastAsia"/>
                <w:b/>
                <w:bCs/>
                <w:kern w:val="0"/>
                <w:szCs w:val="32"/>
              </w:rPr>
              <w:t>对公司在电磁兼容相关业务的开展上发挥重大作用。</w:t>
            </w:r>
          </w:p>
          <w:p w:rsidR="00A401AA" w:rsidRPr="00A401AA" w:rsidRDefault="00A401AA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</w:p>
          <w:p w:rsidR="005F207B" w:rsidRPr="00A401AA" w:rsidRDefault="00A401AA" w:rsidP="00A401AA">
            <w:pPr>
              <w:rPr>
                <w:rFonts w:ascii="Cambria" w:hAnsi="Cambria"/>
                <w:b/>
                <w:bCs/>
                <w:kern w:val="0"/>
                <w:szCs w:val="32"/>
              </w:rPr>
            </w:pPr>
            <w:r w:rsidRPr="00A401AA">
              <w:rPr>
                <w:rFonts w:ascii="Cambria" w:hAnsi="Cambria" w:hint="eastAsia"/>
                <w:b/>
                <w:bCs/>
                <w:kern w:val="0"/>
                <w:szCs w:val="32"/>
              </w:rPr>
              <w:t>问：请问公司未来有无并购计划？</w:t>
            </w:r>
          </w:p>
          <w:p w:rsidR="005F207B" w:rsidRDefault="00A401AA" w:rsidP="00A401AA">
            <w:pPr>
              <w:pStyle w:val="2"/>
              <w:spacing w:before="0" w:after="0"/>
            </w:pPr>
            <w:r w:rsidRPr="00A401AA">
              <w:rPr>
                <w:rFonts w:hint="eastAsia"/>
              </w:rPr>
              <w:t>答：政策层面对于上市公司并购重组给予了充分支持，公司将持续关注行业发展动态</w:t>
            </w:r>
            <w:r w:rsidR="009F5F06">
              <w:rPr>
                <w:rFonts w:hint="eastAsia"/>
              </w:rPr>
              <w:t>，积极寻找适合公司</w:t>
            </w:r>
            <w:r w:rsidRPr="00A401AA">
              <w:rPr>
                <w:rFonts w:hint="eastAsia"/>
              </w:rPr>
              <w:t>未来</w:t>
            </w:r>
            <w:r w:rsidR="009F5F06">
              <w:rPr>
                <w:rFonts w:hint="eastAsia"/>
              </w:rPr>
              <w:t>发展方向的公司。</w:t>
            </w:r>
            <w:r w:rsidRPr="00A401AA">
              <w:rPr>
                <w:rFonts w:hint="eastAsia"/>
              </w:rPr>
              <w:t>若</w:t>
            </w:r>
            <w:r w:rsidRPr="00A401AA">
              <w:t>公司</w:t>
            </w:r>
            <w:r w:rsidRPr="00A401AA">
              <w:rPr>
                <w:rFonts w:hint="eastAsia"/>
              </w:rPr>
              <w:t>有</w:t>
            </w:r>
            <w:r w:rsidRPr="00A401AA">
              <w:t>相关资本运作，我们将严格按照相关法律法规和监管要求，及时、准确、完整地履行信息披露义务，确保所有投资者都能及时获取到公司的最新动态和决策信息。</w:t>
            </w:r>
          </w:p>
        </w:tc>
      </w:tr>
      <w:tr w:rsidR="005F207B">
        <w:tc>
          <w:tcPr>
            <w:tcW w:w="2978" w:type="dxa"/>
            <w:shd w:val="clear" w:color="auto" w:fill="auto"/>
            <w:vAlign w:val="center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:rsidR="005F207B" w:rsidRDefault="005F207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5F207B">
        <w:tc>
          <w:tcPr>
            <w:tcW w:w="2978" w:type="dxa"/>
            <w:shd w:val="clear" w:color="auto" w:fill="auto"/>
            <w:vAlign w:val="center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说明</w:t>
            </w:r>
          </w:p>
        </w:tc>
        <w:tc>
          <w:tcPr>
            <w:tcW w:w="5812" w:type="dxa"/>
            <w:shd w:val="clear" w:color="auto" w:fill="auto"/>
          </w:tcPr>
          <w:p w:rsidR="005F207B" w:rsidRDefault="00485F14">
            <w:pPr>
              <w:spacing w:line="360" w:lineRule="auto"/>
              <w:rPr>
                <w:rFonts w:ascii="宋体" w:eastAsia="微软雅黑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公司与投资者进行了充分的交流与沟通，并严格按照公司《信息披露管理制度》等规定，</w:t>
            </w:r>
            <w:bookmarkStart w:id="2" w:name="_GoBack"/>
            <w:bookmarkEnd w:id="2"/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保证信息披露的真实、准确、完整、及时、公平，没有出现未公开重大信息披露等情况。</w:t>
            </w:r>
          </w:p>
        </w:tc>
      </w:tr>
      <w:tr w:rsidR="005F207B">
        <w:tc>
          <w:tcPr>
            <w:tcW w:w="2978" w:type="dxa"/>
            <w:shd w:val="clear" w:color="auto" w:fill="auto"/>
            <w:vAlign w:val="center"/>
          </w:tcPr>
          <w:p w:rsidR="005F207B" w:rsidRDefault="00485F1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F207B" w:rsidRDefault="00485F14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2024年</w:t>
            </w:r>
            <w:r w:rsidR="00F167C1">
              <w:rPr>
                <w:rFonts w:ascii="宋体" w:eastAsia="宋体" w:hAnsi="宋体" w:cs="Times New Roman"/>
                <w:iCs/>
                <w:sz w:val="24"/>
                <w:szCs w:val="24"/>
              </w:rPr>
              <w:t>11</w:t>
            </w:r>
            <w:r w:rsidR="00F167C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月2</w:t>
            </w:r>
            <w:r w:rsidR="00F167C1">
              <w:rPr>
                <w:rFonts w:ascii="宋体" w:eastAsia="宋体" w:hAnsi="宋体" w:cs="Times New Roman"/>
                <w:iCs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:rsidR="005F207B" w:rsidRDefault="005F207B">
      <w:pPr>
        <w:keepNext/>
        <w:keepLines/>
        <w:spacing w:before="260" w:after="260" w:line="360" w:lineRule="auto"/>
        <w:outlineLvl w:val="1"/>
      </w:pPr>
    </w:p>
    <w:sectPr w:rsidR="005F2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1C" w:rsidRDefault="006C2E1C" w:rsidP="00451F19">
      <w:r>
        <w:separator/>
      </w:r>
    </w:p>
  </w:endnote>
  <w:endnote w:type="continuationSeparator" w:id="0">
    <w:p w:rsidR="006C2E1C" w:rsidRDefault="006C2E1C" w:rsidP="0045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1C" w:rsidRDefault="006C2E1C" w:rsidP="00451F19">
      <w:r>
        <w:separator/>
      </w:r>
    </w:p>
  </w:footnote>
  <w:footnote w:type="continuationSeparator" w:id="0">
    <w:p w:rsidR="006C2E1C" w:rsidRDefault="006C2E1C" w:rsidP="00451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wYTI5OTljM2NhZTM5ZDI2MjEzMzMwNGYwNWQ0NGI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A23B3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51F19"/>
    <w:rsid w:val="00467B9C"/>
    <w:rsid w:val="00470346"/>
    <w:rsid w:val="00472F77"/>
    <w:rsid w:val="00473F91"/>
    <w:rsid w:val="00482D5D"/>
    <w:rsid w:val="004859A7"/>
    <w:rsid w:val="00485F14"/>
    <w:rsid w:val="00495655"/>
    <w:rsid w:val="004A58CB"/>
    <w:rsid w:val="004B500C"/>
    <w:rsid w:val="004B56AC"/>
    <w:rsid w:val="004C3E41"/>
    <w:rsid w:val="004C6956"/>
    <w:rsid w:val="004D4156"/>
    <w:rsid w:val="004D614E"/>
    <w:rsid w:val="004E25DD"/>
    <w:rsid w:val="004E4CBB"/>
    <w:rsid w:val="004F5C3F"/>
    <w:rsid w:val="00504A08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07B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C2E1C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77BA0"/>
    <w:rsid w:val="00785284"/>
    <w:rsid w:val="0079430A"/>
    <w:rsid w:val="00794C8B"/>
    <w:rsid w:val="00795940"/>
    <w:rsid w:val="007A1706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04EC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9F5F06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1AA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267C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167C1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19569B5"/>
    <w:rsid w:val="0505364C"/>
    <w:rsid w:val="07427673"/>
    <w:rsid w:val="095D21A6"/>
    <w:rsid w:val="0A824621"/>
    <w:rsid w:val="0C69427F"/>
    <w:rsid w:val="0CA71F47"/>
    <w:rsid w:val="15152076"/>
    <w:rsid w:val="170F6A1D"/>
    <w:rsid w:val="181555FA"/>
    <w:rsid w:val="1F636849"/>
    <w:rsid w:val="236164F1"/>
    <w:rsid w:val="27C525A2"/>
    <w:rsid w:val="28194487"/>
    <w:rsid w:val="2BC04734"/>
    <w:rsid w:val="2D1904D8"/>
    <w:rsid w:val="2F064DB0"/>
    <w:rsid w:val="2FA3416A"/>
    <w:rsid w:val="32242D99"/>
    <w:rsid w:val="33154B7C"/>
    <w:rsid w:val="3A59760D"/>
    <w:rsid w:val="467F0394"/>
    <w:rsid w:val="47A14C13"/>
    <w:rsid w:val="49370972"/>
    <w:rsid w:val="4CF7225E"/>
    <w:rsid w:val="5613656D"/>
    <w:rsid w:val="59433F8E"/>
    <w:rsid w:val="5A6D6682"/>
    <w:rsid w:val="5CB9735E"/>
    <w:rsid w:val="5E151E13"/>
    <w:rsid w:val="645667E8"/>
    <w:rsid w:val="685428D3"/>
    <w:rsid w:val="6CE67F73"/>
    <w:rsid w:val="6E137615"/>
    <w:rsid w:val="6F827230"/>
    <w:rsid w:val="70B10349"/>
    <w:rsid w:val="736D1458"/>
    <w:rsid w:val="7A831561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99BF1"/>
  <w15:docId w15:val="{1DDE0344-EA57-4EC1-9921-575625B4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62DE-2D2F-4E68-8123-CAD230AD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Eve M</cp:lastModifiedBy>
  <cp:revision>7</cp:revision>
  <dcterms:created xsi:type="dcterms:W3CDTF">2023-11-30T08:59:00Z</dcterms:created>
  <dcterms:modified xsi:type="dcterms:W3CDTF">2024-11-29T03:50:00Z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DCDA846107E34C1AA87F031D3D7CF7FA_13</vt:lpwstr>
  </property>
</Properties>
</file>