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7A8CED">
      <w:pPr>
        <w:spacing w:before="156" w:beforeLines="50" w:after="156" w:afterLines="50" w:line="400" w:lineRule="exact"/>
        <w:jc w:val="center"/>
        <w:rPr>
          <w:rFonts w:hint="eastAsia" w:ascii="宋体" w:hAnsi="宋体" w:cs="宋体"/>
          <w:b/>
          <w:bCs/>
          <w:iCs/>
          <w:sz w:val="36"/>
          <w:szCs w:val="36"/>
        </w:rPr>
      </w:pPr>
      <w:r>
        <w:rPr>
          <w:rFonts w:hint="eastAsia" w:ascii="宋体" w:hAnsi="宋体" w:cs="宋体"/>
          <w:b/>
          <w:bCs/>
          <w:iCs/>
          <w:sz w:val="36"/>
          <w:szCs w:val="36"/>
        </w:rPr>
        <w:t>广州市品高软件股份有限公司</w:t>
      </w:r>
    </w:p>
    <w:p w14:paraId="5F380D5F">
      <w:pPr>
        <w:spacing w:before="156" w:beforeLines="50" w:after="156" w:afterLines="50" w:line="400" w:lineRule="exact"/>
        <w:jc w:val="center"/>
        <w:rPr>
          <w:rFonts w:ascii="宋体" w:hAnsi="宋体" w:cs="宋体"/>
          <w:b/>
          <w:bCs/>
          <w:iCs/>
          <w:sz w:val="36"/>
          <w:szCs w:val="36"/>
        </w:rPr>
      </w:pPr>
      <w:r>
        <w:rPr>
          <w:rFonts w:hint="eastAsia" w:ascii="宋体" w:hAnsi="宋体" w:cs="宋体"/>
          <w:b/>
          <w:bCs/>
          <w:iCs/>
          <w:sz w:val="36"/>
          <w:szCs w:val="36"/>
        </w:rPr>
        <w:t>投资者关系活动记录表</w:t>
      </w:r>
    </w:p>
    <w:p w14:paraId="104F642F">
      <w:pPr>
        <w:spacing w:before="156" w:beforeLines="50" w:after="156" w:afterLines="50" w:line="400" w:lineRule="exact"/>
        <w:jc w:val="center"/>
        <w:rPr>
          <w:rFonts w:hint="eastAsia" w:ascii="宋体" w:hAnsi="宋体" w:cs="宋体"/>
          <w:b/>
          <w:bCs/>
          <w:iCs/>
          <w:sz w:val="36"/>
          <w:szCs w:val="36"/>
        </w:rPr>
      </w:pPr>
      <w:r>
        <w:rPr>
          <w:rFonts w:hint="eastAsia" w:ascii="宋体" w:hAnsi="宋体" w:cs="宋体"/>
          <w:b/>
          <w:bCs/>
          <w:iCs/>
          <w:sz w:val="36"/>
          <w:szCs w:val="36"/>
        </w:rPr>
        <w:t>（202</w:t>
      </w:r>
      <w:r>
        <w:rPr>
          <w:rFonts w:hint="default" w:ascii="宋体" w:hAnsi="宋体" w:cs="宋体"/>
          <w:b/>
          <w:bCs/>
          <w:iCs/>
          <w:sz w:val="36"/>
          <w:szCs w:val="36"/>
          <w:lang w:val="en-US"/>
        </w:rPr>
        <w:t>4</w:t>
      </w:r>
      <w:r>
        <w:rPr>
          <w:rFonts w:hint="eastAsia" w:ascii="宋体" w:hAnsi="宋体" w:cs="宋体"/>
          <w:b/>
          <w:bCs/>
          <w:iCs/>
          <w:sz w:val="36"/>
          <w:szCs w:val="36"/>
        </w:rPr>
        <w:t>年</w:t>
      </w:r>
      <w:r>
        <w:rPr>
          <w:rFonts w:hint="eastAsia" w:ascii="宋体" w:hAnsi="宋体" w:cs="宋体"/>
          <w:b/>
          <w:bCs/>
          <w:iCs/>
          <w:sz w:val="36"/>
          <w:szCs w:val="36"/>
          <w:lang w:val="en-US" w:eastAsia="zh-CN"/>
        </w:rPr>
        <w:t>11</w:t>
      </w:r>
      <w:r>
        <w:rPr>
          <w:rFonts w:hint="eastAsia" w:ascii="宋体" w:hAnsi="宋体" w:cs="宋体"/>
          <w:b/>
          <w:bCs/>
          <w:iCs/>
          <w:sz w:val="36"/>
          <w:szCs w:val="36"/>
        </w:rPr>
        <w:t>月）</w:t>
      </w:r>
    </w:p>
    <w:p w14:paraId="469F7047">
      <w:pPr>
        <w:spacing w:before="156" w:beforeLines="50" w:after="156" w:afterLines="50" w:line="400" w:lineRule="exact"/>
        <w:rPr>
          <w:rFonts w:hint="eastAsia" w:ascii="宋体" w:hAnsi="宋体" w:eastAsia="宋体" w:cs="宋体"/>
          <w:bCs/>
          <w:iCs/>
          <w:lang w:val="en-US" w:eastAsia="zh-CN"/>
        </w:rPr>
      </w:pPr>
      <w:r>
        <w:rPr>
          <w:rFonts w:hint="eastAsia" w:ascii="宋体" w:hAnsi="宋体" w:cs="宋体"/>
          <w:bCs/>
          <w:iCs/>
        </w:rPr>
        <w:t xml:space="preserve">证券代码：688227          </w:t>
      </w:r>
      <w:r>
        <w:rPr>
          <w:rFonts w:hint="eastAsia" w:ascii="宋体" w:hAnsi="宋体" w:cs="宋体"/>
          <w:bCs/>
          <w:iCs/>
          <w:lang w:val="en-US" w:eastAsia="zh-CN"/>
        </w:rPr>
        <w:t xml:space="preserve">  </w:t>
      </w:r>
      <w:r>
        <w:rPr>
          <w:rFonts w:hint="eastAsia" w:ascii="宋体" w:hAnsi="宋体" w:cs="宋体"/>
          <w:bCs/>
          <w:iCs/>
        </w:rPr>
        <w:t xml:space="preserve">    证券简称：品高股份    </w:t>
      </w:r>
      <w:r>
        <w:rPr>
          <w:rFonts w:hint="eastAsia" w:ascii="宋体" w:hAnsi="宋体" w:cs="宋体"/>
          <w:bCs/>
          <w:iCs/>
          <w:lang w:val="en-US" w:eastAsia="zh-CN"/>
        </w:rPr>
        <w:t xml:space="preserve">  </w:t>
      </w:r>
      <w:r>
        <w:rPr>
          <w:rFonts w:hint="eastAsia" w:ascii="宋体" w:hAnsi="宋体" w:cs="宋体"/>
          <w:bCs/>
          <w:iCs/>
        </w:rPr>
        <w:t xml:space="preserve">         编号：202</w:t>
      </w:r>
      <w:r>
        <w:rPr>
          <w:rFonts w:hint="default" w:ascii="宋体" w:hAnsi="宋体" w:cs="宋体"/>
          <w:bCs/>
          <w:iCs/>
          <w:lang w:val="en-US"/>
        </w:rPr>
        <w:t>4</w:t>
      </w:r>
      <w:r>
        <w:rPr>
          <w:rFonts w:hint="eastAsia" w:ascii="宋体" w:hAnsi="宋体" w:cs="宋体"/>
          <w:bCs/>
          <w:iCs/>
        </w:rPr>
        <w:t>-</w:t>
      </w:r>
      <w:r>
        <w:rPr>
          <w:rFonts w:hint="eastAsia" w:ascii="宋体" w:hAnsi="宋体" w:cs="宋体"/>
          <w:bCs/>
          <w:iCs/>
          <w:lang w:val="en-US" w:eastAsia="zh-CN"/>
        </w:rPr>
        <w:t>0</w:t>
      </w:r>
      <w:r>
        <w:rPr>
          <w:rFonts w:hint="eastAsia" w:ascii="宋体" w:hAnsi="宋体" w:cs="宋体"/>
          <w:bCs/>
          <w:iCs/>
        </w:rPr>
        <w:t>0</w:t>
      </w:r>
      <w:r>
        <w:rPr>
          <w:rFonts w:hint="eastAsia" w:ascii="宋体" w:hAnsi="宋体" w:cs="宋体"/>
          <w:bCs/>
          <w:iCs/>
          <w:lang w:val="en-US" w:eastAsia="zh-CN"/>
        </w:rPr>
        <w:t>3</w:t>
      </w:r>
    </w:p>
    <w:tbl>
      <w:tblPr>
        <w:tblStyle w:val="7"/>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906"/>
      </w:tblGrid>
      <w:tr w14:paraId="005F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center"/>
          </w:tcPr>
          <w:p w14:paraId="5F6D3A32">
            <w:pPr>
              <w:rPr>
                <w:rFonts w:hint="eastAsia" w:ascii="宋体" w:hAnsi="宋体" w:cs="宋体"/>
                <w:b/>
                <w:bCs/>
                <w:iCs/>
              </w:rPr>
            </w:pPr>
            <w:r>
              <w:rPr>
                <w:rFonts w:hint="eastAsia" w:ascii="宋体" w:hAnsi="宋体" w:cs="宋体"/>
                <w:b/>
                <w:bCs/>
                <w:iCs/>
              </w:rPr>
              <w:t>投资者关系活动类别</w:t>
            </w:r>
          </w:p>
        </w:tc>
        <w:tc>
          <w:tcPr>
            <w:tcW w:w="7906" w:type="dxa"/>
            <w:noWrap w:val="0"/>
            <w:vAlign w:val="top"/>
          </w:tcPr>
          <w:p w14:paraId="1D73AC95">
            <w:pPr>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 xml:space="preserve">特定对象调研        </w:t>
            </w:r>
            <w:r>
              <w:rPr>
                <w:rFonts w:hint="eastAsia" w:ascii="宋体" w:hAnsi="宋体" w:cs="宋体"/>
                <w:bCs/>
                <w:iCs/>
              </w:rPr>
              <w:sym w:font="Wingdings 2" w:char="00A3"/>
            </w:r>
            <w:r>
              <w:rPr>
                <w:rFonts w:hint="eastAsia" w:ascii="宋体" w:hAnsi="宋体" w:cs="宋体"/>
              </w:rPr>
              <w:t>分析师会议</w:t>
            </w:r>
          </w:p>
          <w:p w14:paraId="015A9D1F">
            <w:pPr>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 xml:space="preserve">媒体采访            </w:t>
            </w:r>
            <w:r>
              <w:rPr>
                <w:rFonts w:hint="eastAsia" w:ascii="宋体" w:hAnsi="宋体" w:cs="宋体"/>
                <w:bCs/>
                <w:iCs/>
              </w:rPr>
              <w:sym w:font="Wingdings 2" w:char="0052"/>
            </w:r>
            <w:r>
              <w:rPr>
                <w:rFonts w:hint="eastAsia" w:ascii="宋体" w:hAnsi="宋体" w:cs="宋体"/>
              </w:rPr>
              <w:t>业绩说明会</w:t>
            </w:r>
          </w:p>
          <w:p w14:paraId="320ED818">
            <w:pPr>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 xml:space="preserve">新闻发布会          </w:t>
            </w:r>
            <w:r>
              <w:rPr>
                <w:rFonts w:hint="eastAsia" w:ascii="宋体" w:hAnsi="宋体" w:cs="宋体"/>
                <w:bCs/>
                <w:iCs/>
              </w:rPr>
              <w:sym w:font="Wingdings 2" w:char="00A3"/>
            </w:r>
            <w:r>
              <w:rPr>
                <w:rFonts w:hint="eastAsia" w:ascii="宋体" w:hAnsi="宋体" w:cs="宋体"/>
              </w:rPr>
              <w:t>路演活动</w:t>
            </w:r>
          </w:p>
          <w:p w14:paraId="28D0BA6E">
            <w:pPr>
              <w:tabs>
                <w:tab w:val="left" w:pos="3045"/>
                <w:tab w:val="center" w:pos="3199"/>
              </w:tabs>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现场参观</w:t>
            </w:r>
            <w:r>
              <w:rPr>
                <w:rFonts w:hint="eastAsia" w:ascii="宋体" w:hAnsi="宋体" w:cs="宋体"/>
                <w:bCs/>
                <w:iCs/>
              </w:rPr>
              <w:tab/>
            </w:r>
          </w:p>
          <w:p w14:paraId="7A32AE5A">
            <w:pPr>
              <w:tabs>
                <w:tab w:val="center" w:pos="3199"/>
              </w:tabs>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 xml:space="preserve">其他 </w:t>
            </w:r>
          </w:p>
        </w:tc>
      </w:tr>
      <w:tr w14:paraId="612B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top"/>
          </w:tcPr>
          <w:p w14:paraId="2005EA7A">
            <w:pPr>
              <w:rPr>
                <w:rFonts w:hint="eastAsia" w:ascii="宋体" w:hAnsi="宋体" w:cs="宋体"/>
                <w:b/>
                <w:bCs/>
                <w:iCs/>
              </w:rPr>
            </w:pPr>
            <w:r>
              <w:rPr>
                <w:rFonts w:hint="eastAsia" w:ascii="宋体" w:hAnsi="宋体" w:cs="宋体"/>
                <w:b/>
                <w:bCs/>
                <w:iCs/>
              </w:rPr>
              <w:t>参与单位名称及人员姓名</w:t>
            </w:r>
          </w:p>
        </w:tc>
        <w:tc>
          <w:tcPr>
            <w:tcW w:w="7906" w:type="dxa"/>
            <w:noWrap w:val="0"/>
            <w:vAlign w:val="top"/>
          </w:tcPr>
          <w:p w14:paraId="3C36571C">
            <w:pPr>
              <w:spacing w:line="480" w:lineRule="atLeast"/>
              <w:rPr>
                <w:rFonts w:hint="default" w:ascii="宋体" w:hAnsi="宋体" w:eastAsia="宋体" w:cs="宋体"/>
                <w:bCs/>
                <w:iCs/>
                <w:lang w:val="en-US" w:eastAsia="zh-CN"/>
              </w:rPr>
            </w:pPr>
            <w:r>
              <w:rPr>
                <w:rFonts w:hint="eastAsia" w:ascii="宋体" w:hAnsi="宋体" w:cs="宋体"/>
                <w:bCs/>
                <w:iCs/>
                <w:lang w:val="en-US" w:eastAsia="zh-CN"/>
              </w:rPr>
              <w:t>市场投资者</w:t>
            </w:r>
          </w:p>
        </w:tc>
      </w:tr>
      <w:tr w14:paraId="05AA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5" w:type="dxa"/>
            <w:noWrap w:val="0"/>
            <w:vAlign w:val="top"/>
          </w:tcPr>
          <w:p w14:paraId="006FE836">
            <w:pPr>
              <w:spacing w:line="480" w:lineRule="atLeast"/>
              <w:rPr>
                <w:rFonts w:hint="eastAsia" w:ascii="宋体" w:hAnsi="宋体" w:cs="宋体"/>
                <w:b/>
                <w:bCs/>
                <w:iCs/>
              </w:rPr>
            </w:pPr>
            <w:r>
              <w:rPr>
                <w:rFonts w:hint="eastAsia" w:ascii="宋体" w:hAnsi="宋体" w:cs="宋体"/>
                <w:b/>
                <w:bCs/>
                <w:iCs/>
              </w:rPr>
              <w:t>时间</w:t>
            </w:r>
          </w:p>
        </w:tc>
        <w:tc>
          <w:tcPr>
            <w:tcW w:w="7906" w:type="dxa"/>
            <w:noWrap w:val="0"/>
            <w:vAlign w:val="top"/>
          </w:tcPr>
          <w:p w14:paraId="379CE501">
            <w:pPr>
              <w:spacing w:line="480" w:lineRule="atLeast"/>
              <w:rPr>
                <w:rFonts w:ascii="宋体" w:hAnsi="宋体" w:cs="宋体"/>
                <w:bCs/>
                <w:iCs/>
              </w:rPr>
            </w:pPr>
            <w:r>
              <w:rPr>
                <w:rFonts w:hint="eastAsia" w:ascii="宋体" w:hAnsi="宋体" w:cs="宋体"/>
                <w:bCs/>
                <w:iCs/>
              </w:rPr>
              <w:t>202</w:t>
            </w:r>
            <w:r>
              <w:rPr>
                <w:rFonts w:hint="default" w:ascii="宋体" w:hAnsi="宋体" w:cs="宋体"/>
                <w:bCs/>
                <w:iCs/>
                <w:lang w:val="en-US"/>
              </w:rPr>
              <w:t>4</w:t>
            </w:r>
            <w:r>
              <w:rPr>
                <w:rFonts w:hint="eastAsia" w:ascii="宋体" w:hAnsi="宋体" w:cs="宋体"/>
                <w:bCs/>
                <w:iCs/>
              </w:rPr>
              <w:t>年</w:t>
            </w:r>
            <w:r>
              <w:rPr>
                <w:rFonts w:hint="eastAsia" w:ascii="宋体" w:hAnsi="宋体" w:cs="宋体"/>
                <w:bCs/>
                <w:iCs/>
                <w:lang w:val="en-US" w:eastAsia="zh-CN"/>
              </w:rPr>
              <w:t>11</w:t>
            </w:r>
            <w:r>
              <w:rPr>
                <w:rFonts w:hint="eastAsia" w:ascii="宋体" w:hAnsi="宋体" w:cs="宋体"/>
                <w:bCs/>
                <w:iCs/>
              </w:rPr>
              <w:t>月</w:t>
            </w:r>
            <w:r>
              <w:rPr>
                <w:rFonts w:hint="eastAsia" w:ascii="宋体" w:hAnsi="宋体" w:cs="宋体"/>
                <w:bCs/>
                <w:iCs/>
                <w:lang w:val="en-US" w:eastAsia="zh-CN"/>
              </w:rPr>
              <w:t>29</w:t>
            </w:r>
            <w:r>
              <w:rPr>
                <w:rFonts w:hint="eastAsia" w:ascii="宋体" w:hAnsi="宋体" w:cs="宋体"/>
                <w:bCs/>
                <w:iCs/>
              </w:rPr>
              <w:t>日下午1</w:t>
            </w:r>
            <w:r>
              <w:rPr>
                <w:rFonts w:hint="default" w:ascii="宋体" w:hAnsi="宋体" w:cs="宋体"/>
                <w:bCs/>
                <w:iCs/>
                <w:lang w:val="en-US"/>
              </w:rPr>
              <w:t>5</w:t>
            </w:r>
            <w:r>
              <w:rPr>
                <w:rFonts w:hint="eastAsia" w:ascii="宋体" w:hAnsi="宋体" w:cs="宋体"/>
                <w:bCs/>
                <w:iCs/>
              </w:rPr>
              <w:t>:00至1</w:t>
            </w:r>
            <w:r>
              <w:rPr>
                <w:rFonts w:hint="default" w:ascii="宋体" w:hAnsi="宋体" w:cs="宋体"/>
                <w:bCs/>
                <w:iCs/>
                <w:lang w:val="en-US"/>
              </w:rPr>
              <w:t>6</w:t>
            </w:r>
            <w:r>
              <w:rPr>
                <w:rFonts w:hint="eastAsia" w:ascii="宋体" w:hAnsi="宋体" w:cs="宋体"/>
                <w:bCs/>
                <w:iCs/>
              </w:rPr>
              <w:t>:00</w:t>
            </w:r>
          </w:p>
        </w:tc>
      </w:tr>
      <w:tr w14:paraId="6530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35" w:type="dxa"/>
            <w:noWrap w:val="0"/>
            <w:vAlign w:val="top"/>
          </w:tcPr>
          <w:p w14:paraId="56AE1B8C">
            <w:pPr>
              <w:spacing w:line="480" w:lineRule="atLeast"/>
              <w:rPr>
                <w:rFonts w:hint="eastAsia" w:ascii="宋体" w:hAnsi="宋体" w:cs="宋体"/>
                <w:b/>
                <w:bCs/>
                <w:iCs/>
              </w:rPr>
            </w:pPr>
            <w:r>
              <w:rPr>
                <w:rFonts w:hint="eastAsia" w:ascii="宋体" w:hAnsi="宋体" w:cs="宋体"/>
                <w:b/>
                <w:bCs/>
                <w:iCs/>
              </w:rPr>
              <w:t>地点</w:t>
            </w:r>
          </w:p>
        </w:tc>
        <w:tc>
          <w:tcPr>
            <w:tcW w:w="7906" w:type="dxa"/>
            <w:noWrap w:val="0"/>
            <w:vAlign w:val="top"/>
          </w:tcPr>
          <w:p w14:paraId="4C6BEAF8">
            <w:pPr>
              <w:spacing w:line="480" w:lineRule="atLeast"/>
              <w:rPr>
                <w:rFonts w:hint="default" w:ascii="宋体" w:hAnsi="宋体" w:eastAsia="宋体" w:cs="宋体"/>
                <w:bCs/>
                <w:iCs/>
                <w:lang w:val="en-US" w:eastAsia="zh-CN"/>
              </w:rPr>
            </w:pPr>
            <w:r>
              <w:rPr>
                <w:rFonts w:hint="eastAsia" w:ascii="宋体" w:hAnsi="宋体" w:cs="宋体"/>
                <w:bCs/>
                <w:iCs/>
                <w:lang w:val="en-US" w:eastAsia="zh-CN"/>
              </w:rPr>
              <w:t>上海证券交易所上证路演中心</w:t>
            </w:r>
          </w:p>
        </w:tc>
      </w:tr>
      <w:tr w14:paraId="1793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top"/>
          </w:tcPr>
          <w:p w14:paraId="64DE6FDA">
            <w:pPr>
              <w:spacing w:line="480" w:lineRule="atLeast"/>
              <w:rPr>
                <w:rFonts w:hint="eastAsia" w:ascii="宋体" w:hAnsi="宋体" w:cs="宋体"/>
                <w:b/>
                <w:bCs/>
                <w:iCs/>
              </w:rPr>
            </w:pPr>
            <w:r>
              <w:rPr>
                <w:rFonts w:hint="eastAsia" w:ascii="宋体" w:hAnsi="宋体" w:cs="宋体"/>
                <w:b/>
                <w:bCs/>
                <w:iCs/>
              </w:rPr>
              <w:t>公司接待人员姓名</w:t>
            </w:r>
          </w:p>
        </w:tc>
        <w:tc>
          <w:tcPr>
            <w:tcW w:w="7906" w:type="dxa"/>
            <w:noWrap w:val="0"/>
            <w:vAlign w:val="top"/>
          </w:tcPr>
          <w:p w14:paraId="793104CA">
            <w:pPr>
              <w:spacing w:line="240" w:lineRule="auto"/>
              <w:rPr>
                <w:rFonts w:hint="eastAsia" w:ascii="宋体" w:hAnsi="宋体" w:cs="宋体"/>
                <w:bCs/>
                <w:iCs/>
                <w:lang w:val="en-US" w:eastAsia="zh-CN"/>
              </w:rPr>
            </w:pPr>
            <w:r>
              <w:rPr>
                <w:rFonts w:hint="eastAsia" w:ascii="宋体" w:hAnsi="宋体" w:cs="宋体"/>
                <w:bCs/>
                <w:iCs/>
                <w:lang w:val="en-US" w:eastAsia="zh-CN"/>
              </w:rPr>
              <w:t>董事长兼总经理：黄海先生</w:t>
            </w:r>
          </w:p>
          <w:p w14:paraId="59C0CBD2">
            <w:pPr>
              <w:spacing w:line="240" w:lineRule="auto"/>
              <w:rPr>
                <w:rFonts w:hint="eastAsia" w:ascii="宋体" w:hAnsi="宋体" w:cs="宋体"/>
                <w:bCs/>
                <w:iCs/>
                <w:lang w:val="en-US" w:eastAsia="zh-CN"/>
              </w:rPr>
            </w:pPr>
            <w:r>
              <w:rPr>
                <w:rFonts w:hint="eastAsia" w:ascii="宋体" w:hAnsi="宋体" w:cs="宋体"/>
                <w:bCs/>
                <w:iCs/>
                <w:lang w:val="en-US" w:eastAsia="zh-CN"/>
              </w:rPr>
              <w:t>董事兼技术总监：刘忻先生</w:t>
            </w:r>
          </w:p>
          <w:p w14:paraId="25637893">
            <w:pPr>
              <w:spacing w:line="240" w:lineRule="auto"/>
              <w:rPr>
                <w:rFonts w:hint="default" w:ascii="宋体" w:hAnsi="宋体" w:eastAsia="宋体" w:cs="宋体"/>
                <w:bCs/>
                <w:iCs/>
                <w:lang w:val="en-US" w:eastAsia="zh-CN"/>
              </w:rPr>
            </w:pPr>
            <w:r>
              <w:rPr>
                <w:rFonts w:hint="eastAsia" w:ascii="宋体" w:hAnsi="宋体" w:cs="宋体"/>
                <w:bCs/>
                <w:iCs/>
                <w:lang w:val="en-US" w:eastAsia="zh-CN"/>
              </w:rPr>
              <w:t>董事会秘书：李淼淼先生</w:t>
            </w:r>
          </w:p>
          <w:p w14:paraId="53A2FCF4">
            <w:pPr>
              <w:spacing w:line="240" w:lineRule="auto"/>
              <w:rPr>
                <w:rFonts w:hint="eastAsia" w:ascii="宋体" w:hAnsi="宋体" w:cs="宋体"/>
                <w:bCs/>
                <w:iCs/>
                <w:lang w:val="en-US" w:eastAsia="zh-CN"/>
              </w:rPr>
            </w:pPr>
            <w:r>
              <w:rPr>
                <w:rFonts w:hint="eastAsia" w:ascii="宋体" w:hAnsi="宋体" w:cs="宋体"/>
                <w:bCs/>
                <w:iCs/>
                <w:lang w:val="en-US" w:eastAsia="zh-CN"/>
              </w:rPr>
              <w:t>财务总监：汤茜女士</w:t>
            </w:r>
          </w:p>
          <w:p w14:paraId="00A0D5AD">
            <w:pPr>
              <w:spacing w:line="240" w:lineRule="auto"/>
              <w:rPr>
                <w:rFonts w:hint="eastAsia" w:ascii="宋体" w:hAnsi="宋体" w:eastAsia="宋体" w:cs="宋体"/>
                <w:bCs/>
                <w:iCs/>
                <w:lang w:eastAsia="zh-CN"/>
              </w:rPr>
            </w:pPr>
            <w:r>
              <w:rPr>
                <w:rFonts w:hint="eastAsia" w:ascii="宋体" w:hAnsi="宋体" w:cs="宋体"/>
                <w:bCs/>
                <w:iCs/>
                <w:lang w:val="en-US" w:eastAsia="zh-CN"/>
              </w:rPr>
              <w:t xml:space="preserve">独立董事：陈翩女士 </w:t>
            </w:r>
          </w:p>
        </w:tc>
      </w:tr>
      <w:tr w14:paraId="2EFA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35" w:type="dxa"/>
            <w:noWrap w:val="0"/>
            <w:vAlign w:val="center"/>
          </w:tcPr>
          <w:p w14:paraId="7ADC5571">
            <w:pPr>
              <w:rPr>
                <w:rFonts w:hint="eastAsia" w:ascii="宋体" w:hAnsi="宋体" w:cs="宋体"/>
                <w:b/>
                <w:bCs/>
                <w:iCs/>
              </w:rPr>
            </w:pPr>
            <w:r>
              <w:rPr>
                <w:rFonts w:hint="eastAsia" w:ascii="宋体" w:hAnsi="宋体" w:cs="宋体"/>
                <w:b/>
                <w:bCs/>
                <w:iCs/>
              </w:rPr>
              <w:t>投资者关系活动主要内容介绍</w:t>
            </w:r>
          </w:p>
          <w:p w14:paraId="293991D4">
            <w:pPr>
              <w:spacing w:line="480" w:lineRule="atLeast"/>
              <w:rPr>
                <w:rFonts w:hint="eastAsia" w:ascii="宋体" w:hAnsi="宋体" w:cs="宋体"/>
                <w:b/>
                <w:bCs/>
                <w:iCs/>
              </w:rPr>
            </w:pPr>
          </w:p>
        </w:tc>
        <w:tc>
          <w:tcPr>
            <w:tcW w:w="7906" w:type="dxa"/>
            <w:noWrap w:val="0"/>
            <w:vAlign w:val="top"/>
          </w:tcPr>
          <w:p w14:paraId="542E0162">
            <w:pPr>
              <w:ind w:firstLine="420" w:firstLineChars="200"/>
              <w:rPr>
                <w:rFonts w:ascii="宋体" w:hAnsi="宋体" w:cs="宋体"/>
                <w:bCs/>
                <w:iCs/>
              </w:rPr>
            </w:pPr>
            <w:r>
              <w:rPr>
                <w:rFonts w:hint="eastAsia" w:ascii="宋体" w:hAnsi="宋体" w:cs="宋体"/>
                <w:bCs/>
                <w:iCs/>
              </w:rPr>
              <w:t>主要交流内容如下：</w:t>
            </w:r>
          </w:p>
          <w:p w14:paraId="15347558">
            <w:pPr>
              <w:ind w:firstLine="422" w:firstLineChars="200"/>
              <w:rPr>
                <w:rFonts w:hint="eastAsia"/>
                <w:b/>
                <w:bCs/>
                <w:kern w:val="0"/>
              </w:rPr>
            </w:pPr>
            <w:r>
              <w:rPr>
                <w:rFonts w:hint="eastAsia" w:ascii="宋体" w:hAnsi="宋体" w:cs="宋体"/>
                <w:b/>
                <w:bCs/>
                <w:kern w:val="0"/>
                <w:lang w:val="en-US" w:eastAsia="zh-CN"/>
              </w:rPr>
              <w:t>1</w:t>
            </w:r>
            <w:r>
              <w:rPr>
                <w:rFonts w:hint="eastAsia"/>
                <w:b/>
                <w:bCs/>
                <w:kern w:val="0"/>
                <w:lang w:val="en-US" w:eastAsia="zh-CN"/>
              </w:rPr>
              <w:t>、</w:t>
            </w:r>
            <w:r>
              <w:rPr>
                <w:rFonts w:hint="eastAsia"/>
                <w:b/>
                <w:bCs/>
                <w:kern w:val="0"/>
              </w:rPr>
              <w:t>请介绍一下公司的业务发展情况。</w:t>
            </w:r>
          </w:p>
          <w:p w14:paraId="162FF28E">
            <w:pPr>
              <w:numPr>
                <w:ilvl w:val="0"/>
                <w:numId w:val="0"/>
              </w:numPr>
              <w:ind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答：您好。公司紧紧围绕“行业+云”的发展战略，形成“聚焦于云，覆盖于行业”的产品体系，以丰富的产品线、先进的自研底层代码，加速在已布局的政务、公安、军工、轨交、金融等行业的深度融合。</w:t>
            </w:r>
          </w:p>
          <w:p w14:paraId="11015E33">
            <w:pPr>
              <w:numPr>
                <w:ilvl w:val="0"/>
                <w:numId w:val="0"/>
              </w:numPr>
              <w:ind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随着国家明确提出建设“数字中国”，各地政府和各大型企业数字化转型正在加速，公司的云产品在云计算与大数据融合、SDN软件定义网络等关键技术层面，以及多样国产芯片异构融合技术层面拥有的领先优势，为公司在政务、公安、军工、轨交等关键行业带来更大的发展空间。</w:t>
            </w:r>
          </w:p>
          <w:p w14:paraId="62B0AB79">
            <w:pPr>
              <w:numPr>
                <w:ilvl w:val="0"/>
                <w:numId w:val="0"/>
              </w:numPr>
              <w:ind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面对全球产业数字化升级和整体发展态势，国家明确提出建设“数字中国”，将信创产业纳入国家战略。在国产化软硬件产品提速，且国产生态日渐成熟的环境下，公司与信创生态中各厂商展开深度合作，已与包括CPU及芯片、服务器整机及相关配件、操作系统、数据库、终端、网络及安全系统设备等在内的60余家厂商完成产品互相兼容适配的认证，云平台产品已经支持国产飞腾、鲲鹏、龙芯、申威、海光等国产CPU和麒麟、UOS等国产操作系统。同时公司陆续与信创核心厂商达成合作关系，在资源对接、技术、产品、市场、销售等达成多层次的合作意向，共同推动信创产业生态的蓬勃发展，为网络强国和数字中国建设贡献企业智慧和力量，为自主可控国产替代的平滑过渡打下坚实基础。</w:t>
            </w:r>
          </w:p>
          <w:p w14:paraId="6EC33F72">
            <w:pPr>
              <w:numPr>
                <w:ilvl w:val="0"/>
                <w:numId w:val="0"/>
              </w:numPr>
              <w:ind w:firstLine="422" w:firstLineChars="200"/>
              <w:rPr>
                <w:rFonts w:hint="eastAsia" w:ascii="宋体" w:hAnsi="宋体" w:cs="宋体"/>
                <w:b/>
                <w:bCs/>
                <w:kern w:val="0"/>
              </w:rPr>
            </w:pPr>
            <w:r>
              <w:rPr>
                <w:rFonts w:hint="eastAsia" w:ascii="宋体" w:hAnsi="宋体" w:cs="宋体"/>
                <w:b/>
                <w:bCs/>
                <w:kern w:val="0"/>
                <w:sz w:val="21"/>
                <w:szCs w:val="21"/>
                <w:lang w:val="en-US" w:eastAsia="zh-CN" w:bidi="ar-SA"/>
              </w:rPr>
              <w:t>2</w:t>
            </w:r>
            <w:r>
              <w:rPr>
                <w:rFonts w:hint="eastAsia" w:ascii="宋体" w:hAnsi="宋体" w:eastAsia="宋体" w:cs="宋体"/>
                <w:b/>
                <w:bCs/>
                <w:kern w:val="0"/>
                <w:sz w:val="21"/>
                <w:szCs w:val="21"/>
                <w:lang w:val="en-US" w:eastAsia="zh-CN" w:bidi="ar-SA"/>
              </w:rPr>
              <w:t>、请说明公司本报告期内的营业收入同比变动原因。</w:t>
            </w:r>
          </w:p>
          <w:p w14:paraId="219C150D">
            <w:pPr>
              <w:ind w:firstLine="420" w:firstLineChars="200"/>
              <w:rPr>
                <w:rFonts w:hint="eastAsia" w:ascii="宋体" w:hAnsi="宋体" w:cs="宋体"/>
                <w:kern w:val="0"/>
              </w:rPr>
            </w:pPr>
            <w:r>
              <w:rPr>
                <w:rFonts w:hint="eastAsia" w:ascii="宋体" w:hAnsi="宋体" w:cs="宋体"/>
                <w:kern w:val="0"/>
              </w:rPr>
              <w:t>答：尊敬的投资者您好，受轨交和汽车行业项目验收减少影响本报告期的营业收入同比减少；在年初至报告期末已完成多地政府项目验收带来云解决方案业务收入增长，使得年初至报告期末的营业收入同比基本持平。</w:t>
            </w:r>
          </w:p>
          <w:p w14:paraId="57591F7A">
            <w:pPr>
              <w:ind w:firstLine="422" w:firstLineChars="200"/>
              <w:rPr>
                <w:rFonts w:hint="eastAsia" w:ascii="宋体" w:hAnsi="宋体" w:cs="宋体"/>
                <w:b/>
                <w:bCs/>
                <w:kern w:val="0"/>
              </w:rPr>
            </w:pPr>
            <w:r>
              <w:rPr>
                <w:rFonts w:hint="eastAsia" w:ascii="宋体" w:hAnsi="宋体" w:cs="宋体"/>
                <w:b/>
                <w:bCs/>
                <w:kern w:val="0"/>
                <w:lang w:val="en-US" w:eastAsia="zh-CN"/>
              </w:rPr>
              <w:t>3</w:t>
            </w:r>
            <w:r>
              <w:rPr>
                <w:rFonts w:hint="eastAsia" w:ascii="宋体" w:hAnsi="宋体" w:cs="宋体"/>
                <w:b/>
                <w:bCs/>
                <w:kern w:val="0"/>
              </w:rPr>
              <w:t>、请问公司核心竞争力主要有哪些？</w:t>
            </w:r>
          </w:p>
          <w:p w14:paraId="7DEDC7C0">
            <w:pPr>
              <w:ind w:firstLine="420" w:firstLineChars="200"/>
              <w:rPr>
                <w:rFonts w:hint="eastAsia" w:ascii="宋体" w:hAnsi="宋体" w:cs="宋体"/>
                <w:kern w:val="0"/>
              </w:rPr>
            </w:pPr>
            <w:r>
              <w:rPr>
                <w:rFonts w:hint="eastAsia" w:ascii="宋体" w:hAnsi="宋体" w:cs="宋体"/>
                <w:kern w:val="0"/>
              </w:rPr>
              <w:t>答：投资者您好，公司核心竞争力主要有以下方面：一是自主研发的核心技术优势，与业内云计算公司相比，公司是少有的私有云底层代码采用原始创新的研发方式，自主可控性更高，决定了公司的云代码安全可靠。二是私有云全栈产品优势和云集成服务优势，公司自主研发的云产品线包含了从IaaS基础设施层、PaaS平台层、DaaS数据层到SaaS软件层的全栈企业级云平台，已面向以轨交、政务、公安、军工等行业为代表的客户提供了全栈云的规划与实施服务。三是行业经验优势，公司行业信息化解决方案业务在轨交、电信、政府、汽车等行业深耕多年，积累了大量稳定优质的客户；公司积极开拓云计算业务，并在政府、公安、金融、教育、军工等领域积累了大量的新型标杆客户。四是客户资源优势，公司在贯彻“行业+云”发展战略过程中，深入理解并实现不同客户、不同行业以及不同体制下客户的共性与个性需求。谢谢。</w:t>
            </w:r>
          </w:p>
          <w:p w14:paraId="6D195C0A">
            <w:pPr>
              <w:ind w:firstLine="422" w:firstLineChars="200"/>
              <w:rPr>
                <w:rFonts w:hint="eastAsia" w:ascii="宋体" w:hAnsi="宋体" w:cs="宋体"/>
                <w:b/>
                <w:bCs/>
                <w:kern w:val="0"/>
              </w:rPr>
            </w:pPr>
            <w:r>
              <w:rPr>
                <w:rFonts w:hint="eastAsia" w:ascii="宋体" w:hAnsi="宋体" w:cs="宋体"/>
                <w:b/>
                <w:bCs/>
                <w:kern w:val="0"/>
                <w:lang w:val="en-US" w:eastAsia="zh-CN"/>
              </w:rPr>
              <w:t>4</w:t>
            </w:r>
            <w:r>
              <w:rPr>
                <w:rFonts w:hint="eastAsia" w:ascii="宋体" w:hAnsi="宋体" w:cs="宋体"/>
                <w:b/>
                <w:bCs/>
                <w:kern w:val="0"/>
              </w:rPr>
              <w:t>、了解到公司产品在不断升级，请问产品升级的方向主要是什么？</w:t>
            </w:r>
          </w:p>
          <w:p w14:paraId="6CE6EB51">
            <w:pPr>
              <w:ind w:firstLine="420" w:firstLineChars="200"/>
              <w:rPr>
                <w:rFonts w:hint="eastAsia" w:ascii="宋体" w:hAnsi="宋体" w:cs="宋体"/>
                <w:kern w:val="0"/>
              </w:rPr>
            </w:pPr>
            <w:r>
              <w:rPr>
                <w:rFonts w:hint="eastAsia" w:ascii="宋体" w:hAnsi="宋体" w:cs="宋体"/>
                <w:kern w:val="0"/>
              </w:rPr>
              <w:t>答：投资者您好，公司长期深耕云计算领域，一直重视产品研发，不断投入，持续创新，目前主要产品升级方向以前沿科技发展和行业共性技术为主，包括智能计算调度、边缘智能计算、人工智能以及行业领域的关键技术。谢谢。</w:t>
            </w:r>
          </w:p>
          <w:p w14:paraId="46ADF3E7">
            <w:pPr>
              <w:ind w:firstLine="422" w:firstLineChars="200"/>
              <w:rPr>
                <w:rFonts w:hint="eastAsia" w:ascii="宋体" w:hAnsi="宋体" w:cs="宋体"/>
                <w:b/>
                <w:bCs/>
                <w:kern w:val="0"/>
              </w:rPr>
            </w:pPr>
            <w:r>
              <w:rPr>
                <w:rFonts w:hint="eastAsia" w:ascii="宋体" w:hAnsi="宋体" w:cs="宋体"/>
                <w:b/>
                <w:bCs/>
                <w:kern w:val="0"/>
                <w:lang w:val="en-US" w:eastAsia="zh-CN"/>
              </w:rPr>
              <w:t>5</w:t>
            </w:r>
            <w:r>
              <w:rPr>
                <w:rFonts w:hint="eastAsia" w:ascii="宋体" w:hAnsi="宋体" w:cs="宋体"/>
                <w:b/>
                <w:bCs/>
                <w:kern w:val="0"/>
              </w:rPr>
              <w:t>、请问贵公司的产品优势具体是如何体现的？</w:t>
            </w:r>
          </w:p>
          <w:p w14:paraId="2DE29A1D">
            <w:pPr>
              <w:ind w:firstLine="420" w:firstLineChars="200"/>
              <w:rPr>
                <w:rFonts w:hint="eastAsia" w:ascii="宋体" w:hAnsi="宋体" w:cs="宋体"/>
                <w:kern w:val="0"/>
              </w:rPr>
            </w:pPr>
            <w:r>
              <w:rPr>
                <w:rFonts w:hint="eastAsia" w:ascii="宋体" w:hAnsi="宋体" w:cs="宋体"/>
                <w:kern w:val="0"/>
              </w:rPr>
              <w:t>答：投资者您好，与业内云计算公司相比，公司是少有的私有云底层代码采用原始创新的研发方式，自主可控性更高，决定了公司的云代码安全可靠；同时,公司的云产品技术路线 优先考虑硬件中立性和选型多样性，具备高兼容性，可支持几乎全部国产芯片和操作系统，有益于客户上云不受硬件限制，且能够较好利用原有基础设施资源。谢谢。</w:t>
            </w:r>
          </w:p>
          <w:p w14:paraId="748B0913">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6、请介绍一下公司的主要产品和服务。</w:t>
            </w:r>
          </w:p>
          <w:p w14:paraId="7ECE5591">
            <w:pPr>
              <w:ind w:firstLine="420" w:firstLineChars="200"/>
              <w:rPr>
                <w:rFonts w:hint="eastAsia" w:ascii="宋体" w:hAnsi="宋体" w:cs="宋体"/>
                <w:kern w:val="0"/>
                <w:lang w:val="en-US" w:eastAsia="zh-CN"/>
              </w:rPr>
            </w:pPr>
            <w:r>
              <w:rPr>
                <w:rFonts w:hint="eastAsia" w:ascii="宋体" w:hAnsi="宋体" w:cs="宋体"/>
                <w:kern w:val="0"/>
                <w:lang w:val="en-US" w:eastAsia="zh-CN"/>
              </w:rPr>
              <w:t>答：尊敬的投资者您好，公司的主要产品和服务分为两大类，一类是云计算业务，以核心产品BingoCloudOS、BingoInsight、BingoFuse和BingoLink为基础，在云计算生态中主要提供软件产品和服务，并根据业务实质的不同形成了云产品销售、云解决方案（包括定制开发、系统集成、咨询或运维服务）和云租赁业务；另一类是行业信息化业务，以自行开发的行业信息化系统及应用模块为基础，为客户提供信息系统和应用开发等服务，解决客户业务应用层面的需求，具体业务包括咨询、定制开发、系统集成或运维服务。</w:t>
            </w:r>
          </w:p>
          <w:p w14:paraId="0B820EE9">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7、面对复杂恶劣的外部环境，公司接下来如何维持相对稳定的业绩增长？</w:t>
            </w:r>
          </w:p>
          <w:p w14:paraId="2C8C6FCC">
            <w:pPr>
              <w:ind w:firstLine="420" w:firstLineChars="200"/>
              <w:rPr>
                <w:rFonts w:hint="default" w:ascii="宋体" w:hAnsi="宋体" w:cs="宋体"/>
                <w:b/>
                <w:bCs/>
                <w:kern w:val="0"/>
                <w:lang w:val="en-US" w:eastAsia="zh-CN"/>
              </w:rPr>
            </w:pPr>
            <w:r>
              <w:rPr>
                <w:rFonts w:hint="eastAsia" w:ascii="宋体" w:hAnsi="宋体" w:cs="宋体"/>
                <w:kern w:val="0"/>
                <w:lang w:val="en-US" w:eastAsia="zh-CN"/>
              </w:rPr>
              <w:t>答：您好。公司是国内专业的云计算及行业大数据服务提供商，面向轨交、政府、电信、军工等行业客户提供从IaaS基础设施层、PaaS平台层、DaaS数据层到SaaS软件层的全栈企业级云平台和信息化服务，并以此为基础，准备转型升级成为云计算及行业大数据为底座的人工智能公司。面对当前复杂的外部环境，公司将持续完善业务经营，并努力开拓新业务，实现公司和广大股东收益最大化。谢谢。</w:t>
            </w:r>
          </w:p>
        </w:tc>
      </w:tr>
      <w:tr w14:paraId="6C4A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center"/>
          </w:tcPr>
          <w:p w14:paraId="3ACFACC3">
            <w:pPr>
              <w:spacing w:line="480" w:lineRule="atLeast"/>
              <w:rPr>
                <w:rFonts w:hint="eastAsia" w:ascii="宋体" w:hAnsi="宋体" w:cs="宋体"/>
                <w:b/>
                <w:bCs/>
                <w:iCs/>
              </w:rPr>
            </w:pPr>
            <w:r>
              <w:rPr>
                <w:rFonts w:hint="eastAsia" w:ascii="宋体" w:hAnsi="宋体" w:cs="宋体"/>
                <w:b/>
                <w:bCs/>
                <w:iCs/>
              </w:rPr>
              <w:t>附件清单（如有）</w:t>
            </w:r>
          </w:p>
        </w:tc>
        <w:tc>
          <w:tcPr>
            <w:tcW w:w="7906" w:type="dxa"/>
            <w:noWrap w:val="0"/>
            <w:vAlign w:val="top"/>
          </w:tcPr>
          <w:p w14:paraId="1802A296">
            <w:pPr>
              <w:spacing w:line="480" w:lineRule="atLeast"/>
              <w:rPr>
                <w:rFonts w:hint="eastAsia" w:ascii="宋体" w:hAnsi="宋体" w:cs="宋体"/>
                <w:bCs/>
                <w:iCs/>
              </w:rPr>
            </w:pPr>
            <w:r>
              <w:rPr>
                <w:rFonts w:hint="eastAsia" w:ascii="宋体" w:hAnsi="宋体" w:cs="宋体"/>
                <w:bCs/>
                <w:iCs/>
              </w:rPr>
              <w:t>无</w:t>
            </w:r>
          </w:p>
        </w:tc>
      </w:tr>
      <w:tr w14:paraId="141C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center"/>
          </w:tcPr>
          <w:p w14:paraId="3593CB63">
            <w:pPr>
              <w:spacing w:line="480" w:lineRule="atLeast"/>
              <w:rPr>
                <w:rFonts w:hint="eastAsia" w:ascii="宋体" w:hAnsi="宋体" w:cs="宋体"/>
                <w:b/>
                <w:bCs/>
                <w:iCs/>
              </w:rPr>
            </w:pPr>
            <w:r>
              <w:rPr>
                <w:rFonts w:hint="eastAsia" w:ascii="宋体" w:hAnsi="宋体" w:cs="宋体"/>
                <w:b/>
                <w:bCs/>
                <w:iCs/>
              </w:rPr>
              <w:t>日期</w:t>
            </w:r>
          </w:p>
        </w:tc>
        <w:tc>
          <w:tcPr>
            <w:tcW w:w="7906" w:type="dxa"/>
            <w:noWrap w:val="0"/>
            <w:vAlign w:val="top"/>
          </w:tcPr>
          <w:p w14:paraId="7B4C36EB">
            <w:pPr>
              <w:spacing w:line="480" w:lineRule="atLeast"/>
              <w:rPr>
                <w:rFonts w:hint="eastAsia" w:ascii="宋体" w:hAnsi="宋体" w:cs="宋体"/>
                <w:bCs/>
                <w:iCs/>
              </w:rPr>
            </w:pPr>
            <w:r>
              <w:rPr>
                <w:rFonts w:hint="eastAsia" w:ascii="宋体" w:hAnsi="宋体" w:cs="宋体"/>
                <w:bCs/>
                <w:iCs/>
              </w:rPr>
              <w:t>202</w:t>
            </w:r>
            <w:r>
              <w:rPr>
                <w:rFonts w:hint="eastAsia" w:ascii="宋体" w:hAnsi="宋体" w:cs="宋体"/>
                <w:bCs/>
                <w:iCs/>
                <w:lang w:val="en-US" w:eastAsia="zh-CN"/>
              </w:rPr>
              <w:t>4</w:t>
            </w:r>
            <w:r>
              <w:rPr>
                <w:rFonts w:hint="eastAsia" w:ascii="宋体" w:hAnsi="宋体" w:cs="宋体"/>
                <w:bCs/>
                <w:iCs/>
              </w:rPr>
              <w:t>年</w:t>
            </w:r>
            <w:r>
              <w:rPr>
                <w:rFonts w:hint="eastAsia" w:ascii="宋体" w:hAnsi="宋体" w:cs="宋体"/>
                <w:bCs/>
                <w:iCs/>
                <w:lang w:val="en-US" w:eastAsia="zh-CN"/>
              </w:rPr>
              <w:t>11</w:t>
            </w:r>
            <w:r>
              <w:rPr>
                <w:rFonts w:hint="eastAsia" w:ascii="宋体" w:hAnsi="宋体" w:cs="宋体"/>
                <w:bCs/>
                <w:iCs/>
              </w:rPr>
              <w:t>月</w:t>
            </w:r>
            <w:r>
              <w:rPr>
                <w:rFonts w:hint="eastAsia" w:ascii="宋体" w:hAnsi="宋体" w:cs="宋体"/>
                <w:bCs/>
                <w:iCs/>
                <w:lang w:val="en-US" w:eastAsia="zh-CN"/>
              </w:rPr>
              <w:t>29</w:t>
            </w:r>
            <w:r>
              <w:rPr>
                <w:rFonts w:hint="eastAsia" w:ascii="宋体" w:hAnsi="宋体" w:cs="宋体"/>
                <w:bCs/>
                <w:iCs/>
              </w:rPr>
              <w:t>日</w:t>
            </w:r>
          </w:p>
        </w:tc>
      </w:tr>
    </w:tbl>
    <w:p w14:paraId="54E7DF67">
      <w:pPr>
        <w:rPr>
          <w:rFonts w:hint="eastAsia" w:ascii="宋体" w:hAnsi="宋体" w:cs="宋体"/>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Wingdings 2">
    <w:panose1 w:val="05020102010507070707"/>
    <w:charset w:val="02"/>
    <w:family w:val="auto"/>
    <w:pitch w:val="default"/>
    <w:sig w:usb0="00000000" w:usb1="00000000" w:usb2="00000000" w:usb3="00000000" w:csb0="80000000" w:csb1="0000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172A27"/>
    <w:rsid w:val="00026EE6"/>
    <w:rsid w:val="00027EAD"/>
    <w:rsid w:val="000C1E77"/>
    <w:rsid w:val="0014365F"/>
    <w:rsid w:val="00146945"/>
    <w:rsid w:val="00213CFF"/>
    <w:rsid w:val="00231F66"/>
    <w:rsid w:val="00245D08"/>
    <w:rsid w:val="002F2CCD"/>
    <w:rsid w:val="00310DDF"/>
    <w:rsid w:val="003111DD"/>
    <w:rsid w:val="00325D4F"/>
    <w:rsid w:val="00372169"/>
    <w:rsid w:val="00374640"/>
    <w:rsid w:val="003A31D2"/>
    <w:rsid w:val="003E2476"/>
    <w:rsid w:val="00461FA8"/>
    <w:rsid w:val="004633BC"/>
    <w:rsid w:val="00470448"/>
    <w:rsid w:val="00472A13"/>
    <w:rsid w:val="00493020"/>
    <w:rsid w:val="004B129F"/>
    <w:rsid w:val="004F08D2"/>
    <w:rsid w:val="00522E9A"/>
    <w:rsid w:val="005464FB"/>
    <w:rsid w:val="0057302D"/>
    <w:rsid w:val="00587CF0"/>
    <w:rsid w:val="005C2708"/>
    <w:rsid w:val="005F75FC"/>
    <w:rsid w:val="0060262A"/>
    <w:rsid w:val="006047F9"/>
    <w:rsid w:val="00641EB9"/>
    <w:rsid w:val="006F71F3"/>
    <w:rsid w:val="007046CA"/>
    <w:rsid w:val="0073717B"/>
    <w:rsid w:val="00755C80"/>
    <w:rsid w:val="0078746E"/>
    <w:rsid w:val="00796F1F"/>
    <w:rsid w:val="007A6DB5"/>
    <w:rsid w:val="007B4419"/>
    <w:rsid w:val="00816A3D"/>
    <w:rsid w:val="00845AA9"/>
    <w:rsid w:val="008D1914"/>
    <w:rsid w:val="00927E0B"/>
    <w:rsid w:val="0097399F"/>
    <w:rsid w:val="00975CF0"/>
    <w:rsid w:val="009C7BB8"/>
    <w:rsid w:val="009F71AF"/>
    <w:rsid w:val="00A7011F"/>
    <w:rsid w:val="00AB3AF8"/>
    <w:rsid w:val="00AB3D93"/>
    <w:rsid w:val="00B12D58"/>
    <w:rsid w:val="00B25CE6"/>
    <w:rsid w:val="00B52E12"/>
    <w:rsid w:val="00B650BE"/>
    <w:rsid w:val="00B765E5"/>
    <w:rsid w:val="00B82040"/>
    <w:rsid w:val="00B92876"/>
    <w:rsid w:val="00BB3B96"/>
    <w:rsid w:val="00C531EA"/>
    <w:rsid w:val="00C876D0"/>
    <w:rsid w:val="00CE24F2"/>
    <w:rsid w:val="00CF2E1B"/>
    <w:rsid w:val="00E076B4"/>
    <w:rsid w:val="00E83B7D"/>
    <w:rsid w:val="00EA32FD"/>
    <w:rsid w:val="00EE18BC"/>
    <w:rsid w:val="00F4135D"/>
    <w:rsid w:val="00F46C27"/>
    <w:rsid w:val="00F8511C"/>
    <w:rsid w:val="00F87FAD"/>
    <w:rsid w:val="00FC43A1"/>
    <w:rsid w:val="00FC6D44"/>
    <w:rsid w:val="010C3DC8"/>
    <w:rsid w:val="012D0A79"/>
    <w:rsid w:val="01F178BE"/>
    <w:rsid w:val="02151334"/>
    <w:rsid w:val="02742095"/>
    <w:rsid w:val="02D97DA8"/>
    <w:rsid w:val="02F74BED"/>
    <w:rsid w:val="03820F4E"/>
    <w:rsid w:val="04590FB1"/>
    <w:rsid w:val="04730898"/>
    <w:rsid w:val="04A610B0"/>
    <w:rsid w:val="04D71E1F"/>
    <w:rsid w:val="051D4572"/>
    <w:rsid w:val="058A4BA6"/>
    <w:rsid w:val="06840641"/>
    <w:rsid w:val="086168CD"/>
    <w:rsid w:val="0885360A"/>
    <w:rsid w:val="09534A47"/>
    <w:rsid w:val="099224C2"/>
    <w:rsid w:val="0A0E4884"/>
    <w:rsid w:val="0AC55D37"/>
    <w:rsid w:val="0C483CB5"/>
    <w:rsid w:val="0F0B02DB"/>
    <w:rsid w:val="11257469"/>
    <w:rsid w:val="117400AF"/>
    <w:rsid w:val="12441DAC"/>
    <w:rsid w:val="13E236AC"/>
    <w:rsid w:val="154410F5"/>
    <w:rsid w:val="15DE21ED"/>
    <w:rsid w:val="167F55F9"/>
    <w:rsid w:val="168C360A"/>
    <w:rsid w:val="16DF554C"/>
    <w:rsid w:val="17AF2468"/>
    <w:rsid w:val="18435038"/>
    <w:rsid w:val="18F656A8"/>
    <w:rsid w:val="1950115D"/>
    <w:rsid w:val="19873A3C"/>
    <w:rsid w:val="1A320C5D"/>
    <w:rsid w:val="1AFA6AA4"/>
    <w:rsid w:val="1B3F26C4"/>
    <w:rsid w:val="1BA210E4"/>
    <w:rsid w:val="1BC81323"/>
    <w:rsid w:val="1C197E29"/>
    <w:rsid w:val="1C62620B"/>
    <w:rsid w:val="1CD65C5D"/>
    <w:rsid w:val="1D3D6906"/>
    <w:rsid w:val="1D6F382A"/>
    <w:rsid w:val="1EF76602"/>
    <w:rsid w:val="1FCD6C57"/>
    <w:rsid w:val="20201EC2"/>
    <w:rsid w:val="21077518"/>
    <w:rsid w:val="214F03B6"/>
    <w:rsid w:val="218B6F16"/>
    <w:rsid w:val="22551E62"/>
    <w:rsid w:val="229D003B"/>
    <w:rsid w:val="23906366"/>
    <w:rsid w:val="23F45616"/>
    <w:rsid w:val="24197969"/>
    <w:rsid w:val="25174EE8"/>
    <w:rsid w:val="25364057"/>
    <w:rsid w:val="255156EE"/>
    <w:rsid w:val="271F52BE"/>
    <w:rsid w:val="27952A4F"/>
    <w:rsid w:val="27D74A6C"/>
    <w:rsid w:val="27DC0EF4"/>
    <w:rsid w:val="2802389F"/>
    <w:rsid w:val="28F66DF5"/>
    <w:rsid w:val="298869B1"/>
    <w:rsid w:val="29AD12B0"/>
    <w:rsid w:val="29B57485"/>
    <w:rsid w:val="2A2D713F"/>
    <w:rsid w:val="2A480BFF"/>
    <w:rsid w:val="2A6C21F8"/>
    <w:rsid w:val="2AA45E84"/>
    <w:rsid w:val="2BB45CC1"/>
    <w:rsid w:val="2C2A7BE1"/>
    <w:rsid w:val="2C55584A"/>
    <w:rsid w:val="2C98683F"/>
    <w:rsid w:val="2C9D3A40"/>
    <w:rsid w:val="2CA27EC8"/>
    <w:rsid w:val="2DC77CAA"/>
    <w:rsid w:val="2E013307"/>
    <w:rsid w:val="2EA11B8C"/>
    <w:rsid w:val="2EF8259B"/>
    <w:rsid w:val="2F9B6714"/>
    <w:rsid w:val="2FAD0DC5"/>
    <w:rsid w:val="2FBD105F"/>
    <w:rsid w:val="2FE92733"/>
    <w:rsid w:val="306E4AC4"/>
    <w:rsid w:val="309E3BD0"/>
    <w:rsid w:val="312B28BA"/>
    <w:rsid w:val="327B7499"/>
    <w:rsid w:val="32BB2F2A"/>
    <w:rsid w:val="33BB6692"/>
    <w:rsid w:val="341F6E91"/>
    <w:rsid w:val="350E5A19"/>
    <w:rsid w:val="35494579"/>
    <w:rsid w:val="3569702C"/>
    <w:rsid w:val="35A64FBD"/>
    <w:rsid w:val="36291668"/>
    <w:rsid w:val="36C41867"/>
    <w:rsid w:val="370046CE"/>
    <w:rsid w:val="372258C1"/>
    <w:rsid w:val="372D5A13"/>
    <w:rsid w:val="3795237D"/>
    <w:rsid w:val="379C5AA8"/>
    <w:rsid w:val="37EC1C56"/>
    <w:rsid w:val="38284F1B"/>
    <w:rsid w:val="3830653A"/>
    <w:rsid w:val="38D608C9"/>
    <w:rsid w:val="38EA3D40"/>
    <w:rsid w:val="39075B05"/>
    <w:rsid w:val="3A9F2E3C"/>
    <w:rsid w:val="3B5D0C70"/>
    <w:rsid w:val="3D4C5F1D"/>
    <w:rsid w:val="3D54710F"/>
    <w:rsid w:val="3E037C4A"/>
    <w:rsid w:val="3E0456CC"/>
    <w:rsid w:val="3E510A59"/>
    <w:rsid w:val="3ED24E20"/>
    <w:rsid w:val="3FBB6F9C"/>
    <w:rsid w:val="402E72DA"/>
    <w:rsid w:val="40C355D0"/>
    <w:rsid w:val="40FE4130"/>
    <w:rsid w:val="414C1CB1"/>
    <w:rsid w:val="41B525D9"/>
    <w:rsid w:val="41EA08B5"/>
    <w:rsid w:val="428D00BE"/>
    <w:rsid w:val="42C97723"/>
    <w:rsid w:val="43143AD4"/>
    <w:rsid w:val="446B764F"/>
    <w:rsid w:val="448004EE"/>
    <w:rsid w:val="45040343"/>
    <w:rsid w:val="460573F1"/>
    <w:rsid w:val="463566E4"/>
    <w:rsid w:val="46A401F3"/>
    <w:rsid w:val="484808A4"/>
    <w:rsid w:val="489354A0"/>
    <w:rsid w:val="48B0655A"/>
    <w:rsid w:val="48FA6149"/>
    <w:rsid w:val="49714403"/>
    <w:rsid w:val="4A4F0FFA"/>
    <w:rsid w:val="4B120D37"/>
    <w:rsid w:val="4BAB34B4"/>
    <w:rsid w:val="4BBA6DC8"/>
    <w:rsid w:val="4CBD47F8"/>
    <w:rsid w:val="4FC4026D"/>
    <w:rsid w:val="50D63849"/>
    <w:rsid w:val="51237D2E"/>
    <w:rsid w:val="5175356D"/>
    <w:rsid w:val="5381780D"/>
    <w:rsid w:val="53CD3850"/>
    <w:rsid w:val="53DF35F9"/>
    <w:rsid w:val="54085E92"/>
    <w:rsid w:val="55D810C6"/>
    <w:rsid w:val="56004D1E"/>
    <w:rsid w:val="56391F84"/>
    <w:rsid w:val="565B7F3A"/>
    <w:rsid w:val="565E4742"/>
    <w:rsid w:val="56D26C7F"/>
    <w:rsid w:val="58DF4B3E"/>
    <w:rsid w:val="59E81790"/>
    <w:rsid w:val="5A665C7C"/>
    <w:rsid w:val="5ACE7A76"/>
    <w:rsid w:val="5BDD2B45"/>
    <w:rsid w:val="5BE53F27"/>
    <w:rsid w:val="5C4A34F9"/>
    <w:rsid w:val="5C5C6C96"/>
    <w:rsid w:val="5C7A6246"/>
    <w:rsid w:val="5CB97030"/>
    <w:rsid w:val="5D2445C5"/>
    <w:rsid w:val="5E4010CF"/>
    <w:rsid w:val="5E685A72"/>
    <w:rsid w:val="5EAA3F5C"/>
    <w:rsid w:val="5F4A1E60"/>
    <w:rsid w:val="5FE44889"/>
    <w:rsid w:val="60474C82"/>
    <w:rsid w:val="61870E92"/>
    <w:rsid w:val="61953D13"/>
    <w:rsid w:val="639B0501"/>
    <w:rsid w:val="642751CA"/>
    <w:rsid w:val="677A5055"/>
    <w:rsid w:val="67AB1E1F"/>
    <w:rsid w:val="67E34238"/>
    <w:rsid w:val="67EC080C"/>
    <w:rsid w:val="686B6B5C"/>
    <w:rsid w:val="68806B01"/>
    <w:rsid w:val="699C2751"/>
    <w:rsid w:val="6A1D34CB"/>
    <w:rsid w:val="6A310A46"/>
    <w:rsid w:val="6BAE6CB9"/>
    <w:rsid w:val="6BDF20B2"/>
    <w:rsid w:val="6BFE4225"/>
    <w:rsid w:val="6C5C4853"/>
    <w:rsid w:val="6CBF405B"/>
    <w:rsid w:val="6D1A7EEA"/>
    <w:rsid w:val="6E442175"/>
    <w:rsid w:val="702D5518"/>
    <w:rsid w:val="708A296C"/>
    <w:rsid w:val="71BE49AA"/>
    <w:rsid w:val="72002E95"/>
    <w:rsid w:val="72A204A0"/>
    <w:rsid w:val="72B5398F"/>
    <w:rsid w:val="73303587"/>
    <w:rsid w:val="7388529A"/>
    <w:rsid w:val="74070972"/>
    <w:rsid w:val="7465302A"/>
    <w:rsid w:val="76F507BA"/>
    <w:rsid w:val="79A90CA8"/>
    <w:rsid w:val="7A815450"/>
    <w:rsid w:val="7B6E188D"/>
    <w:rsid w:val="7B74701A"/>
    <w:rsid w:val="7BA93D47"/>
    <w:rsid w:val="7C6543A4"/>
    <w:rsid w:val="7CDA1DE4"/>
    <w:rsid w:val="7DAA3D43"/>
    <w:rsid w:val="7DBD5C5A"/>
    <w:rsid w:val="7F7517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8">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8"/>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qFormat/>
    <w:uiPriority w:val="99"/>
    <w:pPr>
      <w:pBdr>
        <w:top w:val="single" w:color="CCCCCC" w:sz="6" w:space="7"/>
        <w:left w:val="single" w:color="CCCCCC" w:sz="6" w:space="7"/>
        <w:bottom w:val="single" w:color="CCCCCC" w:sz="6" w:space="7"/>
        <w:right w:val="single" w:color="CCCCCC" w:sz="6" w:space="7"/>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after="150" w:afterAutospacing="0" w:line="21" w:lineRule="atLeast"/>
      <w:ind w:left="0" w:right="0"/>
      <w:jc w:val="left"/>
    </w:pPr>
    <w:rPr>
      <w:rFonts w:hint="default" w:ascii="Consolas" w:hAnsi="Consolas" w:eastAsia="Consolas" w:cs="Consolas"/>
      <w:color w:val="333333"/>
      <w:kern w:val="0"/>
      <w:sz w:val="19"/>
      <w:szCs w:val="19"/>
      <w:lang w:val="en-US" w:eastAsia="zh-CN" w:bidi="ar"/>
    </w:rPr>
  </w:style>
  <w:style w:type="character" w:styleId="9">
    <w:name w:val="Strong"/>
    <w:qFormat/>
    <w:uiPriority w:val="22"/>
    <w:rPr>
      <w:b/>
      <w:bCs/>
    </w:rPr>
  </w:style>
  <w:style w:type="character" w:styleId="10">
    <w:name w:val="page number"/>
    <w:unhideWhenUsed/>
    <w:qFormat/>
    <w:uiPriority w:val="99"/>
  </w:style>
  <w:style w:type="character" w:styleId="11">
    <w:name w:val="FollowedHyperlink"/>
    <w:unhideWhenUsed/>
    <w:qFormat/>
    <w:uiPriority w:val="99"/>
    <w:rPr>
      <w:color w:val="333333"/>
      <w:u w:val="none"/>
    </w:rPr>
  </w:style>
  <w:style w:type="character" w:styleId="12">
    <w:name w:val="HTML Definition"/>
    <w:unhideWhenUsed/>
    <w:qFormat/>
    <w:uiPriority w:val="99"/>
    <w:rPr>
      <w:i/>
      <w:iCs/>
    </w:rPr>
  </w:style>
  <w:style w:type="character" w:styleId="13">
    <w:name w:val="Hyperlink"/>
    <w:unhideWhenUsed/>
    <w:qFormat/>
    <w:uiPriority w:val="99"/>
    <w:rPr>
      <w:color w:val="333333"/>
      <w:u w:val="none"/>
    </w:rPr>
  </w:style>
  <w:style w:type="character" w:styleId="14">
    <w:name w:val="HTML Code"/>
    <w:unhideWhenUsed/>
    <w:qFormat/>
    <w:uiPriority w:val="99"/>
    <w:rPr>
      <w:rFonts w:ascii="Consolas" w:hAnsi="Consolas" w:eastAsia="Consolas" w:cs="Consolas"/>
      <w:color w:val="C7254E"/>
      <w:sz w:val="21"/>
      <w:szCs w:val="21"/>
      <w:shd w:val="clear" w:color="auto" w:fill="F9F2F4"/>
    </w:rPr>
  </w:style>
  <w:style w:type="character" w:styleId="15">
    <w:name w:val="HTML Keyboard"/>
    <w:unhideWhenUsed/>
    <w:qFormat/>
    <w:uiPriority w:val="99"/>
    <w:rPr>
      <w:rFonts w:hint="default" w:ascii="Consolas" w:hAnsi="Consolas" w:eastAsia="Consolas" w:cs="Consolas"/>
      <w:color w:val="FFFFFF"/>
      <w:sz w:val="21"/>
      <w:szCs w:val="21"/>
      <w:shd w:val="clear" w:color="auto" w:fill="333333"/>
    </w:rPr>
  </w:style>
  <w:style w:type="character" w:styleId="16">
    <w:name w:val="HTML Sample"/>
    <w:unhideWhenUsed/>
    <w:qFormat/>
    <w:uiPriority w:val="99"/>
    <w:rPr>
      <w:rFonts w:hint="default" w:ascii="Consolas" w:hAnsi="Consolas" w:eastAsia="Consolas" w:cs="Consolas"/>
      <w:sz w:val="21"/>
      <w:szCs w:val="21"/>
    </w:rPr>
  </w:style>
  <w:style w:type="character" w:customStyle="1" w:styleId="17">
    <w:name w:val="标题 1 字符"/>
    <w:link w:val="2"/>
    <w:qFormat/>
    <w:uiPriority w:val="9"/>
    <w:rPr>
      <w:rFonts w:ascii="Times New Roman" w:hAnsi="Times New Roman"/>
      <w:b/>
      <w:bCs/>
      <w:kern w:val="44"/>
      <w:sz w:val="44"/>
      <w:szCs w:val="44"/>
    </w:rPr>
  </w:style>
  <w:style w:type="character" w:customStyle="1" w:styleId="18">
    <w:name w:val="批注框文本 字符"/>
    <w:link w:val="3"/>
    <w:semiHidden/>
    <w:qFormat/>
    <w:uiPriority w:val="99"/>
    <w:rPr>
      <w:kern w:val="2"/>
      <w:sz w:val="18"/>
      <w:szCs w:val="18"/>
    </w:rPr>
  </w:style>
  <w:style w:type="paragraph" w:styleId="19">
    <w:name w:val="List Paragraph"/>
    <w:basedOn w:val="1"/>
    <w:qFormat/>
    <w:uiPriority w:val="34"/>
    <w:pPr>
      <w:ind w:firstLine="420" w:firstLineChars="200"/>
    </w:pPr>
  </w:style>
  <w:style w:type="paragraph" w:customStyle="1" w:styleId="20">
    <w:name w:val="_Style 19"/>
    <w:unhideWhenUsed/>
    <w:qFormat/>
    <w:uiPriority w:val="99"/>
    <w:rPr>
      <w:rFonts w:ascii="Times New Roman" w:hAnsi="Times New Roman" w:eastAsia="宋体" w:cs="Times New Roman"/>
      <w:kern w:val="2"/>
      <w:sz w:val="21"/>
      <w:szCs w:val="21"/>
      <w:lang w:val="en-US" w:eastAsia="zh-CN" w:bidi="ar-SA"/>
    </w:rPr>
  </w:style>
  <w:style w:type="character" w:customStyle="1" w:styleId="21">
    <w:name w:val="hover"/>
    <w:qFormat/>
    <w:uiPriority w:val="0"/>
    <w:rPr>
      <w:color w:val="FFFFFF"/>
    </w:rPr>
  </w:style>
  <w:style w:type="character" w:customStyle="1" w:styleId="22">
    <w:name w:val="hover1"/>
    <w:qFormat/>
    <w:uiPriority w:val="0"/>
    <w:rPr>
      <w:color w:val="003780"/>
    </w:rPr>
  </w:style>
  <w:style w:type="character" w:customStyle="1" w:styleId="23">
    <w:name w:val="hover2"/>
    <w:qFormat/>
    <w:uiPriority w:val="0"/>
    <w:rPr>
      <w:color w:val="FFFFFF"/>
    </w:rPr>
  </w:style>
  <w:style w:type="character" w:customStyle="1" w:styleId="24">
    <w:name w:val="hover3"/>
    <w:qFormat/>
    <w:uiPriority w:val="0"/>
    <w:rPr>
      <w:color w:val="0037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2930</Words>
  <Characters>3129</Characters>
  <Lines>14</Lines>
  <Paragraphs>4</Paragraphs>
  <TotalTime>43</TotalTime>
  <ScaleCrop>false</ScaleCrop>
  <LinksUpToDate>false</LinksUpToDate>
  <CharactersWithSpaces>3200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2015-01-21T07:43:00Z</dcterms:created>
  <dc:creator>RDLY</dc:creator>
  <cp:lastModifiedBy>辛希</cp:lastModifiedBy>
  <dcterms:modified xsi:type="dcterms:W3CDTF">2024-11-29T08:11:36Z</dcterms:modified>
  <dc:title>证券代码：002192                            证券简称：路翔股份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92A06053E54946ED863C27A7D4DB3815_13</vt:lpwstr>
  </property>
</Properties>
</file>