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52"/>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路演活动</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bCs/>
                <w:iCs/>
                <w:color w:val="000000"/>
                <w:sz w:val="24"/>
                <w:lang w:val="en-GB" w:eastAsia="zh-CN"/>
              </w:rPr>
              <w:t>线上参会的</w:t>
            </w:r>
            <w:r>
              <w:rPr>
                <w:rFonts w:hint="eastAsia" w:ascii="Times New Roman" w:hAnsi="Times New Roman" w:eastAsia="宋体"/>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hint="default" w:ascii="Times New Roman" w:hAnsi="Times New Roman" w:eastAsia="宋体"/>
                <w:sz w:val="24"/>
                <w:szCs w:val="24"/>
                <w:lang w:val="en-US" w:eastAsia="zh-CN"/>
              </w:rPr>
            </w:pP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年</w:t>
            </w:r>
            <w:r>
              <w:rPr>
                <w:rFonts w:hint="eastAsia"/>
                <w:sz w:val="24"/>
                <w:szCs w:val="24"/>
                <w:lang w:val="en-US" w:eastAsia="zh-CN"/>
              </w:rPr>
              <w:t>12</w:t>
            </w:r>
            <w:r>
              <w:rPr>
                <w:rFonts w:hint="eastAsia" w:ascii="Times New Roman" w:hAnsi="Times New Roman" w:eastAsia="宋体"/>
                <w:sz w:val="24"/>
                <w:szCs w:val="24"/>
              </w:rPr>
              <w:t>月</w:t>
            </w:r>
            <w:r>
              <w:rPr>
                <w:rFonts w:hint="eastAsia"/>
                <w:sz w:val="24"/>
                <w:szCs w:val="24"/>
                <w:lang w:val="en-US" w:eastAsia="zh-CN"/>
              </w:rPr>
              <w:t>3</w:t>
            </w:r>
            <w:r>
              <w:rPr>
                <w:rFonts w:ascii="Times New Roman" w:hAnsi="Times New Roman" w:eastAsia="宋体"/>
                <w:sz w:val="24"/>
                <w:szCs w:val="24"/>
              </w:rPr>
              <w:t>日</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周</w:t>
            </w:r>
            <w:r>
              <w:rPr>
                <w:rFonts w:hint="eastAsia"/>
                <w:sz w:val="24"/>
                <w:szCs w:val="24"/>
                <w:lang w:val="en-US" w:eastAsia="zh-CN"/>
              </w:rPr>
              <w:t>二</w:t>
            </w:r>
            <w:r>
              <w:rPr>
                <w:rFonts w:hint="eastAsia" w:ascii="Times New Roman" w:hAnsi="Times New Roman" w:eastAsia="宋体"/>
                <w:sz w:val="24"/>
                <w:szCs w:val="24"/>
                <w:lang w:val="en-US" w:eastAsia="zh-CN"/>
              </w:rPr>
              <w:t>）1</w:t>
            </w:r>
            <w:r>
              <w:rPr>
                <w:rFonts w:hint="eastAsia"/>
                <w:sz w:val="24"/>
                <w:szCs w:val="24"/>
                <w:lang w:val="en-US" w:eastAsia="zh-CN"/>
              </w:rPr>
              <w:t>5</w:t>
            </w:r>
            <w:r>
              <w:rPr>
                <w:rFonts w:hint="eastAsia" w:ascii="Times New Roman" w:hAnsi="Times New Roman" w:eastAsia="宋体"/>
                <w:sz w:val="24"/>
                <w:szCs w:val="24"/>
                <w:lang w:val="en-US" w:eastAsia="zh-CN"/>
              </w:rPr>
              <w:t>：00-1</w:t>
            </w:r>
            <w:r>
              <w:rPr>
                <w:rFonts w:hint="eastAsia"/>
                <w:sz w:val="24"/>
                <w:szCs w:val="24"/>
                <w:lang w:val="en-US" w:eastAsia="zh-CN"/>
              </w:rPr>
              <w:t>6</w:t>
            </w:r>
            <w:r>
              <w:rPr>
                <w:rFonts w:hint="eastAsia" w:ascii="Times New Roman" w:hAnsi="Times New Roman" w:eastAsia="宋体"/>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上海证券交易所上证路演中心（http://roadshow.sseinfo.com/）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董事长、总经理  竺兆江</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传音控股  财务负责人  肖永辉 </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传音控股</w:t>
            </w:r>
            <w:r>
              <w:rPr>
                <w:rFonts w:hint="eastAsia" w:ascii="Times New Roman" w:hAnsi="Times New Roman" w:eastAsia="宋体"/>
                <w:sz w:val="24"/>
                <w:szCs w:val="24"/>
                <w:lang w:val="en-US" w:eastAsia="zh-CN"/>
              </w:rPr>
              <w:t xml:space="preserve">  独立董事  张怀雷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pStyle w:val="32"/>
              <w:adjustRightInd w:val="0"/>
              <w:snapToGrid w:val="0"/>
              <w:spacing w:before="156" w:beforeLines="50"/>
              <w:ind w:firstLine="480" w:firstLineChars="200"/>
              <w:jc w:val="both"/>
              <w:rPr>
                <w:rFonts w:hint="eastAsia"/>
                <w:b/>
                <w:bCs/>
                <w:lang w:val="en-US" w:eastAsia="zh-CN"/>
              </w:rPr>
            </w:pPr>
            <w:r>
              <w:rPr>
                <w:rFonts w:hint="eastAsia"/>
                <w:b w:val="0"/>
                <w:bCs w:val="0"/>
                <w:lang w:val="en-US" w:eastAsia="zh-CN"/>
              </w:rPr>
              <w:t>2024年12</w:t>
            </w:r>
            <w:r>
              <w:rPr>
                <w:rFonts w:hint="eastAsia" w:ascii="Times New Roman" w:hAnsi="Times New Roman" w:eastAsia="宋体"/>
                <w:b w:val="0"/>
                <w:bCs w:val="0"/>
              </w:rPr>
              <w:t>月</w:t>
            </w:r>
            <w:r>
              <w:rPr>
                <w:rFonts w:hint="eastAsia"/>
                <w:b w:val="0"/>
                <w:bCs w:val="0"/>
                <w:lang w:val="en-US" w:eastAsia="zh-CN"/>
              </w:rPr>
              <w:t>3</w:t>
            </w:r>
            <w:r>
              <w:rPr>
                <w:rFonts w:hint="eastAsia" w:ascii="Times New Roman" w:hAnsi="Times New Roman" w:eastAsia="宋体"/>
                <w:b w:val="0"/>
                <w:bCs w:val="0"/>
              </w:rPr>
              <w:t>日，</w:t>
            </w:r>
            <w:r>
              <w:rPr>
                <w:rFonts w:hint="eastAsia" w:ascii="Times New Roman" w:hAnsi="Times New Roman" w:eastAsia="宋体"/>
                <w:b w:val="0"/>
                <w:bCs w:val="0"/>
                <w:lang w:val="en-US" w:eastAsia="zh-CN"/>
              </w:rPr>
              <w:t>传音控股</w:t>
            </w:r>
            <w:r>
              <w:rPr>
                <w:rFonts w:hint="eastAsia" w:ascii="Times New Roman" w:hAnsi="Times New Roman" w:eastAsia="宋体"/>
                <w:b w:val="0"/>
                <w:bCs w:val="0"/>
              </w:rPr>
              <w:t>202</w:t>
            </w:r>
            <w:r>
              <w:rPr>
                <w:rFonts w:hint="eastAsia"/>
                <w:b w:val="0"/>
                <w:bCs w:val="0"/>
                <w:lang w:val="en-US" w:eastAsia="zh-CN"/>
              </w:rPr>
              <w:t>4年第三季度</w:t>
            </w:r>
            <w:r>
              <w:rPr>
                <w:rFonts w:hint="eastAsia" w:ascii="Times New Roman" w:hAnsi="Times New Roman" w:eastAsia="宋体"/>
                <w:b w:val="0"/>
                <w:bCs w:val="0"/>
              </w:rPr>
              <w:t>业绩说明会在上证路演平台线上</w:t>
            </w:r>
            <w:r>
              <w:rPr>
                <w:rFonts w:hint="eastAsia" w:ascii="Times New Roman" w:hAnsi="Times New Roman" w:eastAsia="宋体"/>
                <w:b w:val="0"/>
                <w:bCs w:val="0"/>
                <w:lang w:val="en-US" w:eastAsia="zh-CN"/>
              </w:rPr>
              <w:t>召开</w:t>
            </w:r>
            <w:r>
              <w:rPr>
                <w:rFonts w:hint="eastAsia" w:ascii="Times New Roman" w:hAnsi="Times New Roman" w:eastAsia="宋体"/>
                <w:b w:val="0"/>
                <w:bCs w:val="0"/>
              </w:rPr>
              <w:t>。</w:t>
            </w:r>
          </w:p>
          <w:p>
            <w:pPr>
              <w:pStyle w:val="32"/>
              <w:numPr>
                <w:ilvl w:val="0"/>
                <w:numId w:val="0"/>
              </w:numPr>
              <w:adjustRightInd w:val="0"/>
              <w:snapToGrid w:val="0"/>
              <w:spacing w:before="156" w:beforeLines="50"/>
              <w:jc w:val="both"/>
              <w:rPr>
                <w:rFonts w:hint="eastAsia" w:ascii="Times New Roman" w:hAnsi="Times New Roman" w:eastAsia="宋体"/>
                <w:b/>
                <w:bCs/>
                <w:sz w:val="24"/>
              </w:rPr>
            </w:pPr>
            <w:r>
              <w:rPr>
                <w:rFonts w:hint="eastAsia"/>
                <w:b/>
                <w:bCs/>
                <w:lang w:val="en-US" w:eastAsia="zh-CN"/>
              </w:rPr>
              <w:t>互动交流：</w:t>
            </w: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1、</w:t>
            </w:r>
            <w:r>
              <w:rPr>
                <w:rFonts w:hint="eastAsia" w:ascii="Times New Roman" w:hAnsi="Times New Roman" w:eastAsia="宋体"/>
                <w:b/>
                <w:bCs/>
                <w:sz w:val="24"/>
                <w:szCs w:val="24"/>
                <w:lang w:val="en-US" w:eastAsia="zh-CN"/>
              </w:rPr>
              <w:t>公司是否有拓展储能相关的业务？</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回答：尊敬的投资者您好，请以公司公开披露的信息为准，感谢您的关注！</w:t>
            </w:r>
          </w:p>
          <w:p>
            <w:pPr>
              <w:numPr>
                <w:ilvl w:val="0"/>
                <w:numId w:val="0"/>
              </w:numPr>
              <w:spacing w:line="360" w:lineRule="auto"/>
              <w:rPr>
                <w:rFonts w:hint="default" w:ascii="Times New Roman" w:hAnsi="Times New Roman" w:eastAsia="宋体"/>
                <w:sz w:val="24"/>
                <w:szCs w:val="24"/>
                <w:lang w:val="en-US" w:eastAsia="zh-CN"/>
              </w:rPr>
            </w:pPr>
          </w:p>
          <w:p>
            <w:pPr>
              <w:numPr>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2、（1）</w:t>
            </w:r>
            <w:r>
              <w:rPr>
                <w:rFonts w:hint="eastAsia" w:ascii="Times New Roman" w:hAnsi="Times New Roman" w:eastAsia="宋体"/>
                <w:b/>
                <w:bCs/>
                <w:sz w:val="24"/>
                <w:szCs w:val="24"/>
                <w:lang w:val="en-US" w:eastAsia="zh-CN"/>
              </w:rPr>
              <w:t>目前公司在手订单多少？产能如何？产能利用率多少</w:t>
            </w:r>
            <w:r>
              <w:rPr>
                <w:rFonts w:hint="eastAsia"/>
                <w:b/>
                <w:bCs/>
                <w:sz w:val="24"/>
                <w:szCs w:val="24"/>
                <w:lang w:val="en-US" w:eastAsia="zh-CN"/>
              </w:rPr>
              <w:t>？（2）</w:t>
            </w:r>
            <w:r>
              <w:rPr>
                <w:rFonts w:hint="eastAsia" w:ascii="Times New Roman" w:hAnsi="Times New Roman" w:eastAsia="宋体"/>
                <w:b/>
                <w:bCs/>
                <w:sz w:val="24"/>
                <w:szCs w:val="24"/>
                <w:lang w:val="en-US" w:eastAsia="zh-CN"/>
              </w:rPr>
              <w:t>今年以来，公司订单量多少？今年整体营收预期是多少？</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在全球设立多个生产制造中心，包括中国、埃塞俄比亚、印度、孟加拉国等。为满足不同国家消费者差异化的市场需求，公司搭建了多元化的柔性生产线，具有多品种、多批量的生产制造能力，目前公司产能利用率较高。公司前三季度营业收入为512.52亿元，感谢您的关注！</w:t>
            </w:r>
          </w:p>
          <w:p>
            <w:pPr>
              <w:numPr>
                <w:ilvl w:val="0"/>
                <w:numId w:val="0"/>
              </w:numPr>
              <w:spacing w:line="360" w:lineRule="auto"/>
              <w:rPr>
                <w:rFonts w:hint="default" w:ascii="Times New Roman" w:hAnsi="Times New Roman" w:eastAsia="宋体"/>
                <w:sz w:val="24"/>
                <w:szCs w:val="24"/>
                <w:lang w:val="en-US" w:eastAsia="zh-CN"/>
              </w:rPr>
            </w:pPr>
          </w:p>
          <w:p>
            <w:pPr>
              <w:numPr>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3、（1）</w:t>
            </w:r>
            <w:r>
              <w:rPr>
                <w:rFonts w:hint="eastAsia" w:ascii="Times New Roman" w:hAnsi="Times New Roman" w:eastAsia="宋体"/>
                <w:b/>
                <w:bCs/>
                <w:sz w:val="24"/>
                <w:szCs w:val="24"/>
                <w:lang w:val="en-US" w:eastAsia="zh-CN"/>
              </w:rPr>
              <w:t>如何看待公司所处行业目前竞争格局？未来可能有哪些发展趋势</w:t>
            </w:r>
            <w:r>
              <w:rPr>
                <w:rFonts w:hint="eastAsia"/>
                <w:b/>
                <w:bCs/>
                <w:sz w:val="24"/>
                <w:szCs w:val="24"/>
                <w:lang w:val="en-US" w:eastAsia="zh-CN"/>
              </w:rPr>
              <w:t>？（2）</w:t>
            </w:r>
            <w:r>
              <w:rPr>
                <w:rFonts w:hint="eastAsia" w:ascii="Times New Roman" w:hAnsi="Times New Roman" w:eastAsia="宋体"/>
                <w:b/>
                <w:bCs/>
                <w:sz w:val="24"/>
                <w:szCs w:val="24"/>
                <w:lang w:val="en-US" w:eastAsia="zh-CN"/>
              </w:rPr>
              <w:t>未来3年，公司业务规划是什么？研发重点有哪些？</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根据IDC数据统计，全球智能机市场2023年前十位的厂商合计份额约93%，市场集中度较高。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公司经营计划包括：推进手机业务稳健拓展，加强中高端产品突破；推进扩品类业务发展，逐步构建AIoT智能生态；构建移动互联生态，探索本地化商业模式 ；推进技术创新，不断创造差异化用户价值；打造卓越运营能力，提升经营效率。公司将进一步加大研发投入，在影像、游戏、AI、充电、基础体验等技术航道构建核心能力。感谢您的关注！</w:t>
            </w:r>
          </w:p>
          <w:p>
            <w:pPr>
              <w:numPr>
                <w:numId w:val="0"/>
              </w:numPr>
              <w:spacing w:line="360" w:lineRule="auto"/>
              <w:rPr>
                <w:rFonts w:hint="eastAsia"/>
                <w:b/>
                <w:bCs/>
                <w:sz w:val="24"/>
                <w:szCs w:val="24"/>
                <w:lang w:val="en-US" w:eastAsia="zh-CN"/>
              </w:rPr>
            </w:pPr>
          </w:p>
          <w:p>
            <w:pPr>
              <w:numPr>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4、</w:t>
            </w:r>
            <w:r>
              <w:rPr>
                <w:rFonts w:hint="eastAsia" w:ascii="Times New Roman" w:hAnsi="Times New Roman" w:eastAsia="宋体"/>
                <w:b/>
                <w:bCs/>
                <w:sz w:val="24"/>
                <w:szCs w:val="24"/>
                <w:lang w:val="en-US" w:eastAsia="zh-CN"/>
              </w:rPr>
              <w:t>公司今年第三季度毛利率多少？同、环比情况如何？原因是？预计第四季度毛利率情况是否有改善？</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w:t>
            </w:r>
            <w:r>
              <w:rPr>
                <w:rFonts w:hint="eastAsia"/>
                <w:sz w:val="24"/>
                <w:szCs w:val="24"/>
                <w:lang w:eastAsia="zh-CN"/>
              </w:rPr>
              <w:t>：</w:t>
            </w:r>
            <w:r>
              <w:rPr>
                <w:rFonts w:hint="eastAsia" w:ascii="Times New Roman" w:hAnsi="Times New Roman" w:eastAsia="宋体"/>
                <w:sz w:val="24"/>
                <w:szCs w:val="24"/>
              </w:rPr>
              <w:t>尊敬的投资者您好，公司今年第三季度毛利率为21.72%。主要受市场竞争以及供应链成本综合影响，公司今年第三季度毛利率同比有所下降，但环比第二季度有所增长。公司毛利率受竞争格局、成本变化、公司价格策略等因素综合影响，未来我们会根据成本变化和市场竞争等动态做调整，保持合理的毛利率水平。感谢您的关注！</w:t>
            </w:r>
          </w:p>
          <w:p>
            <w:pPr>
              <w:spacing w:line="360" w:lineRule="auto"/>
              <w:ind w:firstLine="480" w:firstLineChars="200"/>
              <w:rPr>
                <w:rFonts w:hint="default" w:ascii="Times New Roman" w:hAnsi="Times New Roman" w:eastAsia="宋体"/>
                <w:sz w:val="24"/>
                <w:szCs w:val="24"/>
                <w:lang w:val="en-US" w:eastAsia="zh-CN"/>
              </w:rPr>
            </w:pPr>
          </w:p>
          <w:p>
            <w:pPr>
              <w:numPr>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5、</w:t>
            </w:r>
            <w:r>
              <w:rPr>
                <w:rFonts w:hint="eastAsia" w:ascii="Times New Roman" w:hAnsi="Times New Roman" w:eastAsia="宋体"/>
                <w:b/>
                <w:bCs/>
                <w:sz w:val="24"/>
                <w:szCs w:val="24"/>
                <w:lang w:val="en-US" w:eastAsia="zh-CN"/>
              </w:rPr>
              <w:t>请问公司领导两个问题：</w:t>
            </w:r>
            <w:r>
              <w:rPr>
                <w:rFonts w:hint="eastAsia"/>
                <w:b/>
                <w:bCs/>
                <w:sz w:val="24"/>
                <w:szCs w:val="24"/>
                <w:lang w:val="en-US" w:eastAsia="zh-CN"/>
              </w:rPr>
              <w:t>（</w:t>
            </w:r>
            <w:r>
              <w:rPr>
                <w:rFonts w:hint="eastAsia" w:ascii="Times New Roman" w:hAnsi="Times New Roman" w:eastAsia="宋体"/>
                <w:b/>
                <w:bCs/>
                <w:sz w:val="24"/>
                <w:szCs w:val="24"/>
                <w:lang w:val="en-US" w:eastAsia="zh-CN"/>
              </w:rPr>
              <w:t>1</w:t>
            </w:r>
            <w:r>
              <w:rPr>
                <w:rFonts w:hint="eastAsia"/>
                <w:b/>
                <w:bCs/>
                <w:sz w:val="24"/>
                <w:szCs w:val="24"/>
                <w:lang w:val="en-US" w:eastAsia="zh-CN"/>
              </w:rPr>
              <w:t>）</w:t>
            </w:r>
            <w:r>
              <w:rPr>
                <w:rFonts w:hint="eastAsia" w:ascii="Times New Roman" w:hAnsi="Times New Roman" w:eastAsia="宋体"/>
                <w:b/>
                <w:bCs/>
                <w:sz w:val="24"/>
                <w:szCs w:val="24"/>
                <w:lang w:val="en-US" w:eastAsia="zh-CN"/>
              </w:rPr>
              <w:t>2025年公司的重心是拓展市占率较低的东南亚、拉美、中东等市场，还是在市占率高的非洲等市场的产品品类，提升单品价值？</w:t>
            </w:r>
            <w:r>
              <w:rPr>
                <w:rFonts w:hint="eastAsia"/>
                <w:b/>
                <w:bCs/>
                <w:sz w:val="24"/>
                <w:szCs w:val="24"/>
                <w:lang w:val="en-US" w:eastAsia="zh-CN"/>
              </w:rPr>
              <w:t>（</w:t>
            </w:r>
            <w:r>
              <w:rPr>
                <w:rFonts w:hint="eastAsia" w:ascii="Times New Roman" w:hAnsi="Times New Roman" w:eastAsia="宋体"/>
                <w:b/>
                <w:bCs/>
                <w:sz w:val="24"/>
                <w:szCs w:val="24"/>
                <w:lang w:val="en-US" w:eastAsia="zh-CN"/>
              </w:rPr>
              <w:t>2</w:t>
            </w:r>
            <w:r>
              <w:rPr>
                <w:rFonts w:hint="eastAsia"/>
                <w:b/>
                <w:bCs/>
                <w:sz w:val="24"/>
                <w:szCs w:val="24"/>
                <w:lang w:val="en-US" w:eastAsia="zh-CN"/>
              </w:rPr>
              <w:t>）</w:t>
            </w:r>
            <w:r>
              <w:rPr>
                <w:rFonts w:hint="eastAsia" w:ascii="Times New Roman" w:hAnsi="Times New Roman" w:eastAsia="宋体"/>
                <w:b/>
                <w:bCs/>
                <w:sz w:val="24"/>
                <w:szCs w:val="24"/>
                <w:lang w:val="en-US" w:eastAsia="zh-CN"/>
              </w:rPr>
              <w:t>公司和高通的诉讼的进展情况，公司对诉讼结果的预期是什么结果？谢谢</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回答：尊敬的投资者您好，公司将继续构建非洲市场竞争优势，同时持续开拓新市场，稳步推进手机业务的长期发展；公司亦继续推进扩品类业务的健康发展，通过本地化</w:t>
            </w:r>
            <w:bookmarkStart w:id="0" w:name="_GoBack"/>
            <w:bookmarkEnd w:id="0"/>
            <w:r>
              <w:rPr>
                <w:rFonts w:hint="eastAsia" w:ascii="Times New Roman" w:hAnsi="Times New Roman" w:eastAsia="宋体"/>
                <w:sz w:val="24"/>
                <w:szCs w:val="24"/>
              </w:rPr>
              <w:t>商业模型打造和产品创新，为消费者提供多元的、互联互通的软硬件产品矩阵和体验；此外，移动互联业务依托公司手机流量持续深耕，为新兴市场用户提供优质的数字化产品和商业化解决方案。传音尊重第三方的知识产权，愿意遵循公平、合理和非歧视原则, 通过友好协商与专利权人达成知识产权许可协议。传音正在与专利权人展开专利谈判，在尊重他人知识产权的同时，推动在公平、合理和非歧视原则框架下确定合理的许可费，以实现包括专利权人和被许可人在内的产业链共赢，更好地满足广大新兴市场消费者的需求。感谢您的关注！</w:t>
            </w:r>
          </w:p>
          <w:p>
            <w:pPr>
              <w:numPr>
                <w:ilvl w:val="0"/>
                <w:numId w:val="0"/>
              </w:numPr>
              <w:spacing w:line="360" w:lineRule="auto"/>
              <w:rPr>
                <w:rFonts w:hint="default" w:ascii="Times New Roman" w:hAnsi="Times New Roman" w:eastAsia="宋体"/>
                <w:sz w:val="24"/>
                <w:szCs w:val="24"/>
                <w:lang w:val="en-US" w:eastAsia="zh-CN"/>
              </w:rPr>
            </w:pPr>
          </w:p>
          <w:p>
            <w:pPr>
              <w:numPr>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6、</w:t>
            </w:r>
            <w:r>
              <w:rPr>
                <w:rFonts w:hint="eastAsia" w:ascii="Times New Roman" w:hAnsi="Times New Roman" w:eastAsia="宋体"/>
                <w:b/>
                <w:bCs/>
                <w:sz w:val="24"/>
                <w:szCs w:val="24"/>
                <w:lang w:val="en-US" w:eastAsia="zh-CN"/>
              </w:rPr>
              <w:t>传音拥有完美的商业模式和互联网硬件及应用入口，</w:t>
            </w:r>
            <w:r>
              <w:rPr>
                <w:rFonts w:hint="eastAsia"/>
                <w:b/>
                <w:bCs/>
                <w:sz w:val="24"/>
                <w:szCs w:val="24"/>
                <w:lang w:val="en-US" w:eastAsia="zh-CN"/>
              </w:rPr>
              <w:t>尽</w:t>
            </w:r>
            <w:r>
              <w:rPr>
                <w:rFonts w:hint="eastAsia" w:ascii="Times New Roman" w:hAnsi="Times New Roman" w:eastAsia="宋体"/>
                <w:b/>
                <w:bCs/>
                <w:sz w:val="24"/>
                <w:szCs w:val="24"/>
                <w:lang w:val="en-US" w:eastAsia="zh-CN"/>
              </w:rPr>
              <w:t>早将生态圈流量进行收费变现</w:t>
            </w:r>
            <w:r>
              <w:rPr>
                <w:rFonts w:hint="eastAsia"/>
                <w:b/>
                <w:bCs/>
                <w:sz w:val="24"/>
                <w:szCs w:val="24"/>
                <w:lang w:val="en-US" w:eastAsia="zh-CN"/>
              </w:rPr>
              <w:t>，</w:t>
            </w:r>
            <w:r>
              <w:rPr>
                <w:rFonts w:hint="eastAsia" w:ascii="Times New Roman" w:hAnsi="Times New Roman" w:eastAsia="宋体"/>
                <w:b/>
                <w:bCs/>
                <w:sz w:val="24"/>
                <w:szCs w:val="24"/>
                <w:lang w:val="en-US" w:eastAsia="zh-CN"/>
              </w:rPr>
              <w:t>估值和</w:t>
            </w:r>
            <w:r>
              <w:rPr>
                <w:rFonts w:hint="eastAsia"/>
                <w:b/>
                <w:bCs/>
                <w:sz w:val="24"/>
                <w:szCs w:val="24"/>
                <w:lang w:val="en-US" w:eastAsia="zh-CN"/>
              </w:rPr>
              <w:t>市值</w:t>
            </w:r>
            <w:r>
              <w:rPr>
                <w:rFonts w:hint="eastAsia" w:ascii="Times New Roman" w:hAnsi="Times New Roman" w:eastAsia="宋体"/>
                <w:b/>
                <w:bCs/>
                <w:sz w:val="24"/>
                <w:szCs w:val="24"/>
                <w:lang w:val="en-US" w:eastAsia="zh-CN"/>
              </w:rPr>
              <w:t>应该是世界第一</w:t>
            </w:r>
            <w:r>
              <w:rPr>
                <w:rFonts w:hint="eastAsia"/>
                <w:b/>
                <w:bCs/>
                <w:sz w:val="24"/>
                <w:szCs w:val="24"/>
                <w:lang w:val="en-US" w:eastAsia="zh-CN"/>
              </w:rPr>
              <w:t>。</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回答：尊敬的投资者您好，公司会不断努力经营，回报广大投资人，感谢您的关注！</w:t>
            </w:r>
          </w:p>
          <w:p>
            <w:pPr>
              <w:numPr>
                <w:ilvl w:val="0"/>
                <w:numId w:val="0"/>
              </w:numPr>
              <w:spacing w:line="360" w:lineRule="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bCs/>
                <w:iCs/>
                <w:color w:val="000000"/>
                <w:sz w:val="24"/>
                <w:lang w:val="en-US" w:eastAsia="zh-CN"/>
              </w:rPr>
              <w:t>无</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3C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A15EE"/>
    <w:rsid w:val="1F364149"/>
    <w:rsid w:val="1F4D5F3F"/>
    <w:rsid w:val="1F8C5304"/>
    <w:rsid w:val="1FAA503E"/>
    <w:rsid w:val="1FCD20DB"/>
    <w:rsid w:val="1FDA3DD1"/>
    <w:rsid w:val="201255EF"/>
    <w:rsid w:val="2030732B"/>
    <w:rsid w:val="20A27E4D"/>
    <w:rsid w:val="20BD77E2"/>
    <w:rsid w:val="20F3560A"/>
    <w:rsid w:val="2115718C"/>
    <w:rsid w:val="217D561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413E60"/>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7D158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455136"/>
    <w:rsid w:val="375A4E6A"/>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8F47D0"/>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ED4C45"/>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4F5532"/>
    <w:rsid w:val="5B5E3FD0"/>
    <w:rsid w:val="5BAB34F9"/>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5EA7CCA"/>
    <w:rsid w:val="66313628"/>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241BFA"/>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366CB"/>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CF07E3"/>
    <w:rsid w:val="7C60541F"/>
    <w:rsid w:val="7C6A37B2"/>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2365</Words>
  <Characters>2558</Characters>
  <Lines>21</Lines>
  <Paragraphs>6</Paragraphs>
  <TotalTime>55</TotalTime>
  <ScaleCrop>false</ScaleCrop>
  <LinksUpToDate>false</LinksUpToDate>
  <CharactersWithSpaces>2679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2023-06-16T07:28:00Z</dcterms:created>
  <dc:creator>user</dc:creator>
  <cp:lastModifiedBy>江凤玲</cp:lastModifiedBy>
  <cp:lastPrinted>2012-11-19T01:56:00Z</cp:lastPrinted>
  <dcterms:modified xsi:type="dcterms:W3CDTF">2024-12-03T09:29:24Z</dcterms:modified>
  <dc:title>上海证券交易所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3D0AE988D7D7442B909D95988D0845A9</vt:lpwstr>
  </property>
</Properties>
</file>