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bookmarkStart w:id="0" w:name="_GoBack"/>
      <w:bookmarkEnd w:id="0"/>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52"/>
            </w:r>
            <w:r>
              <w:rPr>
                <w:rFonts w:hint="eastAsia" w:ascii="Times New Roman" w:hAnsi="Times New Roman" w:eastAsia="宋体"/>
                <w:sz w:val="24"/>
                <w:szCs w:val="24"/>
              </w:rPr>
              <w:t>其他</w:t>
            </w:r>
            <w:r>
              <w:rPr>
                <w:rFonts w:hint="eastAsia" w:ascii="Times New Roman" w:hAnsi="Times New Roman"/>
                <w:sz w:val="24"/>
                <w:szCs w:val="24"/>
                <w:lang w:val="en-US" w:eastAsia="zh-CN"/>
              </w:rPr>
              <w:t xml:space="preserve"> 2024年度深圳辖区上市公司集体接待日活动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bCs/>
                <w:iCs/>
                <w:color w:val="000000"/>
                <w:sz w:val="24"/>
                <w:lang w:val="en-GB" w:eastAsia="zh-CN"/>
              </w:rPr>
              <w:t>线上参会的</w:t>
            </w:r>
            <w:r>
              <w:rPr>
                <w:rFonts w:hint="eastAsia" w:ascii="Times New Roman" w:hAnsi="Times New Roman" w:eastAsia="宋体"/>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年</w:t>
            </w:r>
            <w:r>
              <w:rPr>
                <w:rFonts w:hint="eastAsia" w:ascii="Times New Roman" w:hAnsi="Times New Roman"/>
                <w:sz w:val="24"/>
                <w:szCs w:val="24"/>
                <w:lang w:val="en-US" w:eastAsia="zh-CN"/>
              </w:rPr>
              <w:t>12</w:t>
            </w:r>
            <w:r>
              <w:rPr>
                <w:rFonts w:hint="eastAsia" w:ascii="Times New Roman" w:hAnsi="Times New Roman" w:eastAsia="宋体"/>
                <w:sz w:val="24"/>
                <w:szCs w:val="24"/>
              </w:rPr>
              <w:t>月</w:t>
            </w:r>
            <w:r>
              <w:rPr>
                <w:rFonts w:hint="eastAsia" w:ascii="Times New Roman" w:hAnsi="Times New Roman"/>
                <w:sz w:val="24"/>
                <w:szCs w:val="24"/>
                <w:lang w:val="en-US" w:eastAsia="zh-CN"/>
              </w:rPr>
              <w:t>12</w:t>
            </w:r>
            <w:r>
              <w:rPr>
                <w:rFonts w:ascii="Times New Roman" w:hAnsi="Times New Roman" w:eastAsia="宋体"/>
                <w:sz w:val="24"/>
                <w:szCs w:val="24"/>
              </w:rPr>
              <w:t>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周</w:t>
            </w:r>
            <w:r>
              <w:rPr>
                <w:rFonts w:hint="eastAsia" w:ascii="Times New Roman" w:hAnsi="Times New Roman"/>
                <w:sz w:val="24"/>
                <w:szCs w:val="24"/>
                <w:lang w:val="en-US" w:eastAsia="zh-CN"/>
              </w:rPr>
              <w:t>四</w:t>
            </w:r>
            <w:r>
              <w:rPr>
                <w:rFonts w:hint="eastAsia" w:ascii="Times New Roman" w:hAnsi="Times New Roman" w:eastAsia="宋体"/>
                <w:sz w:val="24"/>
                <w:szCs w:val="24"/>
                <w:lang w:val="en-US" w:eastAsia="zh-CN"/>
              </w:rPr>
              <w:t>）1</w:t>
            </w:r>
            <w:r>
              <w:rPr>
                <w:rFonts w:hint="eastAsia" w:ascii="Times New Roman" w:hAnsi="Times New Roman"/>
                <w:sz w:val="24"/>
                <w:szCs w:val="24"/>
                <w:lang w:val="en-US" w:eastAsia="zh-CN"/>
              </w:rPr>
              <w:t>4</w:t>
            </w:r>
            <w:r>
              <w:rPr>
                <w:rFonts w:hint="eastAsia" w:ascii="Times New Roman" w:hAnsi="Times New Roman" w:eastAsia="宋体"/>
                <w:sz w:val="24"/>
                <w:szCs w:val="24"/>
                <w:lang w:val="en-US" w:eastAsia="zh-CN"/>
              </w:rPr>
              <w:t>：</w:t>
            </w:r>
            <w:r>
              <w:rPr>
                <w:rFonts w:hint="eastAsia" w:ascii="Times New Roman" w:hAnsi="Times New Roman"/>
                <w:sz w:val="24"/>
                <w:szCs w:val="24"/>
                <w:lang w:val="en-US" w:eastAsia="zh-CN"/>
              </w:rPr>
              <w:t>3</w:t>
            </w:r>
            <w:r>
              <w:rPr>
                <w:rFonts w:hint="eastAsia" w:ascii="Times New Roman" w:hAnsi="Times New Roman" w:eastAsia="宋体"/>
                <w:sz w:val="24"/>
                <w:szCs w:val="24"/>
                <w:lang w:val="en-US" w:eastAsia="zh-CN"/>
              </w:rPr>
              <w:t>0-1</w:t>
            </w:r>
            <w:r>
              <w:rPr>
                <w:rFonts w:hint="eastAsia" w:ascii="Times New Roman" w:hAnsi="Times New Roman"/>
                <w:sz w:val="24"/>
                <w:szCs w:val="24"/>
                <w:lang w:val="en-US" w:eastAsia="zh-CN"/>
              </w:rPr>
              <w:t>7</w:t>
            </w:r>
            <w:r>
              <w:rPr>
                <w:rFonts w:hint="eastAsia" w:ascii="Times New Roman" w:hAnsi="Times New Roman" w:eastAsia="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“全景路演”网站（http://rs.p5w.net）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hint="default" w:ascii="Times New Roman" w:hAnsi="Times New Roman" w:eastAsia="宋体"/>
                <w:sz w:val="24"/>
                <w:szCs w:val="24"/>
                <w:lang w:val="en-US" w:eastAsia="zh-CN"/>
              </w:rPr>
            </w:pPr>
            <w:r>
              <w:rPr>
                <w:rFonts w:hint="eastAsia"/>
                <w:sz w:val="24"/>
                <w:szCs w:val="24"/>
                <w:lang w:val="en-US" w:eastAsia="zh-CN"/>
              </w:rPr>
              <w:t>传音控股  投资者关系总监  梓轩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pStyle w:val="32"/>
              <w:numPr>
                <w:ilvl w:val="0"/>
                <w:numId w:val="0"/>
              </w:numPr>
              <w:adjustRightInd w:val="0"/>
              <w:snapToGrid w:val="0"/>
              <w:spacing w:before="156" w:beforeLines="50"/>
              <w:jc w:val="both"/>
              <w:rPr>
                <w:rFonts w:hint="eastAsia" w:ascii="Times New Roman" w:hAnsi="Times New Roman" w:eastAsia="宋体"/>
                <w:b/>
                <w:bCs/>
                <w:sz w:val="24"/>
              </w:rPr>
            </w:pPr>
            <w:r>
              <w:rPr>
                <w:rFonts w:hint="eastAsia" w:ascii="Times New Roman" w:hAnsi="Times New Roman"/>
                <w:b/>
                <w:bCs/>
                <w:lang w:val="en-US" w:eastAsia="zh-CN"/>
              </w:rPr>
              <w:t>互动交流：</w:t>
            </w: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1、</w:t>
            </w:r>
            <w:r>
              <w:rPr>
                <w:rFonts w:hint="eastAsia" w:ascii="Times New Roman" w:hAnsi="Times New Roman" w:eastAsia="宋体"/>
                <w:b/>
                <w:bCs/>
                <w:sz w:val="24"/>
                <w:szCs w:val="24"/>
                <w:lang w:val="en-US" w:eastAsia="zh-CN"/>
              </w:rPr>
              <w:t>公司目前非手机业务营收占比多少？这方面公司的发展计划如何？</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回答：尊敬的投资者您好，根据2024年半年报数据，公司非手机业务营收占比约7%。公司在非洲手机市场优势地位的基础上，继续加大力度、加快发展移动互联、扩品类等业务。感谢您的关注！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2、曾总，外界都说传音的发展模式像小米，我们如何寻求与小米的差异化？我们能成为像苹果一样的企业吗？</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回答：尊敬的投资者您好，公司致力于成为全球新兴市场消费者最喜爱的智能终端产品和移动互联服务提供商。公司秉持“Think Globally，Act Locally”的理念，致力于进行目标市场本地化产品规划和技术研发创新。公司在非洲手机市场优势地位的基础上，继续加大力度、加快发展移动互联、扩品类等业务。感谢您的关注！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eastAsia" w:ascii="Times New Roman" w:hAnsi="Times New Roman"/>
                <w:b/>
                <w:bCs/>
                <w:sz w:val="24"/>
                <w:szCs w:val="24"/>
                <w:lang w:val="en-US" w:eastAsia="zh-CN"/>
              </w:rPr>
            </w:pPr>
            <w:r>
              <w:rPr>
                <w:rFonts w:hint="default" w:ascii="Times New Roman" w:hAnsi="Times New Roman"/>
                <w:b/>
                <w:bCs/>
                <w:sz w:val="24"/>
                <w:szCs w:val="24"/>
                <w:lang w:val="en-US" w:eastAsia="zh-CN"/>
              </w:rPr>
              <w:t>3、曾总好，24年11月深圳市积极推进“十一条措施”鼓励并购重组，贵公司作为深圳辖区上市公司，计划如何积极响应？</w:t>
            </w:r>
          </w:p>
          <w:p>
            <w:pPr>
              <w:numPr>
                <w:ilvl w:val="0"/>
                <w:numId w:val="0"/>
              </w:num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rPr>
              <w:t>回答：</w:t>
            </w:r>
            <w:r>
              <w:rPr>
                <w:rFonts w:hint="default" w:ascii="Times New Roman" w:hAnsi="Times New Roman" w:eastAsia="宋体"/>
                <w:sz w:val="24"/>
                <w:szCs w:val="24"/>
                <w:lang w:val="en-US" w:eastAsia="zh-CN"/>
              </w:rPr>
              <w:t>尊敬的投资者您好，若公司后续有相关计划，将按照相关规定履行信息披露义务。感谢您对公司的建议和关注！</w:t>
            </w:r>
          </w:p>
          <w:p>
            <w:pPr>
              <w:numPr>
                <w:ilvl w:val="0"/>
                <w:numId w:val="0"/>
              </w:numPr>
              <w:spacing w:line="360" w:lineRule="auto"/>
              <w:ind w:firstLine="480" w:firstLineChars="200"/>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4、公司在提升销售、管理和研发团队的激励力度方面，具体采取了哪些措施，效果如何？</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传音提供有市场竞争力的薪酬回报，并通过多元化差异化的激励机制，吸引和保留公司核心人才。传音的差异化激励机制包括销售激励、虚拟项目激励、公司级重大突出贡献激励等短期激励；业绩单元激励、研发价值激励、管培生激励等中期激励和限制性股票、中长期激励基金等长期激励。感谢您的关注！</w:t>
            </w:r>
          </w:p>
          <w:p>
            <w:pPr>
              <w:pStyle w:val="57"/>
              <w:spacing w:line="460" w:lineRule="exact"/>
              <w:ind w:left="-2" w:leftChars="-1" w:firstLine="480"/>
              <w:rPr>
                <w:rFonts w:hint="default" w:ascii="Times New Roman" w:hAnsi="Times New Roman"/>
                <w:sz w:val="24"/>
                <w:szCs w:val="24"/>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5、传音控股未来5年战略业务是怎么规划的，公司第二曲线的方向和进展如何</w:t>
            </w:r>
            <w:r>
              <w:rPr>
                <w:rFonts w:hint="eastAsia"/>
                <w:b/>
                <w:bCs/>
                <w:sz w:val="24"/>
                <w:szCs w:val="24"/>
                <w:lang w:val="en-US" w:eastAsia="zh-CN"/>
              </w:rPr>
              <w:t>？</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致力于成为全球新兴市场消费者最喜爱的智能终端产品和移动互联服务提供商。公司在非洲手机市场优势地位的基础上，继续加大力度、加快发展移动互联、扩品类等业务。公司数码配件、家用电器继续多品牌发展策略，通过智能硬件品类生态模式的本地化探索，积极实施多元化战略布局，扩展满足新兴市场消费者需求的智能硬件新品类。感谢您的关注！</w:t>
            </w:r>
          </w:p>
          <w:p>
            <w:pPr>
              <w:pStyle w:val="57"/>
              <w:spacing w:line="460" w:lineRule="exact"/>
              <w:ind w:left="-2" w:leftChars="-1" w:firstLine="480"/>
              <w:rPr>
                <w:rFonts w:hint="default" w:ascii="Times New Roman" w:hAnsi="Times New Roman"/>
                <w:sz w:val="24"/>
                <w:szCs w:val="24"/>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6、在2024年上半年的营收增长主要由哪些市场和产品推动？</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持续打造非洲市场核心竞争力，保持非洲市场竞争优势，通过体系化能力加固护城河，进行数字化投入、渠道模式创新、零售店形象升级，同时推进本地化运营。公司进一步开拓新市场，并重视扩展新市场的可持续发展，努力提升市场份额，保持健康运营；多品牌协同新市场开拓，兼顾市场份额提升和健康运营目标，进行深度用户洞察和产品适配，巩固及提升重点新市场份额。公司坚持以用户价值为导向，重视中高端体验，提升产品口碑；不断加大中高端和研发资源投入，持续提升产品开发、技术研发和基础研究三级研发体系成熟度，增强研发创新能力，强化中高端产品价值点选择，在多肤色影像和硬件新材料应用创新等领域形成新的突破，进一步深化与行业上下游伙伴、高校机构深度联合开发及战略合作，致力本地场景体验领先，提升用户体验。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7、如何评估其在智能机领域的技术竞争力，尤其是在深肤色拍照技术方面？</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在深肤色拍照技术领域，公司拥有行业领先的深肤色数据库优势及独创的深肤色影像引擎，定制开发多项多肤色相关技术，开辟行业多肤色影像技术赛道。公司持续深耕影像赛道，始终基于消费者需求变化及前沿技术发展趋势进行影像软硬件一体化技术创新，从自研图像算法、光学器件定制到影像芯片定制，不断夯实影像技术能力，打造本地差异化的行业领先优势。公司已经研发了Pre-ISP（Image Signal Processor）芯片定制技术方案、W型可变光圈技术等多项技术；并加大对影像AIGC技术领域投入，基于新兴市场的本地化需求深度定制AIGC人像美拍技术，为用户带来崭新的A</w:t>
            </w:r>
            <w:r>
              <w:rPr>
                <w:rFonts w:hint="eastAsia" w:ascii="Times New Roman" w:hAnsi="Times New Roman"/>
                <w:sz w:val="24"/>
                <w:szCs w:val="24"/>
                <w:lang w:val="en-US" w:eastAsia="zh-CN"/>
              </w:rPr>
              <w:t>I</w:t>
            </w:r>
            <w:r>
              <w:rPr>
                <w:rFonts w:hint="default" w:ascii="Times New Roman" w:hAnsi="Times New Roman"/>
                <w:sz w:val="24"/>
                <w:szCs w:val="24"/>
              </w:rPr>
              <w:t>手机图像创作体验。感谢您的关注！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8、在提升产品结构方面有哪些具体策略，如何平衡高端和低端市场的产品布局？</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尊敬的投资者您好，传音旗下拥有手机品牌TECNO、itel及Infinix，覆盖</w:t>
            </w:r>
            <w:r>
              <w:rPr>
                <w:rFonts w:hint="eastAsia" w:ascii="Times New Roman" w:hAnsi="Times New Roman"/>
                <w:sz w:val="24"/>
                <w:szCs w:val="24"/>
                <w:lang w:val="en-US" w:eastAsia="zh-CN"/>
              </w:rPr>
              <w:t>不同</w:t>
            </w:r>
            <w:r>
              <w:rPr>
                <w:rFonts w:hint="default" w:ascii="Times New Roman" w:hAnsi="Times New Roman"/>
                <w:sz w:val="24"/>
                <w:szCs w:val="24"/>
              </w:rPr>
              <w:t>消费人群。公司坚持以用户价值为导向，重视中高端体验，提升产品口碑；不断加大中高端和研发资源投入，持续提升产品开发、技术研发和基础研究三级研发体系成熟度，增强研发创新能力，强化中高端产品价值点选择；影像领域聚焦人像和视频体验等影像技术开发，支撑中高端产品影像价值达成；硬件新材料领域创新出多项技术，如折叠、卷曲等新形态，提升中高端产品线的品牌认知。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9、鉴于公司面临的专利诉讼挑战，在未来有何法律和商业策略来降低风险？</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传音尊重第三方的知识产权，愿意遵循公平、合理和非歧视原则，通过友好协商与专利权人达成知识产权许可协议。传音正在与专利权人展开专利谈判，在尊重他人知识产权的同时，推动在公平、合理和非歧视原则框架下确定合理的许可费，以实现包括专利权人和被许可人在内的产业链共赢，更好地满足广大新兴市场消费者的需求。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10、上半年的净利润环比下降，请问公司如何看待这一趋势，并有何措施扭转？</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尊敬的投资者您好，2024 年上半年，归属于上市公司股东的净利润同比增长35.70%，归属于上市公司股东的扣除非经常性损益的净利润同比增长36.82%。主要受市场竞争、供应链成本、淡旺季等因素综合影响公司今年上半年的净利润相比去年下半年有所下降，未来我们会根据成本变化和市场竞争等动态做调整，保持合理的利润水平。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11、在OS系统及移动互联产品服务领域的创新对公司业绩有何影响？</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通过洞察市场本地化需求，深耕建设本地化服务和内容合作，并依托于公司市场占有率，形成高流量的应用产品矩阵。公司针对新兴市场存在流量成本高、网络不稳定、带宽低、内存配置低等特点，自主研发了流量节省、弱网网络连接、内存融合、本地化小语种语音识别、语音降噪等技术。同时，公司手机均搭载了基于Android系统平台二次开发、深度定制的手机智能终端操作系统（传音OS），深度洞察新兴市场用户在社交、效率办公、影音等场景体验构建，围绕传音OS，开发了应用商店、广告分发平台、大数据服务平台以及手机管家等应用程序。在AI方面，公司积极探索大模型和互联互通技术，构建了以AI使能多端融合互通、AIOS系统级应用重构、AI端侧应用以及AI的端云协同应用的架构。公司发布了TECNO AI，带来新一代的智慧助手Ella与创新交互体验，聚焦关键用户场景，用AI强化影像、沟通、办公效率与创造力等场景，开发了一系列AI辅助功能应用并持续迭代推进系统全面AI化，提升用户智能设备移动体验。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12、面对存储成本上涨的问题，有何应对策略以减轻成本压力？</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尊敬的投资者您好，公司根据上游成本变化努力经营、积极采取相应措施，感谢您的关注！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13、公司的大数据用户行为分析技术如何帮助更好地满足不同市场的需求？</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自研手机端高效数据计算引擎并进行产品化部署，已覆盖TECNO/Infinix/itel等多条产品线。在遵循当地法律法规并充分保护用户隐私的前提下，对用户的使用习惯、配置偏好以及手机性能、电池续航、发热、系统/应用稳定性、通信环境等多个维度的基础体验特征数据进行脱敏、计算与分析，综合用户评价、建议、讨论等反馈数据，利用大规模分布式计算、存储集群对数据进行基础体验分析与度量建模，及时发现产品和服务的问题及用户需求变化，快速指导设计、研发、测试、售后等多维度全链条业务迭代，优化产品设计和开发，不断提升用户使用体验和满意度。感谢您的关注！</w:t>
            </w:r>
          </w:p>
          <w:p>
            <w:pPr>
              <w:numPr>
                <w:ilvl w:val="0"/>
                <w:numId w:val="0"/>
              </w:numPr>
              <w:spacing w:line="360" w:lineRule="auto"/>
              <w:ind w:firstLine="482" w:firstLineChars="200"/>
              <w:rPr>
                <w:rFonts w:hint="default" w:ascii="Times New Roman" w:hAnsi="Times New Roman"/>
                <w:b/>
                <w:bCs/>
                <w:sz w:val="24"/>
                <w:szCs w:val="24"/>
                <w:lang w:val="en-US" w:eastAsia="zh-CN"/>
              </w:rPr>
            </w:pPr>
          </w:p>
          <w:p>
            <w:pPr>
              <w:numPr>
                <w:ilvl w:val="0"/>
                <w:numId w:val="0"/>
              </w:numPr>
              <w:spacing w:line="360" w:lineRule="auto"/>
              <w:ind w:firstLine="482" w:firstLineChars="200"/>
              <w:rPr>
                <w:rFonts w:hint="default" w:ascii="Times New Roman" w:hAnsi="Times New Roman"/>
                <w:b/>
                <w:bCs/>
                <w:sz w:val="24"/>
                <w:szCs w:val="24"/>
                <w:lang w:val="en-US" w:eastAsia="zh-CN"/>
              </w:rPr>
            </w:pPr>
            <w:r>
              <w:rPr>
                <w:rFonts w:hint="default" w:ascii="Times New Roman" w:hAnsi="Times New Roman"/>
                <w:b/>
                <w:bCs/>
                <w:sz w:val="24"/>
                <w:szCs w:val="24"/>
                <w:lang w:val="en-US" w:eastAsia="zh-CN"/>
              </w:rPr>
              <w:t>14、公司提到持续开拓新兴市场，请问在哪些具体地区或国家实现了显著的业绩增长？</w:t>
            </w:r>
          </w:p>
          <w:p>
            <w:pPr>
              <w:pStyle w:val="57"/>
              <w:spacing w:line="460" w:lineRule="exact"/>
              <w:ind w:left="-2" w:leftChars="-1" w:firstLine="480"/>
              <w:rPr>
                <w:rFonts w:hint="default" w:ascii="Times New Roman" w:hAnsi="Times New Roman"/>
                <w:sz w:val="24"/>
                <w:szCs w:val="24"/>
              </w:rPr>
            </w:pPr>
            <w:r>
              <w:rPr>
                <w:rFonts w:hint="eastAsia" w:ascii="Times New Roman" w:hAnsi="Times New Roman"/>
                <w:sz w:val="24"/>
                <w:szCs w:val="24"/>
                <w:lang w:val="en-US" w:eastAsia="zh-CN"/>
              </w:rPr>
              <w:t>回答：</w:t>
            </w:r>
            <w:r>
              <w:rPr>
                <w:rFonts w:hint="default" w:ascii="Times New Roman" w:hAnsi="Times New Roman"/>
                <w:sz w:val="24"/>
                <w:szCs w:val="24"/>
              </w:rPr>
              <w:t>尊敬的投资者您好，公司销售区域主要集中在非洲、南亚、东南亚、中东和拉美等全球新兴市场国家。根据 IDC 数据统计显示，2024 年上半年，公司在全球手机市场的占有率为14.4%，在全球手机品牌厂商中排名第二，其中智能机在全球智能机市场的占有率为9.1%，排名第四位。在非洲市场，公司非洲智能机市场的占有率超过40%，排名第一。在南亚市场，巴基斯坦智能机市场占有率排名第一；孟加拉国智能机市场占有率排名第一；印度智能机市场占有率排名第七。 感谢您的关注！</w:t>
            </w:r>
          </w:p>
          <w:p>
            <w:pPr>
              <w:numPr>
                <w:ilvl w:val="0"/>
                <w:numId w:val="0"/>
              </w:numPr>
              <w:spacing w:line="360" w:lineRule="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bCs/>
                <w:iCs/>
                <w:color w:val="000000"/>
                <w:sz w:val="24"/>
                <w:lang w:val="en-US" w:eastAsia="zh-CN"/>
              </w:rPr>
              <w:t>无</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12B2"/>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325FCD"/>
    <w:rsid w:val="0B594E05"/>
    <w:rsid w:val="0B7864F0"/>
    <w:rsid w:val="0B991C77"/>
    <w:rsid w:val="0BF14670"/>
    <w:rsid w:val="0BFB6152"/>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A15EE"/>
    <w:rsid w:val="1F364149"/>
    <w:rsid w:val="1F4D5F3F"/>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413E60"/>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4F590C"/>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455136"/>
    <w:rsid w:val="375A4E6A"/>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9F18EB"/>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ED4C45"/>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896AE1"/>
    <w:rsid w:val="7ABB4F36"/>
    <w:rsid w:val="7AEA1057"/>
    <w:rsid w:val="7AF7465C"/>
    <w:rsid w:val="7B47389F"/>
    <w:rsid w:val="7B5D13A7"/>
    <w:rsid w:val="7B94335A"/>
    <w:rsid w:val="7BA11F95"/>
    <w:rsid w:val="7BA324E5"/>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3413</Words>
  <Characters>3595</Characters>
  <Lines>21</Lines>
  <Paragraphs>6</Paragraphs>
  <TotalTime>4</TotalTime>
  <ScaleCrop>false</ScaleCrop>
  <LinksUpToDate>false</LinksUpToDate>
  <CharactersWithSpaces>3710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江凤玲</cp:lastModifiedBy>
  <cp:lastPrinted>2012-11-19T01:56:00Z</cp:lastPrinted>
  <dcterms:modified xsi:type="dcterms:W3CDTF">2024-12-13T06:25:34Z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6F14D156B9904914B3808C5334AE90E3</vt:lpwstr>
  </property>
</Properties>
</file>