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1FACB3F"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F6636A">
        <w:rPr>
          <w:rFonts w:ascii="宋体" w:eastAsia="宋体" w:hAnsi="宋体" w:cs="Times New Roman" w:hint="eastAsia"/>
          <w:b/>
          <w:bCs/>
          <w:sz w:val="24"/>
          <w:szCs w:val="24"/>
        </w:rPr>
        <w:t>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62F8378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F6636A"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51AB59F"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2F51C7">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304F59DD"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中海基金管理有限公司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姚炜</w:t>
            </w:r>
          </w:p>
          <w:p w14:paraId="6F37337F"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东兴基金管理有限公司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周昊</w:t>
            </w:r>
          </w:p>
          <w:p w14:paraId="33BF8287"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于翼资产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郑晓明</w:t>
            </w:r>
          </w:p>
          <w:p w14:paraId="54FF446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华富基金管理有限公司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黄星霖</w:t>
            </w:r>
          </w:p>
          <w:p w14:paraId="5FEF97E1"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国君资管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范明</w:t>
            </w:r>
          </w:p>
          <w:p w14:paraId="05A26DA1"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上银基金管理有限公司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王婷</w:t>
            </w:r>
          </w:p>
          <w:p w14:paraId="435479A1"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浙商资管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王霆</w:t>
            </w:r>
          </w:p>
          <w:p w14:paraId="1ACADB8D"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上海蓝墨投资管理有限公司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张中宇</w:t>
            </w:r>
          </w:p>
          <w:p w14:paraId="73555D5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益和源投资</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魏炜</w:t>
            </w:r>
          </w:p>
          <w:p w14:paraId="2CEA46B2"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华泰证券自营</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姜斌宇</w:t>
            </w:r>
          </w:p>
          <w:p w14:paraId="32A6D2C9"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华宝信托有限责任公司中国宝武集团成员企业</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张卿隆</w:t>
            </w:r>
          </w:p>
          <w:p w14:paraId="44F144BB"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brilliance capital</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胡誉镜</w:t>
            </w:r>
          </w:p>
          <w:p w14:paraId="76E6A05C"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鑫垣私募基金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史彬</w:t>
            </w:r>
          </w:p>
          <w:p w14:paraId="08A2CEE1"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Octorivers</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胡金戈</w:t>
            </w:r>
          </w:p>
          <w:p w14:paraId="68E73F1D"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国弘天下资本管理有限公司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孙世怡</w:t>
            </w:r>
          </w:p>
          <w:p w14:paraId="0A6D3047"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南京证券投资管理总部</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李栋</w:t>
            </w:r>
          </w:p>
          <w:p w14:paraId="19E1C71F"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lastRenderedPageBreak/>
              <w:t>涌贝资产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谭涛</w:t>
            </w:r>
          </w:p>
          <w:p w14:paraId="05A0B400"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上海甄投资产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朱庆新</w:t>
            </w:r>
          </w:p>
          <w:p w14:paraId="01261F46"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华安自营</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杨宗星</w:t>
            </w:r>
          </w:p>
          <w:p w14:paraId="2E8A678B"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交银康联人寿</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周捷</w:t>
            </w:r>
          </w:p>
          <w:p w14:paraId="0EB3124C"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东方红</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谢文超</w:t>
            </w:r>
          </w:p>
          <w:p w14:paraId="06D1A193"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弥远投资</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许鹏飞</w:t>
            </w:r>
          </w:p>
          <w:p w14:paraId="333049D3"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工银安盛人寿资产管理有限公司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张凯帆</w:t>
            </w:r>
          </w:p>
          <w:p w14:paraId="5E8CF56F"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深圳市红筹投资有限公司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侯文宽</w:t>
            </w:r>
          </w:p>
          <w:p w14:paraId="60B09A59"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野村资管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唐建伟</w:t>
            </w:r>
          </w:p>
          <w:p w14:paraId="721E2398"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景顺长城基金管理有限公司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孟棋</w:t>
            </w:r>
          </w:p>
          <w:p w14:paraId="0948613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国信自营</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肖彬</w:t>
            </w:r>
          </w:p>
          <w:p w14:paraId="38C5B96B"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开源自营</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师正浩</w:t>
            </w:r>
          </w:p>
          <w:p w14:paraId="14671A30"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上海乘富投资</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谢哲</w:t>
            </w:r>
          </w:p>
          <w:p w14:paraId="52644E85"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健顺投资</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罗庆</w:t>
            </w:r>
          </w:p>
          <w:p w14:paraId="6D252F29"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新华基金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赵强</w:t>
            </w:r>
          </w:p>
          <w:p w14:paraId="468F38D9"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白犀资产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王屹嘉</w:t>
            </w:r>
          </w:p>
          <w:p w14:paraId="7F84A788"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国华兴益保险资产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李灿</w:t>
            </w:r>
          </w:p>
          <w:p w14:paraId="1F1C1048"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平安理财子公司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李景旭</w:t>
            </w:r>
          </w:p>
          <w:p w14:paraId="12A96803"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红杉</w:t>
            </w:r>
            <w:r w:rsidRPr="009D6EB4">
              <w:rPr>
                <w:rFonts w:ascii="Times New Roman" w:hAnsiTheme="minorEastAsia" w:cs="Times New Roman" w:hint="eastAsia"/>
                <w:bCs/>
                <w:iCs/>
                <w:sz w:val="24"/>
                <w:szCs w:val="24"/>
              </w:rPr>
              <w:t>PIPE</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闫慧辰</w:t>
            </w:r>
          </w:p>
          <w:p w14:paraId="0807E401"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兴业基金管理有限公司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廖欢欢</w:t>
            </w:r>
          </w:p>
          <w:p w14:paraId="31C2B495"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翀云投资</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俞海海</w:t>
            </w:r>
          </w:p>
          <w:p w14:paraId="1596972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运舟资本</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耿建淇</w:t>
            </w:r>
          </w:p>
          <w:p w14:paraId="4D30FFD7"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浙商资管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姜捷</w:t>
            </w:r>
          </w:p>
          <w:p w14:paraId="6BD3CB0C"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华泰保兴基金管理有限公司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黄俊卿</w:t>
            </w:r>
          </w:p>
          <w:p w14:paraId="37217370"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友邦保险</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赵一路</w:t>
            </w:r>
          </w:p>
          <w:p w14:paraId="19564EB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沃珑港资本</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刘金磊</w:t>
            </w:r>
          </w:p>
          <w:p w14:paraId="1F16200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天治基金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陈付佳</w:t>
            </w:r>
          </w:p>
          <w:p w14:paraId="2ED6FE0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景熙资产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陈雪</w:t>
            </w:r>
          </w:p>
          <w:p w14:paraId="08DB9AA6"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丹羿投资</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朱亮</w:t>
            </w:r>
          </w:p>
          <w:p w14:paraId="6BC898CF"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lastRenderedPageBreak/>
              <w:t>东证融汇资管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张云亮</w:t>
            </w:r>
          </w:p>
          <w:p w14:paraId="099B3A7C"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源乐晟资产管理</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吴雨哲</w:t>
            </w:r>
          </w:p>
          <w:p w14:paraId="231F4F23"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玖鹏资产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陈宇</w:t>
            </w:r>
          </w:p>
          <w:p w14:paraId="032BAC03"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景熙资产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胡瑞丽</w:t>
            </w:r>
          </w:p>
          <w:p w14:paraId="3D72AEB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德邦基金管理有限公司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江杨磊</w:t>
            </w:r>
          </w:p>
          <w:p w14:paraId="73A51165"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路博迈公募</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安鹏</w:t>
            </w:r>
          </w:p>
          <w:p w14:paraId="1E995704" w14:textId="59CA8AE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太保资产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王喆</w:t>
            </w:r>
          </w:p>
          <w:p w14:paraId="7BABE9B9"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湘财基金管理有限公司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张海波</w:t>
            </w:r>
          </w:p>
          <w:p w14:paraId="0D326408"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申万菱信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张欣</w:t>
            </w:r>
          </w:p>
          <w:p w14:paraId="61344A4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诺德基金管理有限公司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孟霭禾</w:t>
            </w:r>
          </w:p>
          <w:p w14:paraId="2E11F7DC"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东方红</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郭乃幸</w:t>
            </w:r>
          </w:p>
          <w:p w14:paraId="025E6EA5"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利幄资产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孟舒豪</w:t>
            </w:r>
          </w:p>
          <w:p w14:paraId="7BC75A7F"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博时基金管理有限公司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郭晓林</w:t>
            </w:r>
          </w:p>
          <w:p w14:paraId="29E7C0F0"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浙商资管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庞雅菁</w:t>
            </w:r>
          </w:p>
          <w:p w14:paraId="3AE178E6"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上海远希基金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王培</w:t>
            </w:r>
          </w:p>
          <w:p w14:paraId="76E7F4DB"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龙航资产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王帆</w:t>
            </w:r>
          </w:p>
          <w:p w14:paraId="3BA9659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上海珠池资产管理有限公司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尹晨</w:t>
            </w:r>
          </w:p>
          <w:p w14:paraId="6CAAA785"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博道基金管理有限公司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高笑潇</w:t>
            </w:r>
          </w:p>
          <w:p w14:paraId="69E98177"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华泰证券资管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吴晓宇</w:t>
            </w:r>
          </w:p>
          <w:p w14:paraId="3E189EA7"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国投瑞银</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钟婷霞</w:t>
            </w:r>
          </w:p>
          <w:p w14:paraId="518B4023"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上海人寿保险股份有限公司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方军平</w:t>
            </w:r>
          </w:p>
          <w:p w14:paraId="662865E4"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湘楚资产</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杨华</w:t>
            </w:r>
          </w:p>
          <w:p w14:paraId="077B7C50" w14:textId="7D63D17A" w:rsidR="007C2B69" w:rsidRDefault="009D6EB4" w:rsidP="009D6EB4">
            <w:pPr>
              <w:spacing w:line="360" w:lineRule="auto"/>
              <w:rPr>
                <w:rFonts w:ascii="Times New Roman" w:hAnsiTheme="minorEastAsia" w:cs="Times New Roman"/>
                <w:bCs/>
                <w:iCs/>
                <w:sz w:val="24"/>
                <w:szCs w:val="24"/>
              </w:rPr>
            </w:pPr>
            <w:r w:rsidRPr="009D6EB4">
              <w:rPr>
                <w:rFonts w:ascii="Times New Roman" w:hAnsiTheme="minorEastAsia" w:cs="Times New Roman" w:hint="eastAsia"/>
                <w:bCs/>
                <w:iCs/>
                <w:sz w:val="24"/>
                <w:szCs w:val="24"/>
              </w:rPr>
              <w:t>国海富兰克林基金管理有限公司</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杜飞</w:t>
            </w:r>
          </w:p>
          <w:p w14:paraId="690E343D"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源乐晟</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吴雨哲</w:t>
            </w:r>
          </w:p>
          <w:p w14:paraId="60F6EAB0"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长安基金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崔甲子</w:t>
            </w:r>
          </w:p>
          <w:p w14:paraId="7B965CAB"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泰信基金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黄睿东</w:t>
            </w:r>
          </w:p>
          <w:p w14:paraId="526DFA31"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建信保险资管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范纲枢</w:t>
            </w:r>
          </w:p>
          <w:p w14:paraId="6023FD32"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东方红</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谢文超</w:t>
            </w:r>
          </w:p>
          <w:p w14:paraId="5FB5475F"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西部利得</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冯皓琪</w:t>
            </w:r>
          </w:p>
          <w:p w14:paraId="487FEA0B"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lastRenderedPageBreak/>
              <w:t>西部自营</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杜威</w:t>
            </w:r>
          </w:p>
          <w:p w14:paraId="6E427C5D"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国联资管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傅锦涛</w:t>
            </w:r>
          </w:p>
          <w:p w14:paraId="07A9E9DC"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东吴资管</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陆一韬</w:t>
            </w:r>
          </w:p>
          <w:p w14:paraId="1C7D49F5"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泰信基金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杜冠亨</w:t>
            </w:r>
          </w:p>
          <w:p w14:paraId="0D8AF5DA"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景顺基金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孟棋</w:t>
            </w:r>
          </w:p>
          <w:p w14:paraId="2706685D"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西部利得</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吴星煜</w:t>
            </w:r>
          </w:p>
          <w:p w14:paraId="3BDE8C28" w14:textId="77777777" w:rsidR="009D6EB4" w:rsidRPr="009D6EB4"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鹏华基金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罗政</w:t>
            </w:r>
          </w:p>
          <w:p w14:paraId="4F510145" w14:textId="63B3A23C" w:rsidR="009D6EB4" w:rsidRPr="00092176" w:rsidRDefault="009D6EB4" w:rsidP="009D6EB4">
            <w:pPr>
              <w:spacing w:line="360" w:lineRule="auto"/>
              <w:rPr>
                <w:rFonts w:ascii="Times New Roman" w:hAnsiTheme="minorEastAsia" w:cs="Times New Roman" w:hint="eastAsia"/>
                <w:bCs/>
                <w:iCs/>
                <w:sz w:val="24"/>
                <w:szCs w:val="24"/>
              </w:rPr>
            </w:pPr>
            <w:r w:rsidRPr="009D6EB4">
              <w:rPr>
                <w:rFonts w:ascii="Times New Roman" w:hAnsiTheme="minorEastAsia" w:cs="Times New Roman" w:hint="eastAsia"/>
                <w:bCs/>
                <w:iCs/>
                <w:sz w:val="24"/>
                <w:szCs w:val="24"/>
              </w:rPr>
              <w:t>诺安基金</w:t>
            </w:r>
            <w:r w:rsidRPr="009D6EB4">
              <w:rPr>
                <w:rFonts w:ascii="Times New Roman" w:hAnsiTheme="minorEastAsia" w:cs="Times New Roman" w:hint="eastAsia"/>
                <w:bCs/>
                <w:iCs/>
                <w:sz w:val="24"/>
                <w:szCs w:val="24"/>
              </w:rPr>
              <w:tab/>
            </w:r>
            <w:r w:rsidRPr="009D6EB4">
              <w:rPr>
                <w:rFonts w:ascii="Times New Roman" w:hAnsiTheme="minorEastAsia" w:cs="Times New Roman" w:hint="eastAsia"/>
                <w:bCs/>
                <w:iCs/>
                <w:sz w:val="24"/>
                <w:szCs w:val="24"/>
              </w:rPr>
              <w:t>王晴</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73BE470D" w14:textId="4E54CF12" w:rsidR="00470E4B" w:rsidRPr="0091454A"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12</w:t>
            </w:r>
            <w:r>
              <w:rPr>
                <w:rFonts w:ascii="Times New Roman" w:hAnsi="Times New Roman" w:cs="Times New Roman" w:hint="eastAsia"/>
                <w:bCs/>
                <w:iCs/>
                <w:sz w:val="24"/>
                <w:szCs w:val="24"/>
              </w:rPr>
              <w:t>月</w:t>
            </w:r>
            <w:r w:rsidR="009D6EB4">
              <w:rPr>
                <w:rFonts w:ascii="Times New Roman" w:hAnsi="Times New Roman" w:cs="Times New Roman" w:hint="eastAsia"/>
                <w:bCs/>
                <w:iCs/>
                <w:sz w:val="24"/>
                <w:szCs w:val="24"/>
              </w:rPr>
              <w:t>13</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31880C28" w:rsidR="009B3F30" w:rsidRDefault="00EA63FD">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东吴证券策略会</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319146AD" w:rsidR="00995971" w:rsidRPr="00347900"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463E4698" w14:textId="5B5E5F99" w:rsidR="00AC3043" w:rsidRPr="00AC3043" w:rsidRDefault="00AC3043" w:rsidP="00AC3043">
            <w:pPr>
              <w:spacing w:line="360" w:lineRule="auto"/>
              <w:ind w:firstLineChars="202" w:firstLine="485"/>
              <w:rPr>
                <w:rFonts w:ascii="宋体" w:eastAsia="宋体" w:hAnsi="宋体" w:cs="Times New Roman" w:hint="eastAsia"/>
                <w:bCs/>
                <w:iCs/>
                <w:sz w:val="24"/>
                <w:szCs w:val="24"/>
              </w:rPr>
            </w:pPr>
            <w:r w:rsidRPr="00AC3043">
              <w:rPr>
                <w:rFonts w:ascii="宋体" w:eastAsia="宋体" w:hAnsi="宋体" w:cs="Times New Roman" w:hint="eastAsia"/>
                <w:bCs/>
                <w:iCs/>
                <w:sz w:val="24"/>
                <w:szCs w:val="24"/>
              </w:rPr>
              <w:t>1、</w:t>
            </w:r>
            <w:r>
              <w:rPr>
                <w:rFonts w:ascii="宋体" w:eastAsia="宋体" w:hAnsi="宋体" w:cs="Times New Roman" w:hint="eastAsia"/>
                <w:bCs/>
                <w:iCs/>
                <w:sz w:val="24"/>
                <w:szCs w:val="24"/>
              </w:rPr>
              <w:t>请问</w:t>
            </w:r>
            <w:r w:rsidRPr="00AC3043">
              <w:rPr>
                <w:rFonts w:ascii="宋体" w:eastAsia="宋体" w:hAnsi="宋体" w:cs="Times New Roman" w:hint="eastAsia"/>
                <w:bCs/>
                <w:iCs/>
                <w:sz w:val="24"/>
                <w:szCs w:val="24"/>
              </w:rPr>
              <w:t>公司2024年前三季度收入大幅增长的原因是什么？</w:t>
            </w:r>
          </w:p>
          <w:p w14:paraId="5E270697" w14:textId="77777777" w:rsidR="00AC3043" w:rsidRPr="00AC3043" w:rsidRDefault="00AC3043" w:rsidP="00AC3043">
            <w:pPr>
              <w:spacing w:line="360" w:lineRule="auto"/>
              <w:ind w:firstLineChars="202" w:firstLine="485"/>
              <w:rPr>
                <w:rFonts w:ascii="宋体" w:eastAsia="宋体" w:hAnsi="宋体" w:cs="Times New Roman" w:hint="eastAsia"/>
                <w:bCs/>
                <w:iCs/>
                <w:sz w:val="24"/>
                <w:szCs w:val="24"/>
              </w:rPr>
            </w:pPr>
            <w:r w:rsidRPr="00AC3043">
              <w:rPr>
                <w:rFonts w:ascii="宋体" w:eastAsia="宋体" w:hAnsi="宋体" w:cs="Times New Roman" w:hint="eastAsia"/>
                <w:bCs/>
                <w:iCs/>
                <w:sz w:val="24"/>
                <w:szCs w:val="24"/>
              </w:rPr>
              <w:t>2024年前三季度，公司收入为1.50亿元，同比增长44.90%，主要是受益于大模型技术的快速发展以及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截至9月末，公司已为近20家境内外大模型企业、科研机构，在预训练、指令微调、偏好对齐等方面提供了训练数据服务或标准化产品，为后续承接更大规模的大模型领域数据需求奠定基础。</w:t>
            </w:r>
          </w:p>
          <w:p w14:paraId="1A34B2BD" w14:textId="23920916" w:rsidR="00AC3043" w:rsidRPr="00AC3043" w:rsidRDefault="00AC3043" w:rsidP="00AC3043">
            <w:pPr>
              <w:spacing w:line="360" w:lineRule="auto"/>
              <w:ind w:firstLineChars="202" w:firstLine="485"/>
              <w:rPr>
                <w:rFonts w:ascii="宋体" w:eastAsia="宋体" w:hAnsi="宋体" w:cs="Times New Roman" w:hint="eastAsia"/>
                <w:bCs/>
                <w:iCs/>
                <w:sz w:val="24"/>
                <w:szCs w:val="24"/>
              </w:rPr>
            </w:pPr>
            <w:r w:rsidRPr="00AC3043">
              <w:rPr>
                <w:rFonts w:ascii="宋体" w:eastAsia="宋体" w:hAnsi="宋体" w:cs="Times New Roman" w:hint="eastAsia"/>
                <w:bCs/>
                <w:iCs/>
                <w:sz w:val="24"/>
                <w:szCs w:val="24"/>
              </w:rPr>
              <w:t>2、</w:t>
            </w:r>
            <w:r>
              <w:rPr>
                <w:rFonts w:ascii="宋体" w:eastAsia="宋体" w:hAnsi="宋体" w:cs="Times New Roman" w:hint="eastAsia"/>
                <w:bCs/>
                <w:iCs/>
                <w:sz w:val="24"/>
                <w:szCs w:val="24"/>
              </w:rPr>
              <w:t>请问公司</w:t>
            </w:r>
            <w:r w:rsidRPr="00AC3043">
              <w:rPr>
                <w:rFonts w:ascii="宋体" w:eastAsia="宋体" w:hAnsi="宋体" w:cs="Times New Roman" w:hint="eastAsia"/>
                <w:bCs/>
                <w:iCs/>
                <w:sz w:val="24"/>
                <w:szCs w:val="24"/>
              </w:rPr>
              <w:t>前三季度净利润增加的原因是什么？</w:t>
            </w:r>
          </w:p>
          <w:p w14:paraId="55F1115C" w14:textId="72B9B501" w:rsidR="00AC3043" w:rsidRPr="00AC3043" w:rsidRDefault="00AC3043" w:rsidP="00AC3043">
            <w:pPr>
              <w:spacing w:line="360" w:lineRule="auto"/>
              <w:ind w:firstLineChars="202" w:firstLine="485"/>
              <w:rPr>
                <w:rFonts w:ascii="宋体" w:eastAsia="宋体" w:hAnsi="宋体" w:cs="Times New Roman"/>
                <w:bCs/>
                <w:iCs/>
                <w:sz w:val="24"/>
                <w:szCs w:val="24"/>
              </w:rPr>
            </w:pPr>
            <w:r w:rsidRPr="00AC3043">
              <w:rPr>
                <w:rFonts w:ascii="宋体" w:eastAsia="宋体" w:hAnsi="宋体" w:cs="Times New Roman" w:hint="eastAsia"/>
                <w:bCs/>
                <w:iCs/>
                <w:sz w:val="24"/>
                <w:szCs w:val="24"/>
              </w:rPr>
              <w:t>2024年1-9月，归属于上市公司股东的净利润为378.87万元，同比增长3,590.86万元。背后的驱动因素，除了公司整体营业收入大幅增长外，前三季度具有</w:t>
            </w:r>
            <w:r w:rsidRPr="00AC3043">
              <w:rPr>
                <w:rFonts w:ascii="宋体" w:eastAsia="宋体" w:hAnsi="宋体" w:cs="Times New Roman" w:hint="eastAsia"/>
                <w:bCs/>
                <w:iCs/>
                <w:sz w:val="24"/>
                <w:szCs w:val="24"/>
              </w:rPr>
              <w:lastRenderedPageBreak/>
              <w:t>高毛利特点的数据集产品收入占比有所提升，驱动公司整体毛利率增加至66.83%。此外，为进一步提升整体运营效率，公司进行了管理资源的合理配置和流程优化，使得管理费用有效降低；与此同时，公司DOTS一体化数据处理平台开发已达到阶段性成熟状态，相关投入强度呈现自然回落；同时，部分账龄较长的大额应收账款在报告期间完成回款，信用减值损失大幅降低，以上因素共同驱动公司前三季度净利润同比大幅增长。</w:t>
            </w:r>
          </w:p>
          <w:p w14:paraId="29BB4074" w14:textId="524F839A" w:rsidR="00FC2E33" w:rsidRPr="00FC2E33" w:rsidRDefault="003E0AE1" w:rsidP="00FC2E3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FC2E33" w:rsidRPr="00FC2E33">
              <w:rPr>
                <w:rFonts w:ascii="宋体" w:eastAsia="宋体" w:hAnsi="宋体" w:cs="Times New Roman" w:hint="eastAsia"/>
                <w:bCs/>
                <w:iCs/>
                <w:sz w:val="24"/>
                <w:szCs w:val="24"/>
              </w:rPr>
              <w:t>、前三季度，境外收入更为显著，请问境外AI大厂对数据的需求情况是怎么样的？</w:t>
            </w:r>
          </w:p>
          <w:p w14:paraId="74F6F697" w14:textId="0FA4667A" w:rsidR="00FC2E33" w:rsidRPr="00AC3043" w:rsidRDefault="00FC2E33" w:rsidP="00FC2E33">
            <w:pPr>
              <w:spacing w:line="360" w:lineRule="auto"/>
              <w:ind w:firstLineChars="202" w:firstLine="485"/>
              <w:rPr>
                <w:rFonts w:ascii="宋体" w:eastAsia="宋体" w:hAnsi="宋体" w:cs="Times New Roman" w:hint="eastAsia"/>
                <w:bCs/>
                <w:iCs/>
                <w:sz w:val="24"/>
                <w:szCs w:val="24"/>
              </w:rPr>
            </w:pPr>
            <w:r w:rsidRPr="00FC2E33">
              <w:rPr>
                <w:rFonts w:ascii="宋体" w:eastAsia="宋体" w:hAnsi="宋体" w:cs="Times New Roman" w:hint="eastAsia"/>
                <w:bCs/>
                <w:iCs/>
                <w:sz w:val="24"/>
                <w:szCs w:val="24"/>
              </w:rPr>
              <w:t>今年前三季度，境外业务高速增长，背后核心驱动力之一是在大模型驱动的背景下，海外头部客户对AI的投入力度加大。我们服务的海外巨头客户中，包括IoT、社交、搜索和综合性科技公司。IoT巨头在大模型上机方面表现突出，几家硬件巨头都在以不同的节奏推进其自身的智能化战略，这些战略在研发阶段就释放了数据需求。此外，受益于AI应用的逐步落地，相关数据需求体量也呈现增加趋势。</w:t>
            </w:r>
          </w:p>
          <w:p w14:paraId="546307CC" w14:textId="5DCFE196" w:rsidR="00FC2E33" w:rsidRPr="00D173D6" w:rsidRDefault="003E0AE1" w:rsidP="00FC2E3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FC2E33">
              <w:rPr>
                <w:rFonts w:ascii="宋体" w:eastAsia="宋体" w:hAnsi="宋体" w:cs="Times New Roman" w:hint="eastAsia"/>
                <w:bCs/>
                <w:iCs/>
                <w:sz w:val="24"/>
                <w:szCs w:val="24"/>
              </w:rPr>
              <w:t>、</w:t>
            </w:r>
            <w:r w:rsidR="00FC2E33" w:rsidRPr="00D173D6">
              <w:rPr>
                <w:rFonts w:ascii="宋体" w:eastAsia="宋体" w:hAnsi="宋体" w:cs="Times New Roman" w:hint="eastAsia"/>
                <w:bCs/>
                <w:iCs/>
                <w:sz w:val="24"/>
                <w:szCs w:val="24"/>
              </w:rPr>
              <w:t>公司获得境外客户认可的核心竞争力是什么？</w:t>
            </w:r>
          </w:p>
          <w:p w14:paraId="4B043E03" w14:textId="77777777" w:rsidR="00527EBA" w:rsidRDefault="00FC2E33" w:rsidP="00FC2E33">
            <w:pPr>
              <w:spacing w:line="360" w:lineRule="auto"/>
              <w:ind w:firstLineChars="202" w:firstLine="485"/>
              <w:rPr>
                <w:rFonts w:ascii="宋体" w:eastAsia="宋体" w:hAnsi="宋体" w:cs="Times New Roman"/>
                <w:bCs/>
                <w:iCs/>
                <w:sz w:val="24"/>
                <w:szCs w:val="24"/>
              </w:rPr>
            </w:pPr>
            <w:r w:rsidRPr="00D173D6">
              <w:rPr>
                <w:rFonts w:ascii="宋体" w:eastAsia="宋体" w:hAnsi="宋体" w:cs="Times New Roman" w:hint="eastAsia"/>
                <w:bCs/>
                <w:iCs/>
                <w:sz w:val="24"/>
                <w:szCs w:val="24"/>
              </w:rPr>
              <w:t>除了长期合作的良好口碑，公司在语音方面积累深厚，尤其是多语种方面的积累和能力，可以更好服务境外公司全球化布局。截至今年6月30日，公司已覆盖超过</w:t>
            </w:r>
            <w:r>
              <w:rPr>
                <w:rFonts w:ascii="宋体" w:eastAsia="宋体" w:hAnsi="宋体" w:cs="Times New Roman" w:hint="eastAsia"/>
                <w:bCs/>
                <w:iCs/>
                <w:sz w:val="24"/>
                <w:szCs w:val="24"/>
              </w:rPr>
              <w:t>200</w:t>
            </w:r>
            <w:r w:rsidRPr="00D173D6">
              <w:rPr>
                <w:rFonts w:ascii="宋体" w:eastAsia="宋体" w:hAnsi="宋体" w:cs="Times New Roman" w:hint="eastAsia"/>
                <w:bCs/>
                <w:iCs/>
                <w:sz w:val="24"/>
                <w:szCs w:val="24"/>
              </w:rPr>
              <w:t>种语种/方言，不仅包括含英、法、德、意、西、日、韩等常见语种，还包括东南亚、一带一路等国家地区的罕见多语种，尤其在亚洲多语种的服务上具备竞争优势。除核心业务能力外，公司也从去年开始制定了更为全面的全球化发展战略，从品牌升级、体系搭建、团队建设、营销推广等多维度升级海外市场布局，大大提升海外客户触达和服务能力</w:t>
            </w:r>
            <w:r>
              <w:rPr>
                <w:rFonts w:ascii="宋体" w:eastAsia="宋体" w:hAnsi="宋体" w:cs="Times New Roman" w:hint="eastAsia"/>
                <w:bCs/>
                <w:iCs/>
                <w:sz w:val="24"/>
                <w:szCs w:val="24"/>
              </w:rPr>
              <w:t>。</w:t>
            </w:r>
          </w:p>
          <w:p w14:paraId="07A8177A" w14:textId="38176065" w:rsidR="00206D28" w:rsidRDefault="003E0AE1" w:rsidP="00206D2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5</w:t>
            </w:r>
            <w:r w:rsidR="00206D28">
              <w:rPr>
                <w:rFonts w:ascii="宋体" w:eastAsia="宋体" w:hAnsi="宋体" w:cs="Times New Roman" w:hint="eastAsia"/>
                <w:bCs/>
                <w:iCs/>
                <w:sz w:val="24"/>
                <w:szCs w:val="24"/>
              </w:rPr>
              <w:t>、</w:t>
            </w:r>
            <w:r w:rsidR="00206D28" w:rsidRPr="00CB0121">
              <w:rPr>
                <w:rFonts w:ascii="宋体" w:eastAsia="宋体" w:hAnsi="宋体" w:cs="Times New Roman" w:hint="eastAsia"/>
                <w:bCs/>
                <w:iCs/>
                <w:sz w:val="24"/>
                <w:szCs w:val="24"/>
              </w:rPr>
              <w:t>海天瑞声在海外的业务布局</w:t>
            </w:r>
            <w:r w:rsidR="00206D28">
              <w:rPr>
                <w:rFonts w:ascii="宋体" w:eastAsia="宋体" w:hAnsi="宋体" w:cs="Times New Roman" w:hint="eastAsia"/>
                <w:bCs/>
                <w:iCs/>
                <w:sz w:val="24"/>
                <w:szCs w:val="24"/>
              </w:rPr>
              <w:t>情况如何</w:t>
            </w:r>
            <w:r w:rsidR="00206D28" w:rsidRPr="00CB0121">
              <w:rPr>
                <w:rFonts w:ascii="宋体" w:eastAsia="宋体" w:hAnsi="宋体" w:cs="Times New Roman" w:hint="eastAsia"/>
                <w:bCs/>
                <w:iCs/>
                <w:sz w:val="24"/>
                <w:szCs w:val="24"/>
              </w:rPr>
              <w:t>？</w:t>
            </w:r>
          </w:p>
          <w:p w14:paraId="1B4047FE" w14:textId="77777777" w:rsidR="003A6C39" w:rsidRDefault="00206D28" w:rsidP="00206D28">
            <w:pPr>
              <w:spacing w:line="360" w:lineRule="auto"/>
              <w:ind w:firstLineChars="202" w:firstLine="485"/>
              <w:rPr>
                <w:rFonts w:ascii="宋体" w:eastAsia="宋体" w:hAnsi="宋体" w:cs="Times New Roman"/>
                <w:bCs/>
                <w:iCs/>
                <w:sz w:val="24"/>
                <w:szCs w:val="24"/>
              </w:rPr>
            </w:pPr>
            <w:r w:rsidRPr="00B15CA0">
              <w:rPr>
                <w:rFonts w:ascii="宋体" w:eastAsia="宋体" w:hAnsi="宋体" w:cs="Times New Roman" w:hint="eastAsia"/>
                <w:bCs/>
                <w:iCs/>
                <w:sz w:val="24"/>
                <w:szCs w:val="24"/>
              </w:rPr>
              <w:t>为更好把握行业机遇、进一步扩大全球客户辐射范围，公司从体系搭建、市场研究、品牌升级、营销推广等多维度提升业务、客户触达及服务能力。</w:t>
            </w:r>
            <w:r>
              <w:rPr>
                <w:rFonts w:ascii="宋体" w:eastAsia="宋体" w:hAnsi="宋体" w:cs="Times New Roman" w:hint="eastAsia"/>
                <w:bCs/>
                <w:iCs/>
                <w:sz w:val="24"/>
                <w:szCs w:val="24"/>
              </w:rPr>
              <w:t>前三季度</w:t>
            </w:r>
            <w:r w:rsidRPr="00B15CA0">
              <w:rPr>
                <w:rFonts w:ascii="宋体" w:eastAsia="宋体" w:hAnsi="宋体" w:cs="Times New Roman" w:hint="eastAsia"/>
                <w:bCs/>
                <w:iCs/>
                <w:sz w:val="24"/>
                <w:szCs w:val="24"/>
              </w:rPr>
              <w:t>，公司持续加强境外销售团队建设，进一步织密客户服务网络；同时，通过参与包括 Web Summit Qatar、ICASSP、AI EXPO TOKYO、Autosense and InCabin 及 CVPR 等全球知名行业及学术顶会，以及布局搜索广告投放、社交媒体矩阵等多类宣传渠道等方式，向全球市场展示公司先进技术实力及创新产品，提升行业影响力和美誉度。2024年，公司全新发布海外官网，全面升级官网服务模式，通过搭建marketplace，便捷用户目标服务/产品的选择，有效提升新客户拓展以及订单转化率。</w:t>
            </w:r>
          </w:p>
          <w:p w14:paraId="37C6E37D" w14:textId="1500BB1B" w:rsidR="003E0AE1" w:rsidRPr="00AC3043" w:rsidRDefault="003E0AE1" w:rsidP="003E0AE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Pr>
                <w:rFonts w:ascii="宋体" w:eastAsia="宋体" w:hAnsi="宋体" w:cs="Times New Roman" w:hint="eastAsia"/>
                <w:bCs/>
                <w:iCs/>
                <w:sz w:val="24"/>
                <w:szCs w:val="24"/>
              </w:rPr>
              <w:t>、</w:t>
            </w:r>
            <w:r w:rsidRPr="00AC3043">
              <w:rPr>
                <w:rFonts w:ascii="宋体" w:eastAsia="宋体" w:hAnsi="宋体" w:cs="Times New Roman" w:hint="eastAsia"/>
                <w:bCs/>
                <w:iCs/>
                <w:sz w:val="24"/>
                <w:szCs w:val="24"/>
              </w:rPr>
              <w:t>公司是否是一家劳动密集型企业？</w:t>
            </w:r>
          </w:p>
          <w:p w14:paraId="2ECB0ECB" w14:textId="77777777" w:rsidR="00206D28" w:rsidRDefault="003E0AE1" w:rsidP="003E0AE1">
            <w:pPr>
              <w:spacing w:line="360" w:lineRule="auto"/>
              <w:ind w:firstLineChars="202" w:firstLine="485"/>
              <w:rPr>
                <w:rFonts w:ascii="宋体" w:eastAsia="宋体" w:hAnsi="宋体" w:cs="Times New Roman"/>
                <w:bCs/>
                <w:iCs/>
                <w:sz w:val="24"/>
                <w:szCs w:val="24"/>
              </w:rPr>
            </w:pPr>
            <w:r w:rsidRPr="00AC3043">
              <w:rPr>
                <w:rFonts w:ascii="宋体" w:eastAsia="宋体" w:hAnsi="宋体" w:cs="Times New Roman" w:hint="eastAsia"/>
                <w:bCs/>
                <w:iCs/>
                <w:sz w:val="24"/>
                <w:szCs w:val="24"/>
              </w:rPr>
              <w:t>站在整个行业的角度来看，原料数据的采集过程中一大部分被采集对象就是人，从这个角度来说，如果离开了人这个要素，则整个人工智能都无从谈起；关于数据标注/处理环节，在现有的全球人工智能技术路线下，人机协作的模式是主流、且会朝着更加智能化的方向发展来提升机器处理数据的效率、减少人的参与程度，但因为其基础是要依赖人类的先验知识来教会机器去对各类语言现象、视觉现象、文本现象进行识别、判断、理解，所以这个过程是不可能摆脱人的因素的。但可以确定的是，随着算法的逐步发展，会逐步降低对人的依赖，进而提升效率、降低成本，而这也正是海天瑞声努力的方向之一。</w:t>
            </w:r>
          </w:p>
          <w:p w14:paraId="037C1FB9" w14:textId="03D5DD27" w:rsidR="003E0AE1" w:rsidRPr="003E0AE1" w:rsidRDefault="003E0AE1" w:rsidP="003E0AE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3E0AE1">
              <w:rPr>
                <w:rFonts w:ascii="宋体" w:eastAsia="宋体" w:hAnsi="宋体" w:cs="Times New Roman" w:hint="eastAsia"/>
                <w:bCs/>
                <w:iCs/>
                <w:sz w:val="24"/>
                <w:szCs w:val="24"/>
              </w:rPr>
              <w:t>标品化的产品数据集业务与定制化服务业务的区别是什么？</w:t>
            </w:r>
          </w:p>
          <w:p w14:paraId="4BD9A9D7" w14:textId="77777777" w:rsidR="003E0AE1" w:rsidRPr="003E0AE1" w:rsidRDefault="003E0AE1" w:rsidP="003E0AE1">
            <w:pPr>
              <w:spacing w:line="360" w:lineRule="auto"/>
              <w:ind w:firstLineChars="202" w:firstLine="485"/>
              <w:rPr>
                <w:rFonts w:ascii="宋体" w:eastAsia="宋体" w:hAnsi="宋体" w:cs="Times New Roman" w:hint="eastAsia"/>
                <w:bCs/>
                <w:iCs/>
                <w:sz w:val="24"/>
                <w:szCs w:val="24"/>
              </w:rPr>
            </w:pPr>
            <w:r w:rsidRPr="003E0AE1">
              <w:rPr>
                <w:rFonts w:ascii="宋体" w:eastAsia="宋体" w:hAnsi="宋体" w:cs="Times New Roman" w:hint="eastAsia"/>
                <w:bCs/>
                <w:iCs/>
                <w:sz w:val="24"/>
                <w:szCs w:val="24"/>
              </w:rPr>
              <w:t>区别：产品数据集是先于客户需求形成的模拟数</w:t>
            </w:r>
            <w:r w:rsidRPr="003E0AE1">
              <w:rPr>
                <w:rFonts w:ascii="宋体" w:eastAsia="宋体" w:hAnsi="宋体" w:cs="Times New Roman" w:hint="eastAsia"/>
                <w:bCs/>
                <w:iCs/>
                <w:sz w:val="24"/>
                <w:szCs w:val="24"/>
              </w:rPr>
              <w:lastRenderedPageBreak/>
              <w:t>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的实网数据，公司提供纯加工的服务。</w:t>
            </w:r>
          </w:p>
          <w:p w14:paraId="599EE151" w14:textId="7DE7B4F8" w:rsidR="003E0AE1" w:rsidRPr="004F32BF" w:rsidRDefault="003E0AE1" w:rsidP="003E0AE1">
            <w:pPr>
              <w:spacing w:line="360" w:lineRule="auto"/>
              <w:ind w:firstLineChars="202" w:firstLine="485"/>
              <w:rPr>
                <w:rFonts w:ascii="宋体" w:eastAsia="宋体" w:hAnsi="宋体" w:cs="Times New Roman" w:hint="eastAsia"/>
                <w:bCs/>
                <w:iCs/>
                <w:sz w:val="24"/>
                <w:szCs w:val="24"/>
              </w:rPr>
            </w:pPr>
            <w:r w:rsidRPr="003E0AE1">
              <w:rPr>
                <w:rFonts w:ascii="宋体" w:eastAsia="宋体" w:hAnsi="宋体" w:cs="Times New Roman" w:hint="eastAsia"/>
                <w:bCs/>
                <w:iCs/>
                <w:sz w:val="24"/>
                <w:szCs w:val="24"/>
              </w:rPr>
              <w:t>客户的AI产品在上线之前及初期，因为其自身尚未产生实网数据，通常需要采购模拟型数据集进行算法模型的训练，在产品上线并运行一段时间、产生大量实网数据之后，则会提供实网数据给到我们进行数据加工，加工的数据反哺到客户的产品上从而促进其产品的迭代、升级。之后，客户需要进行产品功能或语种的拓展，再次需要购买模拟数据集来支撑，后续再采购数据加工服务进行迭代。</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7238C9C3"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F22710">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9D6EB4">
              <w:rPr>
                <w:rFonts w:ascii="Times New Roman" w:hAnsiTheme="minorEastAsia" w:cs="Times New Roman" w:hint="eastAsia"/>
                <w:iCs/>
                <w:sz w:val="24"/>
                <w:szCs w:val="24"/>
              </w:rPr>
              <w:t>16</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58120" w14:textId="77777777" w:rsidR="00643121" w:rsidRDefault="00643121" w:rsidP="00443C3B">
      <w:r>
        <w:separator/>
      </w:r>
    </w:p>
  </w:endnote>
  <w:endnote w:type="continuationSeparator" w:id="0">
    <w:p w14:paraId="7D5600EA" w14:textId="77777777" w:rsidR="00643121" w:rsidRDefault="00643121"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921B3" w14:textId="77777777" w:rsidR="00643121" w:rsidRDefault="00643121" w:rsidP="00443C3B">
      <w:r>
        <w:separator/>
      </w:r>
    </w:p>
  </w:footnote>
  <w:footnote w:type="continuationSeparator" w:id="0">
    <w:p w14:paraId="3BE69138" w14:textId="77777777" w:rsidR="00643121" w:rsidRDefault="00643121"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8</cp:revision>
  <cp:lastPrinted>2021-09-01T01:13:00Z</cp:lastPrinted>
  <dcterms:created xsi:type="dcterms:W3CDTF">2024-12-16T06:36:00Z</dcterms:created>
  <dcterms:modified xsi:type="dcterms:W3CDTF">2024-12-16T07:47:00Z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