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eastAsia" w:ascii="宋体" w:hAnsi="宋体"/>
          <w:b/>
          <w:bCs/>
          <w:iCs/>
          <w:sz w:val="24"/>
          <w:szCs w:val="24"/>
        </w:rPr>
      </w:pPr>
      <w:r>
        <w:rPr>
          <w:rFonts w:hint="eastAsia" w:ascii="宋体" w:hAnsi="宋体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北京阳光诺和药物研究</w:t>
      </w:r>
      <w:r>
        <w:rPr>
          <w:rFonts w:hint="eastAsia" w:ascii="宋体" w:hAnsi="宋体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eastAsia" w:ascii="宋体" w:hAnsi="宋体"/>
          <w:b/>
          <w:iCs/>
          <w:sz w:val="24"/>
          <w:szCs w:val="24"/>
        </w:rPr>
      </w:pPr>
      <w:r>
        <w:rPr>
          <w:rFonts w:hint="eastAsia" w:ascii="宋体" w:hAnsi="宋体"/>
          <w:b/>
          <w:iCs/>
          <w:sz w:val="24"/>
          <w:szCs w:val="24"/>
        </w:rPr>
        <w:t>（20</w:t>
      </w:r>
      <w:r>
        <w:rPr>
          <w:rFonts w:ascii="宋体" w:hAnsi="宋体"/>
          <w:b/>
          <w:iCs/>
          <w:sz w:val="24"/>
          <w:szCs w:val="24"/>
        </w:rPr>
        <w:t>2</w:t>
      </w:r>
      <w:r>
        <w:rPr>
          <w:rFonts w:hint="eastAsia" w:ascii="宋体" w:hAnsi="宋体"/>
          <w:b/>
          <w:iCs/>
          <w:sz w:val="24"/>
          <w:szCs w:val="24"/>
        </w:rPr>
        <w:t>4年</w:t>
      </w:r>
      <w:r>
        <w:rPr>
          <w:rFonts w:hint="eastAsia" w:ascii="宋体" w:hAnsi="宋体"/>
          <w:b/>
          <w:iCs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b/>
          <w:iCs/>
          <w:sz w:val="24"/>
          <w:szCs w:val="24"/>
        </w:rPr>
        <w:t>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99D38D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vAlign w:val="center"/>
          </w:tcPr>
          <w:p w14:paraId="4936C92A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其他（电话会议）</w:t>
            </w:r>
          </w:p>
        </w:tc>
      </w:tr>
      <w:tr w14:paraId="622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B2D1E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203" w:type="dxa"/>
          </w:tcPr>
          <w:p w14:paraId="7CE61A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国联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证券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华夏久盈</w:t>
            </w:r>
          </w:p>
        </w:tc>
      </w:tr>
      <w:tr w14:paraId="63B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A8094E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</w:tcPr>
          <w:p w14:paraId="326BC5A2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4年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244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FEB7A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203" w:type="dxa"/>
          </w:tcPr>
          <w:p w14:paraId="4C5F5090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线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会议</w:t>
            </w:r>
          </w:p>
        </w:tc>
      </w:tr>
      <w:tr w14:paraId="220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524903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vAlign w:val="center"/>
          </w:tcPr>
          <w:p w14:paraId="5422822E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董事会秘书：魏丽萍女士</w:t>
            </w:r>
          </w:p>
        </w:tc>
      </w:tr>
      <w:tr w14:paraId="276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394FAC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</w:tcPr>
          <w:p w14:paraId="4D36C545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一、公司介绍环节</w:t>
            </w:r>
          </w:p>
          <w:p w14:paraId="0BC77868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公司是一家专业的药物临床前及临床综合研发服务 CRO，为国内医药企业和科研机构提供全方位的一站式药物研发服务，致力于协助国内医药制造企业加速实现进口替代和自主创新。服务内容主要包括药物发现、药理药效、药学研究、临床研究和生物分析。</w:t>
            </w:r>
          </w:p>
          <w:p w14:paraId="589DDFD0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公司2024年前三季度业绩稳定增长，实现营业收入9.17亿元，同比增长32.47%。实现归属于上市公司股东的净利润为2.08亿元，同比增长21.40%，实现归属于上市公司股东的扣除非经常性损益的净利润2.02亿元，同比增长20.19%。2024年第三季度实现营业收入3.54亿元，同比增长53.20%。实现归属于上市公司股东的净利润为5911.73万元，同比增长11.37%。</w:t>
            </w:r>
            <w:r>
              <w:rPr>
                <w:rFonts w:hint="eastAsia"/>
                <w:sz w:val="24"/>
                <w:lang w:val="en-US" w:eastAsia="zh-CN"/>
              </w:rPr>
              <w:t>2024前三季度研发投入1.20亿元，同比增长</w:t>
            </w:r>
            <w:r>
              <w:rPr>
                <w:rFonts w:hint="eastAsia"/>
                <w:sz w:val="24"/>
              </w:rPr>
              <w:t>43.76</w:t>
            </w:r>
            <w:r>
              <w:rPr>
                <w:rFonts w:hint="eastAsia"/>
                <w:sz w:val="24"/>
                <w:lang w:val="en-US" w:eastAsia="zh-CN"/>
              </w:rPr>
              <w:t>%，</w:t>
            </w:r>
            <w:r>
              <w:rPr>
                <w:rFonts w:hint="eastAsia"/>
                <w:sz w:val="24"/>
              </w:rPr>
              <w:t>本期研发费用</w:t>
            </w:r>
            <w:r>
              <w:rPr>
                <w:rFonts w:hint="eastAsia"/>
                <w:sz w:val="24"/>
                <w:lang w:val="en-US" w:eastAsia="zh-CN"/>
              </w:rPr>
              <w:t>5041.19万元，</w:t>
            </w:r>
            <w:r>
              <w:rPr>
                <w:rFonts w:hint="eastAsia"/>
                <w:sz w:val="24"/>
              </w:rPr>
              <w:t>较上年同期增</w:t>
            </w:r>
            <w:r>
              <w:rPr>
                <w:rFonts w:hint="eastAsia"/>
                <w:sz w:val="24"/>
                <w:lang w:val="en-US" w:eastAsia="zh-CN"/>
              </w:rPr>
              <w:t>长</w:t>
            </w:r>
            <w:r>
              <w:rPr>
                <w:rFonts w:hint="eastAsia"/>
                <w:sz w:val="24"/>
              </w:rPr>
              <w:t>69.38%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5242BECC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二、问答环节</w:t>
            </w:r>
          </w:p>
          <w:p w14:paraId="26690C74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1.公司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  <w:lang w:val="en-US" w:eastAsia="zh-CN"/>
              </w:rPr>
              <w:t>研发投入持续加大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，后续在创新药方面是否有重要战略规划？</w:t>
            </w:r>
          </w:p>
          <w:p w14:paraId="26B8C90D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答：公司将坚持创新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驱动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发展战略，将创新药列为集团重要的战略目标，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贯彻仿改创的战略转型，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持续加大创新药的研发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投入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力度，通过自研以及合作，持续深化核心领域如镇痛、肾病与透析、肿瘤辅助、心脑血管、抗菌用药等的管线布局。近年来，公司加速聚焦创新药研发项目，目前已储备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款创新药，且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进度较快的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“STC007注射液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”已进入II期临床。同时，公司也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维持和加强其他板块的健康运营，像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  <w:lang w:val="en-US" w:eastAsia="zh-CN"/>
              </w:rPr>
              <w:t>改良型新药、特殊制剂、动保</w:t>
            </w: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 xml:space="preserve">等业务，在维持稳健而持续的发展同时，实现公司高质量可持续发展。 </w:t>
            </w:r>
          </w:p>
          <w:p w14:paraId="35EDA149">
            <w:pPr>
              <w:numPr>
                <w:ilvl w:val="0"/>
                <w:numId w:val="1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请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下公司中药板块业务情况？</w:t>
            </w:r>
          </w:p>
          <w:p w14:paraId="13BDC6C1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b w:val="0"/>
                <w:bCs/>
                <w:i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Cs/>
                <w:sz w:val="24"/>
                <w:szCs w:val="24"/>
              </w:rPr>
              <w:t>近年来，国家已陆续颁布了一系列旨在振兴中药产业的重大政策及战略规划，国家对于中药新药研发和临床试验的扶持力度也在不断加强，这将推动新型中药制剂和新型中药品种不断涌现，为中药创新药的发展注入了强大的动力。公司所布局的中药类型涵盖1类新药、经典名方、同名同方等多个领域</w:t>
            </w:r>
            <w:r>
              <w:rPr>
                <w:rFonts w:hint="eastAsia"/>
                <w:bCs/>
                <w:iCs/>
                <w:sz w:val="24"/>
                <w:szCs w:val="24"/>
              </w:rPr>
              <w:t>，致力于为客户提供覆盖儿科、妇科、消化系统、心脑血管系统等多个中医优势治疗领域的产品技术研发。持续挖掘经典名方的药物价值，我们启动了名为“良药不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再</w:t>
            </w:r>
            <w:r>
              <w:rPr>
                <w:rFonts w:hint="eastAsia"/>
                <w:bCs/>
                <w:iCs/>
                <w:sz w:val="24"/>
                <w:szCs w:val="24"/>
              </w:rPr>
              <w:t>苦口”的儿童中药研发项目，在中药改良方面我们去探索赋予新的制剂手段，另外我们也在积极探索人工智能赋能中药创新的范式路径。</w:t>
            </w:r>
          </w:p>
          <w:p w14:paraId="4B471E45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b w:val="0"/>
                <w:bCs/>
                <w:i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Cs/>
                <w:sz w:val="24"/>
                <w:szCs w:val="24"/>
                <w:lang w:val="en-US" w:eastAsia="zh-CN"/>
              </w:rPr>
              <w:t>2024年8月，公司与</w:t>
            </w:r>
            <w:r>
              <w:rPr>
                <w:rFonts w:hint="eastAsia" w:ascii="Times New Roman" w:hAnsi="Times New Roman" w:eastAsia="宋体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北京万泰利克药业有限公司签署</w:t>
            </w:r>
            <w:r>
              <w:rPr>
                <w:rFonts w:hint="eastAsia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了</w:t>
            </w:r>
            <w:r>
              <w:rPr>
                <w:rFonts w:hint="eastAsia" w:ascii="Times New Roman" w:hAnsi="Times New Roman" w:eastAsia="宋体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战略</w:t>
            </w:r>
            <w:r>
              <w:rPr>
                <w:rFonts w:hint="eastAsia" w:ascii="Times New Roman" w:hAnsi="Times New Roman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合作</w:t>
            </w:r>
            <w:r>
              <w:rPr>
                <w:rFonts w:hint="eastAsia" w:ascii="Times New Roman" w:hAnsi="Times New Roman" w:eastAsia="宋体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协议，</w:t>
            </w:r>
            <w:r>
              <w:rPr>
                <w:rFonts w:hint="eastAsia" w:ascii="Times New Roman" w:hAnsi="Times New Roman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双方优势互补、资源共享，</w:t>
            </w:r>
            <w:r>
              <w:rPr>
                <w:rFonts w:hint="eastAsia" w:ascii="Times New Roman" w:hAnsi="Times New Roman" w:eastAsia="宋体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将共同推进中药研发事业</w:t>
            </w:r>
            <w:r>
              <w:rPr>
                <w:rFonts w:hint="eastAsia" w:ascii="Times New Roman" w:hAnsi="Times New Roman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创新发展。</w:t>
            </w:r>
            <w:r>
              <w:rPr>
                <w:rFonts w:hint="eastAsia" w:cs="Times New Roman"/>
                <w:bCs/>
                <w:iCs/>
                <w:kern w:val="2"/>
                <w:sz w:val="24"/>
                <w:szCs w:val="24"/>
                <w:lang w:val="en-US" w:eastAsia="zh-CN" w:bidi="ar"/>
              </w:rPr>
              <w:t>2024年11月，公司与</w:t>
            </w:r>
            <w:r>
              <w:rPr>
                <w:rFonts w:hint="eastAsia"/>
                <w:bCs/>
                <w:iCs/>
                <w:sz w:val="24"/>
                <w:szCs w:val="24"/>
                <w:lang w:bidi="ar"/>
              </w:rPr>
              <w:t>浙江省卫生医药发展有限公司</w:t>
            </w:r>
            <w:r>
              <w:rPr>
                <w:rFonts w:hint="eastAsia"/>
                <w:bCs/>
                <w:iCs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/>
                <w:bCs/>
                <w:iCs/>
                <w:sz w:val="24"/>
                <w:szCs w:val="24"/>
                <w:lang w:bidi="ar"/>
              </w:rPr>
              <w:t>丹东药业集团，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 w:bidi="ar"/>
              </w:rPr>
              <w:t>三家共同</w:t>
            </w:r>
            <w:r>
              <w:rPr>
                <w:rFonts w:hint="eastAsia"/>
                <w:bCs/>
                <w:iCs/>
                <w:sz w:val="24"/>
                <w:szCs w:val="24"/>
                <w:lang w:bidi="ar"/>
              </w:rPr>
              <w:t>签署</w:t>
            </w:r>
            <w:r>
              <w:rPr>
                <w:rFonts w:hint="eastAsia"/>
                <w:bCs/>
                <w:iCs/>
                <w:sz w:val="24"/>
                <w:szCs w:val="24"/>
                <w:lang w:eastAsia="zh-CN" w:bidi="ar"/>
              </w:rPr>
              <w:t>了</w:t>
            </w:r>
            <w:r>
              <w:rPr>
                <w:rFonts w:hint="eastAsia"/>
                <w:bCs/>
                <w:iCs/>
                <w:sz w:val="24"/>
                <w:szCs w:val="24"/>
                <w:lang w:bidi="ar"/>
              </w:rPr>
              <w:t>三方战略合作协议，共同致力于中药研发的深化与创新</w:t>
            </w:r>
            <w:r>
              <w:rPr>
                <w:rFonts w:hint="eastAsia"/>
                <w:bCs/>
                <w:iCs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/>
                <w:bCs/>
                <w:iCs/>
                <w:sz w:val="24"/>
                <w:szCs w:val="24"/>
              </w:rPr>
              <w:t>公司致力于打造一个集药物发现、药材基源鉴定、资源评估、药学研究、非临床与临床研究、注册申报等多功能板块为一体的中医药综合研发服务体系。达成完整的中药开发“创新链+产业链”全生态服务体系，以满足客户在中药领域的全方位需求。</w:t>
            </w:r>
            <w:r>
              <w:rPr>
                <w:rFonts w:hint="eastAsia"/>
                <w:b w:val="0"/>
                <w:bCs/>
                <w:iCs/>
                <w:sz w:val="24"/>
                <w:szCs w:val="24"/>
              </w:rPr>
              <w:t xml:space="preserve"> </w:t>
            </w:r>
          </w:p>
          <w:p w14:paraId="7174C750">
            <w:pPr>
              <w:numPr>
                <w:ilvl w:val="0"/>
                <w:numId w:val="2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2025年的</w:t>
            </w:r>
            <w:r>
              <w:rPr>
                <w:rFonts w:hint="eastAsia"/>
                <w:b/>
                <w:sz w:val="24"/>
              </w:rPr>
              <w:t>研发</w:t>
            </w:r>
            <w:r>
              <w:rPr>
                <w:rFonts w:hint="eastAsia"/>
                <w:b/>
                <w:sz w:val="24"/>
                <w:lang w:val="en-US" w:eastAsia="zh-CN"/>
              </w:rPr>
              <w:t>投入</w:t>
            </w:r>
            <w:r>
              <w:rPr>
                <w:rFonts w:hint="eastAsia"/>
                <w:b/>
                <w:sz w:val="24"/>
              </w:rPr>
              <w:t>预算多少，有没有新的研发项目？</w:t>
            </w:r>
          </w:p>
          <w:p w14:paraId="010F53B5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公司每年在</w:t>
            </w:r>
            <w:r>
              <w:rPr>
                <w:rFonts w:hint="eastAsia"/>
                <w:bCs/>
                <w:sz w:val="24"/>
              </w:rPr>
              <w:t>有序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推进各类自研储备品种研发进度，</w:t>
            </w:r>
            <w:r>
              <w:rPr>
                <w:rFonts w:hint="eastAsia"/>
                <w:bCs/>
                <w:sz w:val="24"/>
                <w:lang w:val="en-US" w:eastAsia="zh-CN"/>
              </w:rPr>
              <w:t>并根据</w:t>
            </w:r>
            <w:r>
              <w:rPr>
                <w:rFonts w:hint="eastAsia"/>
                <w:b w:val="0"/>
                <w:bCs/>
                <w:sz w:val="24"/>
              </w:rPr>
              <w:t>未来市场需求发展的趋势</w:t>
            </w:r>
            <w:r>
              <w:rPr>
                <w:rFonts w:hint="eastAsia"/>
                <w:bCs/>
                <w:sz w:val="24"/>
              </w:rPr>
              <w:t>储备自研品种</w:t>
            </w:r>
            <w:r>
              <w:rPr>
                <w:rFonts w:hint="eastAsia"/>
                <w:bCs/>
                <w:sz w:val="24"/>
                <w:lang w:val="en-US" w:eastAsia="zh-CN"/>
              </w:rPr>
              <w:t>，</w:t>
            </w:r>
            <w:r>
              <w:rPr>
                <w:rFonts w:hint="eastAsia"/>
                <w:bCs/>
                <w:sz w:val="24"/>
              </w:rPr>
              <w:t>每年根据研发进度投入相应的研发费用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，</w:t>
            </w:r>
            <w:r>
              <w:rPr>
                <w:rFonts w:hint="eastAsia"/>
                <w:bCs/>
                <w:sz w:val="24"/>
              </w:rPr>
              <w:t>持续加大自主立项的多肽创新药、改良型新药和特色仿制药的研发投入，通过选择市场前景良好的研发标的，前期先自行投入并计入研发费用，待开发到一定阶段后择机推荐给客户，并接受客户委托继续提供研发服务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</w:rPr>
              <w:t>为客户提供了更多品种选择和合作的可能。前期累计研发投入，形成的技术成果在未来转化过程中，可形成长期超额收益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sz w:val="24"/>
              </w:rPr>
              <w:t>具体研发投入情况请查阅定期报告。</w:t>
            </w:r>
          </w:p>
          <w:p w14:paraId="1630CA43">
            <w:pPr>
              <w:numPr>
                <w:ilvl w:val="0"/>
                <w:numId w:val="3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公司未来服务内容是否会进一步延伸？</w:t>
            </w:r>
          </w:p>
          <w:p w14:paraId="37707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公司将继续专注于药物发现、药学研究、药理药效、临床研究和生物分析服务领域，完善试验服务内容，更新服务技术，拓展新的服务种类，巩固公司在药学研究、临床研究、生物分析等领域的优势，力争各技术领域均达到行业领先水平。同时，重视对各种疾病领域研究项目的研究与总结，完善化学药、生物药、中药和医疗器械的开发体系，加大新技术的研发投入，增强系统化管理的运用，为客户提供更为全面的服务内容。</w:t>
            </w:r>
          </w:p>
          <w:p w14:paraId="24738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2" w:firstLineChars="200"/>
              <w:textAlignment w:val="auto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请问公司对提高市值有何举措？</w:t>
            </w:r>
          </w:p>
          <w:p w14:paraId="052963E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default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</w:rPr>
              <w:t>公司始终高度重视持续健康发展与投资者利益，因股价表现受宏观经济发展、资本市场环境、</w:t>
            </w: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国家政策</w:t>
            </w:r>
            <w:r>
              <w:rPr>
                <w:rFonts w:hint="eastAsia"/>
                <w:b w:val="0"/>
                <w:bCs/>
                <w:sz w:val="24"/>
                <w:highlight w:val="none"/>
              </w:rPr>
              <w:t>等多种因素影响，公司将坚持聚焦主业</w:t>
            </w:r>
            <w:r>
              <w:rPr>
                <w:rFonts w:hint="eastAsia"/>
                <w:b w:val="0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4"/>
                <w:highlight w:val="none"/>
              </w:rPr>
              <w:t>提升业务核心竞争力和盈利水平，持续优化公司治理和运营流程，推动公司持续高质量发展，努力为股东做好价值创造。另外，公司会进一步加强与投资者</w:t>
            </w: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及机构</w:t>
            </w:r>
            <w:r>
              <w:rPr>
                <w:rFonts w:hint="eastAsia"/>
                <w:b w:val="0"/>
                <w:bCs/>
                <w:sz w:val="24"/>
                <w:highlight w:val="none"/>
              </w:rPr>
              <w:t>的交流沟通，积极传播公司内在价值，做好市值管理工作。</w:t>
            </w:r>
          </w:p>
        </w:tc>
      </w:tr>
      <w:tr w14:paraId="4A6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vAlign w:val="center"/>
          </w:tcPr>
          <w:p w14:paraId="49E359F1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</w:tcPr>
          <w:p w14:paraId="41A5291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5D6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17A6FD2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</w:tcPr>
          <w:p w14:paraId="1087953D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4年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3B62B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8ED3D"/>
    <w:multiLevelType w:val="singleLevel"/>
    <w:tmpl w:val="AF58ED3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56A866"/>
    <w:multiLevelType w:val="singleLevel"/>
    <w:tmpl w:val="B956A866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DC9D47E6"/>
    <w:multiLevelType w:val="singleLevel"/>
    <w:tmpl w:val="DC9D47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MTRlOTE5NzU3Y2FhZmJjMTA4ODAwNjMyZWVhZDcifQ=="/>
  </w:docVars>
  <w:rsids>
    <w:rsidRoot w:val="52FF551A"/>
    <w:rsid w:val="007C7638"/>
    <w:rsid w:val="00A06CDD"/>
    <w:rsid w:val="00BB2E0E"/>
    <w:rsid w:val="00BF064F"/>
    <w:rsid w:val="00E31C19"/>
    <w:rsid w:val="01AC06BF"/>
    <w:rsid w:val="01CC4519"/>
    <w:rsid w:val="02290130"/>
    <w:rsid w:val="0244511A"/>
    <w:rsid w:val="025F5A5E"/>
    <w:rsid w:val="026811C2"/>
    <w:rsid w:val="02BD318C"/>
    <w:rsid w:val="02DB7D7F"/>
    <w:rsid w:val="03165F96"/>
    <w:rsid w:val="039A53E7"/>
    <w:rsid w:val="03D87218"/>
    <w:rsid w:val="042E4E66"/>
    <w:rsid w:val="051E3483"/>
    <w:rsid w:val="05537D54"/>
    <w:rsid w:val="05A32FB5"/>
    <w:rsid w:val="05BF4B6E"/>
    <w:rsid w:val="05F444DC"/>
    <w:rsid w:val="077953F5"/>
    <w:rsid w:val="07A52A97"/>
    <w:rsid w:val="08446DEB"/>
    <w:rsid w:val="09FE6266"/>
    <w:rsid w:val="0A414CDC"/>
    <w:rsid w:val="0A6D3DFC"/>
    <w:rsid w:val="0B5E16A9"/>
    <w:rsid w:val="0C1F7BAB"/>
    <w:rsid w:val="0C612D69"/>
    <w:rsid w:val="0CC92960"/>
    <w:rsid w:val="0D174ABA"/>
    <w:rsid w:val="0DBE3551"/>
    <w:rsid w:val="0DCC4700"/>
    <w:rsid w:val="0E086001"/>
    <w:rsid w:val="0EB77202"/>
    <w:rsid w:val="0F824FAF"/>
    <w:rsid w:val="0FE77118"/>
    <w:rsid w:val="11866453"/>
    <w:rsid w:val="11FF5668"/>
    <w:rsid w:val="122E5DAC"/>
    <w:rsid w:val="12527029"/>
    <w:rsid w:val="12B62932"/>
    <w:rsid w:val="12DB5893"/>
    <w:rsid w:val="134A000D"/>
    <w:rsid w:val="13CF5910"/>
    <w:rsid w:val="144F54F1"/>
    <w:rsid w:val="14EC5248"/>
    <w:rsid w:val="14ED4281"/>
    <w:rsid w:val="15930D03"/>
    <w:rsid w:val="15AA2CEE"/>
    <w:rsid w:val="15B14D16"/>
    <w:rsid w:val="16761466"/>
    <w:rsid w:val="16DA51E9"/>
    <w:rsid w:val="17345A11"/>
    <w:rsid w:val="17FB3086"/>
    <w:rsid w:val="1839393F"/>
    <w:rsid w:val="183A204C"/>
    <w:rsid w:val="190E77ED"/>
    <w:rsid w:val="1A0F1E47"/>
    <w:rsid w:val="1A2C70A7"/>
    <w:rsid w:val="1A547590"/>
    <w:rsid w:val="1B2D550F"/>
    <w:rsid w:val="1C524E00"/>
    <w:rsid w:val="1D0C17E5"/>
    <w:rsid w:val="1D74016F"/>
    <w:rsid w:val="1E121C15"/>
    <w:rsid w:val="1EBC241A"/>
    <w:rsid w:val="1F792F8D"/>
    <w:rsid w:val="1F983F69"/>
    <w:rsid w:val="1FAE3E0B"/>
    <w:rsid w:val="20BE1BE1"/>
    <w:rsid w:val="210274BB"/>
    <w:rsid w:val="216347EC"/>
    <w:rsid w:val="22A01C5E"/>
    <w:rsid w:val="22F83CD2"/>
    <w:rsid w:val="2362320E"/>
    <w:rsid w:val="23910C76"/>
    <w:rsid w:val="23D01B44"/>
    <w:rsid w:val="23D06D2E"/>
    <w:rsid w:val="23EB5621"/>
    <w:rsid w:val="241427AF"/>
    <w:rsid w:val="249D14E3"/>
    <w:rsid w:val="24BB0950"/>
    <w:rsid w:val="256D51A0"/>
    <w:rsid w:val="25821C24"/>
    <w:rsid w:val="26A5400D"/>
    <w:rsid w:val="26D51ECB"/>
    <w:rsid w:val="271625E5"/>
    <w:rsid w:val="273725B6"/>
    <w:rsid w:val="27452AA5"/>
    <w:rsid w:val="29093405"/>
    <w:rsid w:val="29706363"/>
    <w:rsid w:val="29DE4401"/>
    <w:rsid w:val="2AC65169"/>
    <w:rsid w:val="2AD401BA"/>
    <w:rsid w:val="2B061EFA"/>
    <w:rsid w:val="2B9F7FE4"/>
    <w:rsid w:val="2C535356"/>
    <w:rsid w:val="2CA85D23"/>
    <w:rsid w:val="2CB67043"/>
    <w:rsid w:val="2CE05AC2"/>
    <w:rsid w:val="2D631540"/>
    <w:rsid w:val="2DCD4D3B"/>
    <w:rsid w:val="2E6F33D5"/>
    <w:rsid w:val="2EA00B62"/>
    <w:rsid w:val="2EA9018A"/>
    <w:rsid w:val="2EDE674F"/>
    <w:rsid w:val="2F4F0EF9"/>
    <w:rsid w:val="2FA368BA"/>
    <w:rsid w:val="303D276E"/>
    <w:rsid w:val="308E0410"/>
    <w:rsid w:val="30A2064A"/>
    <w:rsid w:val="31060FA7"/>
    <w:rsid w:val="31093612"/>
    <w:rsid w:val="31BF300D"/>
    <w:rsid w:val="324340C1"/>
    <w:rsid w:val="32A42B73"/>
    <w:rsid w:val="32D27F68"/>
    <w:rsid w:val="33225ED7"/>
    <w:rsid w:val="33231F8D"/>
    <w:rsid w:val="33260499"/>
    <w:rsid w:val="332F655B"/>
    <w:rsid w:val="33687BF4"/>
    <w:rsid w:val="337942D4"/>
    <w:rsid w:val="34E872B4"/>
    <w:rsid w:val="350D634B"/>
    <w:rsid w:val="36952F4E"/>
    <w:rsid w:val="36B70E22"/>
    <w:rsid w:val="36D92FB2"/>
    <w:rsid w:val="37467413"/>
    <w:rsid w:val="37787510"/>
    <w:rsid w:val="381776BB"/>
    <w:rsid w:val="387520F0"/>
    <w:rsid w:val="39D2147A"/>
    <w:rsid w:val="3A8D04C3"/>
    <w:rsid w:val="3A9F5F2A"/>
    <w:rsid w:val="3B237CC2"/>
    <w:rsid w:val="3B3C7B22"/>
    <w:rsid w:val="3B7403CD"/>
    <w:rsid w:val="3B91445B"/>
    <w:rsid w:val="3C1E2FE5"/>
    <w:rsid w:val="3D3C6638"/>
    <w:rsid w:val="3D437946"/>
    <w:rsid w:val="3D81311B"/>
    <w:rsid w:val="3DFE4CB6"/>
    <w:rsid w:val="3E0B24F7"/>
    <w:rsid w:val="3E5C41A0"/>
    <w:rsid w:val="3EA2315F"/>
    <w:rsid w:val="3F135AFA"/>
    <w:rsid w:val="4224131E"/>
    <w:rsid w:val="422D34A0"/>
    <w:rsid w:val="441B0C05"/>
    <w:rsid w:val="459C63BF"/>
    <w:rsid w:val="45A55001"/>
    <w:rsid w:val="45E072A7"/>
    <w:rsid w:val="462A01A0"/>
    <w:rsid w:val="46333934"/>
    <w:rsid w:val="46A169FF"/>
    <w:rsid w:val="46F34D6A"/>
    <w:rsid w:val="480B4BB5"/>
    <w:rsid w:val="487D4171"/>
    <w:rsid w:val="488851C9"/>
    <w:rsid w:val="489D1235"/>
    <w:rsid w:val="48E21AEF"/>
    <w:rsid w:val="4A717AA0"/>
    <w:rsid w:val="4A830B91"/>
    <w:rsid w:val="4AAF5236"/>
    <w:rsid w:val="4AB212D8"/>
    <w:rsid w:val="4B1A52D2"/>
    <w:rsid w:val="4B265D22"/>
    <w:rsid w:val="4B35552C"/>
    <w:rsid w:val="4BB85758"/>
    <w:rsid w:val="4C014C57"/>
    <w:rsid w:val="4C020555"/>
    <w:rsid w:val="4C1E0FC8"/>
    <w:rsid w:val="4C556F25"/>
    <w:rsid w:val="4C84793E"/>
    <w:rsid w:val="4D0E2637"/>
    <w:rsid w:val="4D6024B5"/>
    <w:rsid w:val="4D6378A0"/>
    <w:rsid w:val="4D9C101F"/>
    <w:rsid w:val="4DF658A7"/>
    <w:rsid w:val="4EDF2A9B"/>
    <w:rsid w:val="4EF8205F"/>
    <w:rsid w:val="4F444544"/>
    <w:rsid w:val="4FE37D9E"/>
    <w:rsid w:val="50410483"/>
    <w:rsid w:val="509818E5"/>
    <w:rsid w:val="51547108"/>
    <w:rsid w:val="51EF5E19"/>
    <w:rsid w:val="527A22D9"/>
    <w:rsid w:val="5289164F"/>
    <w:rsid w:val="52FF551A"/>
    <w:rsid w:val="53672784"/>
    <w:rsid w:val="539E26C0"/>
    <w:rsid w:val="53A91257"/>
    <w:rsid w:val="53F3326E"/>
    <w:rsid w:val="549878D9"/>
    <w:rsid w:val="54A06C67"/>
    <w:rsid w:val="54CC1D57"/>
    <w:rsid w:val="54EB364E"/>
    <w:rsid w:val="55CA28F1"/>
    <w:rsid w:val="55D26B9E"/>
    <w:rsid w:val="561D32CE"/>
    <w:rsid w:val="56AC67D2"/>
    <w:rsid w:val="5718013A"/>
    <w:rsid w:val="573622C3"/>
    <w:rsid w:val="576D5BCE"/>
    <w:rsid w:val="57A634A8"/>
    <w:rsid w:val="58836DC8"/>
    <w:rsid w:val="58BA5B76"/>
    <w:rsid w:val="599C16F8"/>
    <w:rsid w:val="5A2A67F5"/>
    <w:rsid w:val="5A4F27F0"/>
    <w:rsid w:val="5A880128"/>
    <w:rsid w:val="5AAE4583"/>
    <w:rsid w:val="5B1D47FA"/>
    <w:rsid w:val="5D012421"/>
    <w:rsid w:val="5DD427BF"/>
    <w:rsid w:val="5DDC2CA3"/>
    <w:rsid w:val="5DDC6073"/>
    <w:rsid w:val="5DEC4365"/>
    <w:rsid w:val="5E7435BA"/>
    <w:rsid w:val="5E932ED8"/>
    <w:rsid w:val="60760873"/>
    <w:rsid w:val="60C214BD"/>
    <w:rsid w:val="60C265CF"/>
    <w:rsid w:val="611B583E"/>
    <w:rsid w:val="617862AC"/>
    <w:rsid w:val="62A30EA1"/>
    <w:rsid w:val="62F60387"/>
    <w:rsid w:val="63181F99"/>
    <w:rsid w:val="6320789A"/>
    <w:rsid w:val="63D1618C"/>
    <w:rsid w:val="64661261"/>
    <w:rsid w:val="64932BAD"/>
    <w:rsid w:val="649B4982"/>
    <w:rsid w:val="64BC0286"/>
    <w:rsid w:val="650C2A2C"/>
    <w:rsid w:val="65CA54AC"/>
    <w:rsid w:val="669A3582"/>
    <w:rsid w:val="66F23252"/>
    <w:rsid w:val="67920D68"/>
    <w:rsid w:val="67E47875"/>
    <w:rsid w:val="681F4C63"/>
    <w:rsid w:val="68E055B0"/>
    <w:rsid w:val="69961E22"/>
    <w:rsid w:val="6A23123C"/>
    <w:rsid w:val="6A2842F5"/>
    <w:rsid w:val="6A6547A8"/>
    <w:rsid w:val="6A6B5660"/>
    <w:rsid w:val="6B685571"/>
    <w:rsid w:val="6C3309C1"/>
    <w:rsid w:val="6D1E32A1"/>
    <w:rsid w:val="6D322B1C"/>
    <w:rsid w:val="6D9B2F52"/>
    <w:rsid w:val="6E2576AE"/>
    <w:rsid w:val="6E290AB7"/>
    <w:rsid w:val="6E4B77F4"/>
    <w:rsid w:val="6EA45979"/>
    <w:rsid w:val="6EEB2130"/>
    <w:rsid w:val="6FAD1A1F"/>
    <w:rsid w:val="700B2EC6"/>
    <w:rsid w:val="70754AA5"/>
    <w:rsid w:val="70B8083E"/>
    <w:rsid w:val="70E8705B"/>
    <w:rsid w:val="714D6AE5"/>
    <w:rsid w:val="7171086E"/>
    <w:rsid w:val="719510A4"/>
    <w:rsid w:val="71A66548"/>
    <w:rsid w:val="71FA4772"/>
    <w:rsid w:val="71FC4DEA"/>
    <w:rsid w:val="728671BF"/>
    <w:rsid w:val="72C2568A"/>
    <w:rsid w:val="72C94CD5"/>
    <w:rsid w:val="73300DA4"/>
    <w:rsid w:val="744616E9"/>
    <w:rsid w:val="745A380B"/>
    <w:rsid w:val="74A02866"/>
    <w:rsid w:val="75580D0F"/>
    <w:rsid w:val="76440F92"/>
    <w:rsid w:val="767A7C68"/>
    <w:rsid w:val="772F3652"/>
    <w:rsid w:val="779F15A2"/>
    <w:rsid w:val="77AE1328"/>
    <w:rsid w:val="77B6383C"/>
    <w:rsid w:val="77B751AF"/>
    <w:rsid w:val="78423920"/>
    <w:rsid w:val="78A45D63"/>
    <w:rsid w:val="794D08AD"/>
    <w:rsid w:val="79661C63"/>
    <w:rsid w:val="79D25FC2"/>
    <w:rsid w:val="79EA2C4D"/>
    <w:rsid w:val="79F90BEF"/>
    <w:rsid w:val="7A4A14CB"/>
    <w:rsid w:val="7A774554"/>
    <w:rsid w:val="7A7F1400"/>
    <w:rsid w:val="7AD051DC"/>
    <w:rsid w:val="7ADB0A5E"/>
    <w:rsid w:val="7AE62B2D"/>
    <w:rsid w:val="7B28387D"/>
    <w:rsid w:val="7BA223D0"/>
    <w:rsid w:val="7C064AE8"/>
    <w:rsid w:val="7C29373A"/>
    <w:rsid w:val="7C6A3054"/>
    <w:rsid w:val="7CD54AA1"/>
    <w:rsid w:val="7CE44ECC"/>
    <w:rsid w:val="7CE571C4"/>
    <w:rsid w:val="7D0375F5"/>
    <w:rsid w:val="7D546905"/>
    <w:rsid w:val="7D6D7ABB"/>
    <w:rsid w:val="7D7234FB"/>
    <w:rsid w:val="7E4F6774"/>
    <w:rsid w:val="7F173DB2"/>
    <w:rsid w:val="7F2266A0"/>
    <w:rsid w:val="7F2E17A9"/>
    <w:rsid w:val="7FAD2049"/>
    <w:rsid w:val="7FEE7A90"/>
    <w:rsid w:val="7FF2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</w:style>
  <w:style w:type="paragraph" w:styleId="3">
    <w:name w:val="annotation subject"/>
    <w:basedOn w:val="2"/>
    <w:next w:val="2"/>
    <w:link w:val="9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批注文字 字符"/>
    <w:basedOn w:val="5"/>
    <w:link w:val="2"/>
    <w:qFormat/>
    <w:uiPriority w:val="0"/>
    <w:rPr>
      <w:kern w:val="2"/>
      <w:sz w:val="21"/>
    </w:rPr>
  </w:style>
  <w:style w:type="character" w:customStyle="1" w:styleId="9">
    <w:name w:val="批注主题 字符"/>
    <w:basedOn w:val="8"/>
    <w:link w:val="3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1875</Words>
  <Characters>1985</Characters>
  <Lines>18</Lines>
  <Paragraphs>5</Paragraphs>
  <TotalTime>203</TotalTime>
  <ScaleCrop>false</ScaleCrop>
  <LinksUpToDate>false</LinksUpToDate>
  <CharactersWithSpaces>2052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2024-09-26T06:32:00Z</dcterms:created>
  <dc:creator>杨贵娇</dc:creator>
  <cp:lastModifiedBy>杨贵娇</cp:lastModifiedBy>
  <dcterms:modified xsi:type="dcterms:W3CDTF">2024-12-20T08:43:55Z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3A8A03E02FF648789A5910BCDA0771E3_13</vt:lpwstr>
  </property>
</Properties>
</file>