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F7F93" w14:textId="77777777" w:rsidR="00726AAD" w:rsidRDefault="00000000">
      <w:pPr>
        <w:keepNext/>
        <w:keepLines/>
        <w:spacing w:before="260" w:after="260" w:line="360" w:lineRule="auto"/>
        <w:outlineLvl w:val="1"/>
        <w:rPr>
          <w:rFonts w:ascii="宋体" w:hAnsi="宋体" w:hint="eastAsia"/>
          <w:b/>
          <w:bCs/>
          <w:iCs/>
          <w:sz w:val="24"/>
          <w:szCs w:val="24"/>
        </w:rPr>
      </w:pPr>
      <w:r>
        <w:rPr>
          <w:rFonts w:ascii="宋体" w:hAnsi="宋体" w:hint="eastAsia"/>
          <w:b/>
          <w:bCs/>
          <w:iCs/>
          <w:sz w:val="24"/>
          <w:szCs w:val="24"/>
        </w:rPr>
        <w:t>证券代码：688621                                证券简称：阳光诺和</w:t>
      </w:r>
    </w:p>
    <w:p w14:paraId="193C9A26" w14:textId="77777777" w:rsidR="00726AAD" w:rsidRDefault="00000000">
      <w:pPr>
        <w:keepNext/>
        <w:keepLines/>
        <w:spacing w:before="20" w:after="20"/>
        <w:jc w:val="center"/>
        <w:outlineLvl w:val="1"/>
        <w:rPr>
          <w:rFonts w:ascii="宋体" w:hAnsi="宋体" w:hint="eastAsia"/>
          <w:b/>
          <w:bCs/>
          <w:sz w:val="36"/>
          <w:szCs w:val="36"/>
        </w:rPr>
      </w:pPr>
      <w:r>
        <w:rPr>
          <w:rFonts w:ascii="宋体" w:hAnsi="宋体" w:hint="eastAsia"/>
          <w:b/>
          <w:sz w:val="36"/>
          <w:szCs w:val="36"/>
        </w:rPr>
        <w:t>北京阳光诺和药物研究</w:t>
      </w:r>
      <w:r>
        <w:rPr>
          <w:rFonts w:ascii="宋体" w:hAnsi="宋体" w:hint="eastAsia"/>
          <w:b/>
          <w:bCs/>
          <w:sz w:val="36"/>
          <w:szCs w:val="36"/>
        </w:rPr>
        <w:t>股份有限公司</w:t>
      </w:r>
    </w:p>
    <w:p w14:paraId="1DE76FD4" w14:textId="77777777" w:rsidR="00726AAD" w:rsidRDefault="00000000">
      <w:pPr>
        <w:keepNext/>
        <w:keepLines/>
        <w:spacing w:before="20" w:after="20"/>
        <w:jc w:val="center"/>
        <w:outlineLvl w:val="1"/>
        <w:rPr>
          <w:rFonts w:ascii="宋体" w:hAnsi="宋体" w:hint="eastAsia"/>
          <w:b/>
          <w:bCs/>
          <w:sz w:val="36"/>
          <w:szCs w:val="36"/>
        </w:rPr>
      </w:pPr>
      <w:r>
        <w:rPr>
          <w:rFonts w:ascii="宋体" w:hAnsi="宋体" w:hint="eastAsia"/>
          <w:b/>
          <w:bCs/>
          <w:sz w:val="36"/>
          <w:szCs w:val="36"/>
        </w:rPr>
        <w:t>投资者关系活动记录表</w:t>
      </w:r>
    </w:p>
    <w:p w14:paraId="1D3EAABF" w14:textId="77777777" w:rsidR="00726AAD" w:rsidRDefault="00000000">
      <w:pPr>
        <w:spacing w:line="360" w:lineRule="auto"/>
        <w:jc w:val="center"/>
        <w:rPr>
          <w:rFonts w:ascii="宋体" w:hAnsi="宋体" w:hint="eastAsia"/>
          <w:b/>
          <w:iCs/>
          <w:sz w:val="24"/>
          <w:szCs w:val="24"/>
        </w:rPr>
      </w:pPr>
      <w:r>
        <w:rPr>
          <w:rFonts w:ascii="宋体" w:hAnsi="宋体" w:hint="eastAsia"/>
          <w:b/>
          <w:iCs/>
          <w:sz w:val="24"/>
          <w:szCs w:val="24"/>
        </w:rPr>
        <w:t>（20</w:t>
      </w:r>
      <w:r>
        <w:rPr>
          <w:rFonts w:ascii="宋体" w:hAnsi="宋体"/>
          <w:b/>
          <w:iCs/>
          <w:sz w:val="24"/>
          <w:szCs w:val="24"/>
        </w:rPr>
        <w:t>2</w:t>
      </w:r>
      <w:r>
        <w:rPr>
          <w:rFonts w:ascii="宋体" w:hAnsi="宋体" w:hint="eastAsia"/>
          <w:b/>
          <w:iCs/>
          <w:sz w:val="24"/>
          <w:szCs w:val="24"/>
        </w:rPr>
        <w:t>4年12月）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203"/>
      </w:tblGrid>
      <w:tr w:rsidR="00726AAD" w14:paraId="2F973973" w14:textId="77777777">
        <w:tc>
          <w:tcPr>
            <w:tcW w:w="2093" w:type="dxa"/>
            <w:vAlign w:val="center"/>
          </w:tcPr>
          <w:p w14:paraId="199D38DD"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投资者关系活动类别</w:t>
            </w:r>
          </w:p>
        </w:tc>
        <w:tc>
          <w:tcPr>
            <w:tcW w:w="6203" w:type="dxa"/>
            <w:vAlign w:val="center"/>
          </w:tcPr>
          <w:p w14:paraId="4936C92A" w14:textId="7376DA7D" w:rsidR="00726AAD" w:rsidRDefault="00C920F3">
            <w:pPr>
              <w:spacing w:line="360" w:lineRule="auto"/>
              <w:rPr>
                <w:rFonts w:ascii="宋体" w:hAnsi="宋体" w:hint="eastAsia"/>
                <w:bCs/>
                <w:iCs/>
                <w:sz w:val="24"/>
                <w:szCs w:val="24"/>
              </w:rPr>
            </w:pPr>
            <w:r>
              <w:rPr>
                <w:rFonts w:ascii="宋体" w:hAnsi="宋体" w:hint="eastAsia"/>
                <w:bCs/>
                <w:iCs/>
                <w:sz w:val="24"/>
                <w:szCs w:val="24"/>
              </w:rPr>
              <w:t>□</w:t>
            </w:r>
            <w:r w:rsidR="00000000">
              <w:rPr>
                <w:rFonts w:ascii="宋体" w:hAnsi="宋体" w:hint="eastAsia"/>
                <w:sz w:val="24"/>
                <w:szCs w:val="24"/>
              </w:rPr>
              <w:t xml:space="preserve">特定对象调研       </w:t>
            </w:r>
            <w:r>
              <w:rPr>
                <w:rFonts w:ascii="宋体" w:hAnsi="宋体" w:hint="eastAsia"/>
                <w:bCs/>
                <w:iCs/>
                <w:sz w:val="24"/>
                <w:szCs w:val="24"/>
              </w:rPr>
              <w:sym w:font="Wingdings 2" w:char="0052"/>
            </w:r>
            <w:r w:rsidR="00000000">
              <w:rPr>
                <w:rFonts w:ascii="宋体" w:hAnsi="宋体" w:hint="eastAsia"/>
                <w:sz w:val="24"/>
                <w:szCs w:val="24"/>
              </w:rPr>
              <w:t>分析师会议</w:t>
            </w:r>
          </w:p>
          <w:p w14:paraId="39B80EF3" w14:textId="77777777" w:rsidR="00726AAD" w:rsidRDefault="00000000">
            <w:pPr>
              <w:spacing w:line="360" w:lineRule="auto"/>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sym w:font="Wingdings 2" w:char="00A3"/>
            </w:r>
            <w:r>
              <w:rPr>
                <w:rFonts w:ascii="宋体" w:hAnsi="宋体" w:hint="eastAsia"/>
                <w:sz w:val="24"/>
                <w:szCs w:val="24"/>
              </w:rPr>
              <w:t>业绩说明会</w:t>
            </w:r>
          </w:p>
          <w:p w14:paraId="7EBD013F" w14:textId="77777777" w:rsidR="00726AAD" w:rsidRDefault="00000000">
            <w:pPr>
              <w:spacing w:line="360" w:lineRule="auto"/>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51719483" w14:textId="77777777" w:rsidR="00726AAD" w:rsidRDefault="00000000">
            <w:pPr>
              <w:tabs>
                <w:tab w:val="left" w:pos="3045"/>
                <w:tab w:val="center" w:pos="3199"/>
              </w:tabs>
              <w:spacing w:line="360" w:lineRule="auto"/>
              <w:rPr>
                <w:rFonts w:ascii="宋体" w:hAnsi="宋体" w:hint="eastAsia"/>
                <w:bCs/>
                <w:iCs/>
                <w:sz w:val="24"/>
                <w:szCs w:val="24"/>
              </w:rPr>
            </w:pPr>
            <w:r>
              <w:rPr>
                <w:rFonts w:ascii="宋体" w:hAnsi="宋体" w:hint="eastAsia"/>
                <w:bCs/>
                <w:iCs/>
                <w:sz w:val="24"/>
                <w:szCs w:val="24"/>
              </w:rPr>
              <w:sym w:font="Wingdings 2" w:char="F0A3"/>
            </w:r>
            <w:r>
              <w:rPr>
                <w:rFonts w:ascii="宋体" w:hAnsi="宋体" w:hint="eastAsia"/>
                <w:sz w:val="24"/>
                <w:szCs w:val="24"/>
              </w:rPr>
              <w:t>现场参观</w:t>
            </w:r>
            <w:r>
              <w:rPr>
                <w:rFonts w:ascii="宋体" w:hAnsi="宋体"/>
                <w:bCs/>
                <w:iCs/>
                <w:sz w:val="24"/>
                <w:szCs w:val="24"/>
              </w:rPr>
              <w:tab/>
            </w:r>
          </w:p>
          <w:p w14:paraId="232496E4" w14:textId="77777777" w:rsidR="00726AAD" w:rsidRDefault="00000000">
            <w:pPr>
              <w:tabs>
                <w:tab w:val="center" w:pos="3199"/>
              </w:tabs>
              <w:spacing w:line="360" w:lineRule="auto"/>
              <w:rPr>
                <w:rFonts w:ascii="宋体" w:hAnsi="宋体" w:hint="eastAsia"/>
                <w:bCs/>
                <w:iCs/>
                <w:sz w:val="24"/>
                <w:szCs w:val="24"/>
              </w:rPr>
            </w:pPr>
            <w:r>
              <w:rPr>
                <w:rFonts w:ascii="宋体" w:hAnsi="宋体" w:hint="eastAsia"/>
                <w:bCs/>
                <w:iCs/>
                <w:sz w:val="24"/>
                <w:szCs w:val="24"/>
              </w:rPr>
              <w:sym w:font="Wingdings 2" w:char="00A3"/>
            </w:r>
            <w:r>
              <w:rPr>
                <w:rFonts w:ascii="宋体" w:hAnsi="宋体" w:hint="eastAsia"/>
                <w:sz w:val="24"/>
                <w:szCs w:val="24"/>
              </w:rPr>
              <w:t>其他（电话会议）</w:t>
            </w:r>
          </w:p>
        </w:tc>
      </w:tr>
      <w:tr w:rsidR="00726AAD" w14:paraId="622A330B" w14:textId="77777777">
        <w:tc>
          <w:tcPr>
            <w:tcW w:w="2093" w:type="dxa"/>
            <w:vAlign w:val="center"/>
          </w:tcPr>
          <w:p w14:paraId="72B2D1EE"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参与单位名称</w:t>
            </w:r>
          </w:p>
        </w:tc>
        <w:tc>
          <w:tcPr>
            <w:tcW w:w="6203" w:type="dxa"/>
          </w:tcPr>
          <w:p w14:paraId="7CE61A69" w14:textId="77777777" w:rsidR="00726AAD" w:rsidRDefault="00000000">
            <w:pPr>
              <w:spacing w:line="360" w:lineRule="auto"/>
              <w:rPr>
                <w:rFonts w:ascii="宋体" w:hAnsi="宋体" w:cs="宋体" w:hint="eastAsia"/>
                <w:sz w:val="24"/>
                <w:szCs w:val="24"/>
              </w:rPr>
            </w:pPr>
            <w:r>
              <w:rPr>
                <w:rFonts w:ascii="宋体" w:hAnsi="宋体" w:hint="eastAsia"/>
                <w:bCs/>
                <w:iCs/>
                <w:sz w:val="24"/>
                <w:szCs w:val="24"/>
              </w:rPr>
              <w:t>广发证券、光大保德信基金、盘京资产、明德资本、华安证券、富荣基金、华泰证券、弥远投资</w:t>
            </w:r>
          </w:p>
        </w:tc>
      </w:tr>
      <w:tr w:rsidR="00726AAD" w14:paraId="63BC6D09" w14:textId="77777777">
        <w:tc>
          <w:tcPr>
            <w:tcW w:w="2093" w:type="dxa"/>
            <w:vAlign w:val="center"/>
          </w:tcPr>
          <w:p w14:paraId="1A8094E6"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时间</w:t>
            </w:r>
          </w:p>
        </w:tc>
        <w:tc>
          <w:tcPr>
            <w:tcW w:w="6203" w:type="dxa"/>
          </w:tcPr>
          <w:p w14:paraId="326BC5A2" w14:textId="77777777" w:rsidR="00726AAD" w:rsidRDefault="00000000">
            <w:pPr>
              <w:spacing w:line="360" w:lineRule="auto"/>
              <w:rPr>
                <w:rFonts w:ascii="宋体" w:hAnsi="宋体" w:hint="eastAsia"/>
                <w:bCs/>
                <w:iCs/>
                <w:sz w:val="24"/>
                <w:szCs w:val="24"/>
              </w:rPr>
            </w:pPr>
            <w:r>
              <w:rPr>
                <w:rFonts w:ascii="宋体" w:hAnsi="宋体" w:hint="eastAsia"/>
                <w:bCs/>
                <w:iCs/>
                <w:sz w:val="24"/>
                <w:szCs w:val="24"/>
              </w:rPr>
              <w:t>20</w:t>
            </w:r>
            <w:r>
              <w:rPr>
                <w:rFonts w:ascii="宋体" w:hAnsi="宋体"/>
                <w:bCs/>
                <w:iCs/>
                <w:sz w:val="24"/>
                <w:szCs w:val="24"/>
              </w:rPr>
              <w:t>2</w:t>
            </w:r>
            <w:r>
              <w:rPr>
                <w:rFonts w:ascii="宋体" w:hAnsi="宋体" w:hint="eastAsia"/>
                <w:bCs/>
                <w:iCs/>
                <w:sz w:val="24"/>
                <w:szCs w:val="24"/>
              </w:rPr>
              <w:t>4年12月19日-2024年12月20日</w:t>
            </w:r>
          </w:p>
        </w:tc>
      </w:tr>
      <w:tr w:rsidR="00726AAD" w14:paraId="2448A6CD" w14:textId="77777777">
        <w:tc>
          <w:tcPr>
            <w:tcW w:w="2093" w:type="dxa"/>
            <w:vAlign w:val="center"/>
          </w:tcPr>
          <w:p w14:paraId="3FEB7A8D"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参会方式</w:t>
            </w:r>
          </w:p>
        </w:tc>
        <w:tc>
          <w:tcPr>
            <w:tcW w:w="6203" w:type="dxa"/>
          </w:tcPr>
          <w:p w14:paraId="4C5F5090" w14:textId="77777777" w:rsidR="00726AAD" w:rsidRDefault="00000000">
            <w:pPr>
              <w:spacing w:line="360" w:lineRule="auto"/>
              <w:rPr>
                <w:rFonts w:ascii="宋体" w:hAnsi="宋体" w:hint="eastAsia"/>
                <w:bCs/>
                <w:iCs/>
                <w:sz w:val="24"/>
                <w:szCs w:val="24"/>
              </w:rPr>
            </w:pPr>
            <w:r>
              <w:rPr>
                <w:rFonts w:ascii="宋体" w:hAnsi="宋体" w:hint="eastAsia"/>
                <w:bCs/>
                <w:iCs/>
                <w:sz w:val="24"/>
                <w:szCs w:val="24"/>
              </w:rPr>
              <w:t>线下会议</w:t>
            </w:r>
          </w:p>
        </w:tc>
      </w:tr>
      <w:tr w:rsidR="00726AAD" w14:paraId="2200319B" w14:textId="77777777">
        <w:tc>
          <w:tcPr>
            <w:tcW w:w="2093" w:type="dxa"/>
            <w:vAlign w:val="center"/>
          </w:tcPr>
          <w:p w14:paraId="25249036"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上市公司接待人员姓名</w:t>
            </w:r>
          </w:p>
        </w:tc>
        <w:tc>
          <w:tcPr>
            <w:tcW w:w="6203" w:type="dxa"/>
            <w:vAlign w:val="center"/>
          </w:tcPr>
          <w:p w14:paraId="5422822E" w14:textId="77777777" w:rsidR="00726AAD" w:rsidRDefault="00000000">
            <w:pPr>
              <w:spacing w:line="360" w:lineRule="auto"/>
              <w:rPr>
                <w:rFonts w:ascii="宋体" w:hAnsi="宋体" w:hint="eastAsia"/>
                <w:bCs/>
                <w:iCs/>
                <w:sz w:val="24"/>
                <w:szCs w:val="24"/>
              </w:rPr>
            </w:pPr>
            <w:r>
              <w:rPr>
                <w:rFonts w:ascii="宋体" w:hAnsi="宋体" w:hint="eastAsia"/>
                <w:bCs/>
                <w:iCs/>
                <w:sz w:val="24"/>
                <w:szCs w:val="24"/>
              </w:rPr>
              <w:t>董事会秘书：魏丽萍女士</w:t>
            </w:r>
            <w:r>
              <w:rPr>
                <w:rFonts w:ascii="宋体" w:hAnsi="宋体"/>
                <w:bCs/>
                <w:iCs/>
                <w:sz w:val="24"/>
                <w:szCs w:val="24"/>
              </w:rPr>
              <w:br/>
            </w:r>
            <w:r>
              <w:rPr>
                <w:rFonts w:ascii="宋体" w:hAnsi="宋体" w:hint="eastAsia"/>
                <w:bCs/>
                <w:iCs/>
                <w:sz w:val="24"/>
                <w:szCs w:val="24"/>
              </w:rPr>
              <w:t>投资者关系总监：郭心驰女士</w:t>
            </w:r>
          </w:p>
        </w:tc>
      </w:tr>
      <w:tr w:rsidR="00726AAD" w14:paraId="276D98E0" w14:textId="77777777">
        <w:tc>
          <w:tcPr>
            <w:tcW w:w="2093" w:type="dxa"/>
            <w:vAlign w:val="center"/>
          </w:tcPr>
          <w:p w14:paraId="0394FAC4" w14:textId="77777777" w:rsidR="00726AAD" w:rsidRDefault="00000000">
            <w:pPr>
              <w:spacing w:line="360" w:lineRule="auto"/>
              <w:jc w:val="center"/>
              <w:rPr>
                <w:rFonts w:ascii="宋体" w:hAnsi="宋体" w:hint="eastAsia"/>
                <w:b/>
                <w:bCs/>
                <w:iCs/>
                <w:sz w:val="24"/>
                <w:szCs w:val="24"/>
              </w:rPr>
            </w:pPr>
            <w:r>
              <w:rPr>
                <w:rFonts w:ascii="宋体" w:hAnsi="宋体" w:hint="eastAsia"/>
                <w:b/>
                <w:bCs/>
                <w:iCs/>
                <w:sz w:val="24"/>
                <w:szCs w:val="24"/>
              </w:rPr>
              <w:t>投资者关系活动主要内容介绍</w:t>
            </w:r>
          </w:p>
        </w:tc>
        <w:tc>
          <w:tcPr>
            <w:tcW w:w="6203" w:type="dxa"/>
          </w:tcPr>
          <w:p w14:paraId="4D36C545" w14:textId="77777777" w:rsidR="00726AAD" w:rsidRDefault="00000000">
            <w:pPr>
              <w:numPr>
                <w:ilvl w:val="255"/>
                <w:numId w:val="0"/>
              </w:numPr>
              <w:spacing w:beforeLines="50" w:before="156" w:line="360" w:lineRule="auto"/>
              <w:ind w:firstLineChars="200" w:firstLine="480"/>
              <w:rPr>
                <w:sz w:val="24"/>
              </w:rPr>
            </w:pPr>
            <w:r>
              <w:rPr>
                <w:rFonts w:hint="eastAsia"/>
                <w:sz w:val="24"/>
              </w:rPr>
              <w:t>一、公司介绍环节</w:t>
            </w:r>
          </w:p>
          <w:p w14:paraId="0BC77868" w14:textId="77777777" w:rsidR="00726AAD" w:rsidRDefault="00000000">
            <w:pPr>
              <w:numPr>
                <w:ilvl w:val="255"/>
                <w:numId w:val="0"/>
              </w:numPr>
              <w:spacing w:beforeLines="50" w:before="156" w:line="360" w:lineRule="auto"/>
              <w:ind w:firstLineChars="200" w:firstLine="480"/>
              <w:rPr>
                <w:sz w:val="24"/>
              </w:rPr>
            </w:pPr>
            <w:r>
              <w:rPr>
                <w:rFonts w:hint="eastAsia"/>
                <w:sz w:val="24"/>
              </w:rPr>
              <w:t>公司是一家专业的药物临床前及临床综合研发服务</w:t>
            </w:r>
            <w:r>
              <w:rPr>
                <w:rFonts w:hint="eastAsia"/>
                <w:sz w:val="24"/>
              </w:rPr>
              <w:t xml:space="preserve"> CRO</w:t>
            </w:r>
            <w:r>
              <w:rPr>
                <w:rFonts w:hint="eastAsia"/>
                <w:sz w:val="24"/>
              </w:rPr>
              <w:t>，为国内医药企业和科研机构提供全方位的一站式药物研发服务，致力于协助国内医药制造企业加速实现进口替代和自主创新。服务内容主要包括药物发现、药理药效、药学研究、临床研究和生物分析。</w:t>
            </w:r>
          </w:p>
          <w:p w14:paraId="589DDFD0" w14:textId="77777777" w:rsidR="00726AAD" w:rsidRDefault="00000000">
            <w:pPr>
              <w:numPr>
                <w:ilvl w:val="255"/>
                <w:numId w:val="0"/>
              </w:numPr>
              <w:spacing w:beforeLines="50" w:before="156" w:line="360" w:lineRule="auto"/>
              <w:ind w:firstLineChars="200" w:firstLine="480"/>
              <w:rPr>
                <w:sz w:val="24"/>
              </w:rPr>
            </w:pPr>
            <w:r>
              <w:rPr>
                <w:rFonts w:hint="eastAsia"/>
                <w:sz w:val="24"/>
              </w:rPr>
              <w:t>公司</w:t>
            </w:r>
            <w:r>
              <w:rPr>
                <w:rFonts w:hint="eastAsia"/>
                <w:sz w:val="24"/>
              </w:rPr>
              <w:t>2024</w:t>
            </w:r>
            <w:r>
              <w:rPr>
                <w:rFonts w:hint="eastAsia"/>
                <w:sz w:val="24"/>
              </w:rPr>
              <w:t>年前三季度业绩稳定增长，实现营业收入</w:t>
            </w:r>
            <w:r>
              <w:rPr>
                <w:rFonts w:hint="eastAsia"/>
                <w:sz w:val="24"/>
              </w:rPr>
              <w:t>9.17</w:t>
            </w:r>
            <w:r>
              <w:rPr>
                <w:rFonts w:hint="eastAsia"/>
                <w:sz w:val="24"/>
              </w:rPr>
              <w:t>亿元，同比增长</w:t>
            </w:r>
            <w:r>
              <w:rPr>
                <w:rFonts w:hint="eastAsia"/>
                <w:sz w:val="24"/>
              </w:rPr>
              <w:t>32.47%</w:t>
            </w:r>
            <w:r>
              <w:rPr>
                <w:rFonts w:hint="eastAsia"/>
                <w:sz w:val="24"/>
              </w:rPr>
              <w:t>。实现归属于上市公司股东的净利润为</w:t>
            </w:r>
            <w:r>
              <w:rPr>
                <w:rFonts w:hint="eastAsia"/>
                <w:sz w:val="24"/>
              </w:rPr>
              <w:t>2.08</w:t>
            </w:r>
            <w:r>
              <w:rPr>
                <w:rFonts w:hint="eastAsia"/>
                <w:sz w:val="24"/>
              </w:rPr>
              <w:t>亿元，同比增长</w:t>
            </w:r>
            <w:r>
              <w:rPr>
                <w:rFonts w:hint="eastAsia"/>
                <w:sz w:val="24"/>
              </w:rPr>
              <w:t>21.40%</w:t>
            </w:r>
            <w:r>
              <w:rPr>
                <w:rFonts w:hint="eastAsia"/>
                <w:sz w:val="24"/>
              </w:rPr>
              <w:t>，实现归属于上市公司股东的扣除非经常性损益的净利润</w:t>
            </w:r>
            <w:r>
              <w:rPr>
                <w:rFonts w:hint="eastAsia"/>
                <w:sz w:val="24"/>
              </w:rPr>
              <w:t>2.02</w:t>
            </w:r>
            <w:r>
              <w:rPr>
                <w:rFonts w:hint="eastAsia"/>
                <w:sz w:val="24"/>
              </w:rPr>
              <w:t>亿元，同比增长</w:t>
            </w:r>
            <w:r>
              <w:rPr>
                <w:rFonts w:hint="eastAsia"/>
                <w:sz w:val="24"/>
              </w:rPr>
              <w:t>20.19%</w:t>
            </w:r>
            <w:r>
              <w:rPr>
                <w:rFonts w:hint="eastAsia"/>
                <w:sz w:val="24"/>
              </w:rPr>
              <w:t>。</w:t>
            </w:r>
            <w:r>
              <w:rPr>
                <w:rFonts w:hint="eastAsia"/>
                <w:sz w:val="24"/>
              </w:rPr>
              <w:t>2024</w:t>
            </w:r>
            <w:r>
              <w:rPr>
                <w:rFonts w:hint="eastAsia"/>
                <w:sz w:val="24"/>
              </w:rPr>
              <w:t>年第三季度实现营业收入</w:t>
            </w:r>
            <w:r>
              <w:rPr>
                <w:rFonts w:hint="eastAsia"/>
                <w:sz w:val="24"/>
              </w:rPr>
              <w:t>3.54</w:t>
            </w:r>
            <w:r>
              <w:rPr>
                <w:rFonts w:hint="eastAsia"/>
                <w:sz w:val="24"/>
              </w:rPr>
              <w:t>亿元，同</w:t>
            </w:r>
            <w:r>
              <w:rPr>
                <w:rFonts w:hint="eastAsia"/>
                <w:sz w:val="24"/>
              </w:rPr>
              <w:lastRenderedPageBreak/>
              <w:t>比增长</w:t>
            </w:r>
            <w:r>
              <w:rPr>
                <w:rFonts w:hint="eastAsia"/>
                <w:sz w:val="24"/>
              </w:rPr>
              <w:t>53.20%</w:t>
            </w:r>
            <w:r>
              <w:rPr>
                <w:rFonts w:hint="eastAsia"/>
                <w:sz w:val="24"/>
              </w:rPr>
              <w:t>。实现归属于上市公司股东的净利润为</w:t>
            </w:r>
            <w:r>
              <w:rPr>
                <w:rFonts w:hint="eastAsia"/>
                <w:sz w:val="24"/>
              </w:rPr>
              <w:t>5911.73</w:t>
            </w:r>
            <w:r>
              <w:rPr>
                <w:rFonts w:hint="eastAsia"/>
                <w:sz w:val="24"/>
              </w:rPr>
              <w:t>万元，同比增长</w:t>
            </w:r>
            <w:r>
              <w:rPr>
                <w:rFonts w:hint="eastAsia"/>
                <w:sz w:val="24"/>
              </w:rPr>
              <w:t>11.37%</w:t>
            </w:r>
            <w:r>
              <w:rPr>
                <w:rFonts w:hint="eastAsia"/>
                <w:sz w:val="24"/>
              </w:rPr>
              <w:t>。</w:t>
            </w:r>
            <w:r>
              <w:rPr>
                <w:rFonts w:hint="eastAsia"/>
                <w:sz w:val="24"/>
              </w:rPr>
              <w:t>2024</w:t>
            </w:r>
            <w:r>
              <w:rPr>
                <w:rFonts w:hint="eastAsia"/>
                <w:sz w:val="24"/>
              </w:rPr>
              <w:t>前三季度研发投入</w:t>
            </w:r>
            <w:r>
              <w:rPr>
                <w:rFonts w:hint="eastAsia"/>
                <w:sz w:val="24"/>
              </w:rPr>
              <w:t>1.20</w:t>
            </w:r>
            <w:r>
              <w:rPr>
                <w:rFonts w:hint="eastAsia"/>
                <w:sz w:val="24"/>
              </w:rPr>
              <w:t>亿元，同比增长</w:t>
            </w:r>
            <w:r>
              <w:rPr>
                <w:rFonts w:hint="eastAsia"/>
                <w:sz w:val="24"/>
              </w:rPr>
              <w:t>43.76%</w:t>
            </w:r>
            <w:r>
              <w:rPr>
                <w:rFonts w:hint="eastAsia"/>
                <w:sz w:val="24"/>
              </w:rPr>
              <w:t>，第三季度研发费用</w:t>
            </w:r>
            <w:r>
              <w:rPr>
                <w:rFonts w:hint="eastAsia"/>
                <w:sz w:val="24"/>
              </w:rPr>
              <w:t>5041.19</w:t>
            </w:r>
            <w:r>
              <w:rPr>
                <w:rFonts w:hint="eastAsia"/>
                <w:sz w:val="24"/>
              </w:rPr>
              <w:t>万元，较上年同期增长</w:t>
            </w:r>
            <w:r>
              <w:rPr>
                <w:rFonts w:hint="eastAsia"/>
                <w:sz w:val="24"/>
              </w:rPr>
              <w:t>69.38%</w:t>
            </w:r>
          </w:p>
          <w:p w14:paraId="5242BECC" w14:textId="77777777" w:rsidR="00726AAD" w:rsidRDefault="00000000">
            <w:pPr>
              <w:numPr>
                <w:ilvl w:val="255"/>
                <w:numId w:val="0"/>
              </w:numPr>
              <w:spacing w:beforeLines="50" w:before="156" w:line="360" w:lineRule="auto"/>
              <w:ind w:firstLineChars="200" w:firstLine="482"/>
              <w:rPr>
                <w:rFonts w:ascii="宋体" w:hAnsi="宋体" w:hint="eastAsia"/>
                <w:b/>
                <w:iCs/>
                <w:sz w:val="24"/>
                <w:szCs w:val="24"/>
              </w:rPr>
            </w:pPr>
            <w:r>
              <w:rPr>
                <w:rFonts w:ascii="宋体" w:hAnsi="宋体" w:hint="eastAsia"/>
                <w:b/>
                <w:iCs/>
                <w:sz w:val="24"/>
                <w:szCs w:val="24"/>
              </w:rPr>
              <w:t>二、问答环节</w:t>
            </w:r>
          </w:p>
          <w:p w14:paraId="099D280B" w14:textId="7D446975" w:rsidR="00726AAD" w:rsidRDefault="00000000">
            <w:pPr>
              <w:numPr>
                <w:ilvl w:val="255"/>
                <w:numId w:val="0"/>
              </w:numPr>
              <w:spacing w:beforeLines="50" w:before="156" w:line="360" w:lineRule="auto"/>
              <w:ind w:firstLineChars="200" w:firstLine="482"/>
              <w:rPr>
                <w:rFonts w:ascii="宋体" w:hAnsi="宋体" w:hint="eastAsia"/>
                <w:bCs/>
                <w:iCs/>
                <w:sz w:val="24"/>
                <w:szCs w:val="24"/>
              </w:rPr>
            </w:pPr>
            <w:r>
              <w:rPr>
                <w:rFonts w:ascii="宋体" w:hAnsi="宋体" w:hint="eastAsia"/>
                <w:b/>
                <w:iCs/>
                <w:sz w:val="24"/>
                <w:szCs w:val="24"/>
              </w:rPr>
              <w:t>1.公司目前订单情况如何？对于明年订单如何预期？</w:t>
            </w:r>
          </w:p>
          <w:p w14:paraId="6C0CED22" w14:textId="77777777" w:rsidR="00726AAD" w:rsidRDefault="00000000">
            <w:pPr>
              <w:numPr>
                <w:ilvl w:val="255"/>
                <w:numId w:val="0"/>
              </w:numPr>
              <w:spacing w:beforeLines="50" w:before="156" w:line="360" w:lineRule="auto"/>
              <w:ind w:firstLineChars="200" w:firstLine="480"/>
              <w:rPr>
                <w:rFonts w:ascii="宋体" w:hAnsi="宋体" w:hint="eastAsia"/>
                <w:bCs/>
                <w:iCs/>
                <w:sz w:val="24"/>
                <w:szCs w:val="24"/>
              </w:rPr>
            </w:pPr>
            <w:r>
              <w:rPr>
                <w:rFonts w:ascii="宋体" w:hAnsi="宋体" w:hint="eastAsia"/>
                <w:bCs/>
                <w:iCs/>
                <w:sz w:val="24"/>
                <w:szCs w:val="24"/>
              </w:rPr>
              <w:t>企业所具备的“临床前+临床”一体化研发服务模式展现出显著的竞争优势，该模式能够充分满足客户多元化的服务需求，进而提升药物研发的成功率与效率。这种优势有助于增强企业获取订单的能力。</w:t>
            </w:r>
          </w:p>
          <w:p w14:paraId="1355C0B9" w14:textId="77777777" w:rsidR="00726AAD" w:rsidRDefault="00000000">
            <w:pPr>
              <w:numPr>
                <w:ilvl w:val="255"/>
                <w:numId w:val="0"/>
              </w:numPr>
              <w:spacing w:beforeLines="50" w:before="156" w:line="360" w:lineRule="auto"/>
              <w:ind w:firstLineChars="200" w:firstLine="480"/>
              <w:rPr>
                <w:rFonts w:ascii="宋体" w:hAnsi="宋体" w:hint="eastAsia"/>
                <w:bCs/>
                <w:iCs/>
                <w:sz w:val="24"/>
                <w:szCs w:val="24"/>
              </w:rPr>
            </w:pPr>
            <w:r>
              <w:rPr>
                <w:rFonts w:ascii="宋体" w:hAnsi="宋体" w:hint="eastAsia"/>
                <w:bCs/>
                <w:iCs/>
                <w:sz w:val="24"/>
                <w:szCs w:val="24"/>
              </w:rPr>
              <w:t>面对当前行业内竞争的加剧，企业采取了更为积极的市场拓展策略，通过定期与客户进行项目规划的沟通，以确保研发服务的精准对接。截至目前新拓客户和订单趋势良好。</w:t>
            </w:r>
          </w:p>
          <w:p w14:paraId="1579521E" w14:textId="77777777" w:rsidR="00726AAD" w:rsidRDefault="00000000">
            <w:pPr>
              <w:numPr>
                <w:ilvl w:val="0"/>
                <w:numId w:val="1"/>
              </w:numPr>
              <w:spacing w:beforeLines="50" w:before="156" w:line="360" w:lineRule="auto"/>
              <w:ind w:firstLineChars="200" w:firstLine="482"/>
              <w:rPr>
                <w:b/>
                <w:iCs/>
                <w:sz w:val="24"/>
                <w:szCs w:val="24"/>
              </w:rPr>
            </w:pPr>
            <w:r>
              <w:rPr>
                <w:rFonts w:hint="eastAsia"/>
                <w:b/>
                <w:iCs/>
                <w:sz w:val="24"/>
                <w:szCs w:val="24"/>
              </w:rPr>
              <w:t>请介绍公司目前进展较快的自研创新项目或者合作项目？</w:t>
            </w:r>
            <w:r>
              <w:rPr>
                <w:rFonts w:hint="eastAsia"/>
                <w:b/>
                <w:iCs/>
                <w:sz w:val="24"/>
                <w:szCs w:val="24"/>
              </w:rPr>
              <w:t xml:space="preserve"> </w:t>
            </w:r>
          </w:p>
          <w:p w14:paraId="79B69861" w14:textId="0C1EE6A4" w:rsidR="00726AAD" w:rsidRDefault="00000000">
            <w:pPr>
              <w:numPr>
                <w:ilvl w:val="255"/>
                <w:numId w:val="0"/>
              </w:numPr>
              <w:spacing w:beforeLines="50" w:before="156" w:line="360" w:lineRule="auto"/>
              <w:ind w:firstLineChars="200" w:firstLine="480"/>
              <w:rPr>
                <w:rFonts w:ascii="宋体" w:hAnsi="宋体" w:hint="eastAsia"/>
                <w:bCs/>
                <w:iCs/>
                <w:sz w:val="24"/>
                <w:szCs w:val="24"/>
              </w:rPr>
            </w:pPr>
            <w:r>
              <w:rPr>
                <w:rFonts w:ascii="宋体" w:hAnsi="宋体" w:hint="eastAsia"/>
                <w:bCs/>
                <w:iCs/>
                <w:sz w:val="24"/>
                <w:szCs w:val="24"/>
              </w:rPr>
              <w:t>目前公司自研立项1类创新药项目共12项，进度较快的是控股公司诺和晟泰在研的“STC007 注射液”已经进入临床二期，其主要适应症为治疗接受血液透析（HD）的成人慢性肾脏疾病相关的中至重度瘙痒（CKD-aP）及治疗术后疼痛，“STC008 注射液”于2024年7月获得临床试验许可，其主要适应症为治疗晚期实体瘤的肿瘤恶液质，此外，公司与艺妙神州及其子公司再妙生物合作的自身免疫性疾病品种，治疗系统性红斑狼疮适应的CAR-T药物ZM001注射液，已经于2024年7月底申报临床受理，于10月取得了药物临床实验批准通知书</w:t>
            </w:r>
            <w:r w:rsidR="00C920F3">
              <w:rPr>
                <w:rFonts w:ascii="宋体" w:hAnsi="宋体" w:hint="eastAsia"/>
                <w:bCs/>
                <w:iCs/>
                <w:sz w:val="24"/>
                <w:szCs w:val="24"/>
              </w:rPr>
              <w:t>，目前</w:t>
            </w:r>
            <w:r w:rsidR="00C920F3" w:rsidRPr="00C920F3">
              <w:rPr>
                <w:rFonts w:ascii="宋体" w:hAnsi="宋体" w:hint="eastAsia"/>
                <w:bCs/>
                <w:iCs/>
                <w:sz w:val="24"/>
                <w:szCs w:val="24"/>
              </w:rPr>
              <w:t>已经开始I期临</w:t>
            </w:r>
            <w:r w:rsidR="00C920F3" w:rsidRPr="00C920F3">
              <w:rPr>
                <w:rFonts w:ascii="宋体" w:hAnsi="宋体" w:hint="eastAsia"/>
                <w:bCs/>
                <w:iCs/>
                <w:sz w:val="24"/>
                <w:szCs w:val="24"/>
              </w:rPr>
              <w:lastRenderedPageBreak/>
              <w:t>床</w:t>
            </w:r>
            <w:r>
              <w:rPr>
                <w:rFonts w:ascii="宋体" w:hAnsi="宋体" w:hint="eastAsia"/>
                <w:bCs/>
                <w:iCs/>
                <w:sz w:val="24"/>
                <w:szCs w:val="24"/>
              </w:rPr>
              <w:t>。</w:t>
            </w:r>
          </w:p>
          <w:p w14:paraId="13EF8075" w14:textId="77777777" w:rsidR="00726AAD" w:rsidRDefault="00000000">
            <w:pPr>
              <w:numPr>
                <w:ilvl w:val="0"/>
                <w:numId w:val="2"/>
              </w:numPr>
              <w:spacing w:beforeLines="50" w:before="156" w:line="360" w:lineRule="auto"/>
              <w:ind w:firstLineChars="200" w:firstLine="482"/>
              <w:rPr>
                <w:b/>
                <w:sz w:val="24"/>
              </w:rPr>
            </w:pPr>
            <w:r>
              <w:rPr>
                <w:rFonts w:hint="eastAsia"/>
                <w:b/>
                <w:sz w:val="24"/>
              </w:rPr>
              <w:t>结合目前行业变化，公司如何考虑未来的发展战略？</w:t>
            </w:r>
            <w:r>
              <w:rPr>
                <w:rFonts w:hint="eastAsia"/>
                <w:b/>
                <w:sz w:val="24"/>
              </w:rPr>
              <w:t xml:space="preserve"> </w:t>
            </w:r>
          </w:p>
          <w:p w14:paraId="7E1FA717" w14:textId="77777777" w:rsidR="00726AAD" w:rsidRDefault="00000000">
            <w:pPr>
              <w:numPr>
                <w:ilvl w:val="255"/>
                <w:numId w:val="0"/>
              </w:numPr>
              <w:spacing w:beforeLines="50" w:before="156" w:line="360" w:lineRule="auto"/>
              <w:ind w:firstLineChars="200" w:firstLine="480"/>
              <w:rPr>
                <w:bCs/>
                <w:sz w:val="24"/>
              </w:rPr>
            </w:pPr>
            <w:r>
              <w:rPr>
                <w:rFonts w:hint="eastAsia"/>
                <w:bCs/>
                <w:sz w:val="24"/>
              </w:rPr>
              <w:t>针对当前外部环境的挑战，公司一方面持续加大研发投入力度，通过技术创新和产品差异化来提升市场竞争力。公司积极研发特色化的核心技术，在包括特殊剂型、特殊给药途径、新型复方制剂药物开发、多肽及小核酸类药物开发、复杂注射剂开发、儿童用药及罕见病用药开发等高难度研发领域，形成了多个特色化的核心技术集群。以新型复方制剂为例，需要在复方改进、药效学增效、降低毒副作用和杂质控制等多方面实现技术突破，在技术开发上具有较高难度。因此，与全面综合型</w:t>
            </w:r>
            <w:r>
              <w:rPr>
                <w:rFonts w:hint="eastAsia"/>
                <w:bCs/>
                <w:sz w:val="24"/>
              </w:rPr>
              <w:t xml:space="preserve">CRO </w:t>
            </w:r>
            <w:r>
              <w:rPr>
                <w:rFonts w:hint="eastAsia"/>
                <w:bCs/>
                <w:sz w:val="24"/>
              </w:rPr>
              <w:t>公司及其他同行业竞争对手相比，公司在部分核心技术的特色化上处于竞争优势。</w:t>
            </w:r>
          </w:p>
          <w:p w14:paraId="0EFC4A5A" w14:textId="77777777" w:rsidR="00726AAD" w:rsidRDefault="00000000">
            <w:pPr>
              <w:numPr>
                <w:ilvl w:val="255"/>
                <w:numId w:val="0"/>
              </w:numPr>
              <w:spacing w:beforeLines="50" w:before="156" w:line="360" w:lineRule="auto"/>
              <w:ind w:firstLineChars="200" w:firstLine="480"/>
              <w:rPr>
                <w:bCs/>
                <w:sz w:val="24"/>
              </w:rPr>
            </w:pPr>
            <w:r>
              <w:rPr>
                <w:rFonts w:hint="eastAsia"/>
                <w:bCs/>
                <w:sz w:val="24"/>
              </w:rPr>
              <w:t>另一方面公司拓展新的业务领域，除了传统的药物研发服务外，积极探索新的业务增长点，尤其是我们的自主立项研发品种以及与合作方合作研发品种已经取得了一定的进展。公司总计</w:t>
            </w:r>
            <w:r>
              <w:rPr>
                <w:rFonts w:hint="eastAsia"/>
                <w:bCs/>
                <w:iCs/>
                <w:sz w:val="24"/>
                <w:szCs w:val="24"/>
              </w:rPr>
              <w:t>自主立项了</w:t>
            </w:r>
            <w:r>
              <w:rPr>
                <w:rFonts w:hint="eastAsia"/>
                <w:bCs/>
                <w:iCs/>
                <w:sz w:val="24"/>
                <w:szCs w:val="24"/>
              </w:rPr>
              <w:t>400</w:t>
            </w:r>
            <w:r>
              <w:rPr>
                <w:rFonts w:hint="eastAsia"/>
                <w:bCs/>
                <w:iCs/>
                <w:sz w:val="24"/>
                <w:szCs w:val="24"/>
              </w:rPr>
              <w:t>多项产品储备，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w:t>
            </w:r>
          </w:p>
          <w:p w14:paraId="6E90DF7E" w14:textId="1882C805" w:rsidR="00726AAD" w:rsidRDefault="00000000">
            <w:pPr>
              <w:numPr>
                <w:ilvl w:val="255"/>
                <w:numId w:val="0"/>
              </w:numPr>
              <w:spacing w:beforeLines="50" w:before="156" w:line="360" w:lineRule="auto"/>
              <w:ind w:firstLineChars="200" w:firstLine="480"/>
              <w:rPr>
                <w:bCs/>
                <w:sz w:val="24"/>
              </w:rPr>
            </w:pPr>
            <w:r>
              <w:rPr>
                <w:rFonts w:hint="eastAsia"/>
                <w:bCs/>
                <w:sz w:val="24"/>
              </w:rPr>
              <w:t>综合以上两个方面，通过几年来的项目经验积累和能力培养，目前公司已经在一些特殊领域形成了技术优势，比如多肽、儿童药</w:t>
            </w:r>
            <w:r>
              <w:rPr>
                <w:rFonts w:hint="eastAsia"/>
                <w:bCs/>
                <w:sz w:val="24"/>
              </w:rPr>
              <w:t>/</w:t>
            </w:r>
            <w:r>
              <w:rPr>
                <w:rFonts w:hint="eastAsia"/>
                <w:bCs/>
                <w:sz w:val="24"/>
              </w:rPr>
              <w:t>罕见病、长效微球制剂、缓控释制剂、局部递送与透皮吸收药物等领域。同时公司仍在向一些新的业务领域进行拓展，比如</w:t>
            </w:r>
            <w:r>
              <w:rPr>
                <w:rFonts w:hint="eastAsia"/>
                <w:bCs/>
                <w:sz w:val="24"/>
              </w:rPr>
              <w:t>核药</w:t>
            </w:r>
            <w:r>
              <w:rPr>
                <w:rFonts w:hint="eastAsia"/>
                <w:bCs/>
                <w:sz w:val="24"/>
              </w:rPr>
              <w:t>、宠物药等。公司整体技</w:t>
            </w:r>
            <w:r>
              <w:rPr>
                <w:rFonts w:hint="eastAsia"/>
                <w:bCs/>
                <w:sz w:val="24"/>
              </w:rPr>
              <w:lastRenderedPageBreak/>
              <w:t>术创新实力、研发服务能力和市场竞争力与日俱增，并将挖掘更多、更长期的业绩增长点。</w:t>
            </w:r>
          </w:p>
          <w:p w14:paraId="1630CA43" w14:textId="77777777" w:rsidR="00726AAD" w:rsidRDefault="00000000">
            <w:pPr>
              <w:numPr>
                <w:ilvl w:val="0"/>
                <w:numId w:val="2"/>
              </w:numPr>
              <w:spacing w:beforeLines="50" w:before="156" w:line="360" w:lineRule="auto"/>
              <w:ind w:firstLineChars="200" w:firstLine="482"/>
              <w:rPr>
                <w:b/>
                <w:sz w:val="24"/>
              </w:rPr>
            </w:pPr>
            <w:r>
              <w:rPr>
                <w:rFonts w:hint="eastAsia"/>
                <w:b/>
                <w:sz w:val="24"/>
              </w:rPr>
              <w:t>公司</w:t>
            </w:r>
            <w:r>
              <w:rPr>
                <w:rFonts w:hint="eastAsia"/>
                <w:b/>
                <w:sz w:val="24"/>
              </w:rPr>
              <w:t>CRO</w:t>
            </w:r>
            <w:r>
              <w:rPr>
                <w:rFonts w:hint="eastAsia"/>
                <w:b/>
                <w:sz w:val="24"/>
              </w:rPr>
              <w:t>服务客户主要是什么类型的企业？客户的研发服务方向是否有变化？</w:t>
            </w:r>
          </w:p>
          <w:p w14:paraId="71030A99" w14:textId="0BD9D1AC" w:rsidR="00726AAD" w:rsidRDefault="00000000">
            <w:pPr>
              <w:spacing w:beforeLines="50" w:before="156" w:line="360" w:lineRule="auto"/>
              <w:ind w:firstLineChars="200" w:firstLine="480"/>
              <w:rPr>
                <w:bCs/>
                <w:sz w:val="24"/>
              </w:rPr>
            </w:pPr>
            <w:r>
              <w:rPr>
                <w:rFonts w:hint="eastAsia"/>
                <w:bCs/>
                <w:sz w:val="24"/>
              </w:rPr>
              <w:t>公司作为一家专业的</w:t>
            </w:r>
            <w:r>
              <w:rPr>
                <w:rFonts w:hint="eastAsia"/>
                <w:bCs/>
                <w:sz w:val="24"/>
              </w:rPr>
              <w:t>CRO</w:t>
            </w:r>
            <w:r>
              <w:rPr>
                <w:rFonts w:hint="eastAsia"/>
                <w:bCs/>
                <w:sz w:val="24"/>
              </w:rPr>
              <w:t>服务提供商，我们目前为超过</w:t>
            </w:r>
            <w:r>
              <w:rPr>
                <w:rFonts w:hint="eastAsia"/>
                <w:bCs/>
                <w:sz w:val="24"/>
              </w:rPr>
              <w:t>800</w:t>
            </w:r>
            <w:r>
              <w:rPr>
                <w:rFonts w:hint="eastAsia"/>
                <w:bCs/>
                <w:sz w:val="24"/>
              </w:rPr>
              <w:t>家客户提供了一站式全流程服务，涵盖了从药物研发到临床试验的各个环节。我们的客户类型多样，但目前的主力客户群体还是药企，尤其是国内传统的中大型药企。</w:t>
            </w:r>
          </w:p>
          <w:p w14:paraId="31FB43A0" w14:textId="3E4D5EDE" w:rsidR="00726AAD" w:rsidRDefault="00000000">
            <w:pPr>
              <w:spacing w:beforeLines="50" w:before="156" w:line="360" w:lineRule="auto"/>
              <w:ind w:firstLineChars="200" w:firstLine="480"/>
              <w:rPr>
                <w:bCs/>
                <w:sz w:val="24"/>
              </w:rPr>
            </w:pPr>
            <w:r>
              <w:rPr>
                <w:rFonts w:hint="eastAsia"/>
                <w:bCs/>
                <w:sz w:val="24"/>
              </w:rPr>
              <w:t>随着存量合作客户的逐渐增加，我们会基于客户的特点做客户画像的分析。随着集采和行业变化的影响，各类客户也会根据本身的营收和利润情况，由单纯的仿制药布局转型到布局更多</w:t>
            </w:r>
            <w:r>
              <w:rPr>
                <w:rFonts w:hint="eastAsia"/>
                <w:bCs/>
                <w:sz w:val="24"/>
              </w:rPr>
              <w:t>2</w:t>
            </w:r>
            <w:r>
              <w:rPr>
                <w:rFonts w:hint="eastAsia"/>
                <w:bCs/>
                <w:sz w:val="24"/>
              </w:rPr>
              <w:t>类、</w:t>
            </w:r>
            <w:r>
              <w:rPr>
                <w:rFonts w:hint="eastAsia"/>
                <w:bCs/>
                <w:sz w:val="24"/>
              </w:rPr>
              <w:t>3</w:t>
            </w:r>
            <w:r>
              <w:rPr>
                <w:rFonts w:hint="eastAsia"/>
                <w:bCs/>
                <w:sz w:val="24"/>
              </w:rPr>
              <w:t>类产品甚至</w:t>
            </w:r>
            <w:r>
              <w:rPr>
                <w:rFonts w:hint="eastAsia"/>
                <w:bCs/>
                <w:sz w:val="24"/>
              </w:rPr>
              <w:t>1</w:t>
            </w:r>
            <w:r>
              <w:rPr>
                <w:rFonts w:hint="eastAsia"/>
                <w:bCs/>
                <w:sz w:val="24"/>
              </w:rPr>
              <w:t>类创新药上，</w:t>
            </w:r>
            <w:r>
              <w:rPr>
                <w:rFonts w:hint="eastAsia"/>
                <w:bCs/>
                <w:sz w:val="24"/>
              </w:rPr>
              <w:t>2</w:t>
            </w:r>
            <w:r>
              <w:rPr>
                <w:rFonts w:hint="eastAsia"/>
                <w:bCs/>
                <w:sz w:val="24"/>
              </w:rPr>
              <w:t>类、</w:t>
            </w:r>
            <w:r>
              <w:rPr>
                <w:rFonts w:hint="eastAsia"/>
                <w:bCs/>
                <w:sz w:val="24"/>
              </w:rPr>
              <w:t>3</w:t>
            </w:r>
            <w:r>
              <w:rPr>
                <w:rFonts w:hint="eastAsia"/>
                <w:bCs/>
                <w:sz w:val="24"/>
              </w:rPr>
              <w:t>类产品相对来说成药性更高、整个临床的投入也相对可控、周期比创新药来说相对短一些，客户在研发投入上更加积极。</w:t>
            </w:r>
          </w:p>
          <w:p w14:paraId="15CEE657" w14:textId="77777777" w:rsidR="00726AAD" w:rsidRDefault="00000000">
            <w:pPr>
              <w:numPr>
                <w:ilvl w:val="0"/>
                <w:numId w:val="2"/>
              </w:numPr>
              <w:spacing w:beforeLines="50" w:before="156" w:line="360" w:lineRule="auto"/>
              <w:ind w:firstLineChars="200" w:firstLine="482"/>
              <w:rPr>
                <w:bCs/>
                <w:sz w:val="24"/>
              </w:rPr>
            </w:pPr>
            <w:r>
              <w:rPr>
                <w:rFonts w:hint="eastAsia"/>
                <w:b/>
                <w:sz w:val="24"/>
              </w:rPr>
              <w:t>公司的研发投入预期，以及研发投入主要用于哪些业务？</w:t>
            </w:r>
          </w:p>
          <w:p w14:paraId="4299DC0D" w14:textId="77777777" w:rsidR="00726AAD" w:rsidRDefault="00000000">
            <w:pPr>
              <w:spacing w:beforeLines="50" w:before="156" w:line="360" w:lineRule="auto"/>
              <w:ind w:firstLineChars="200" w:firstLine="480"/>
              <w:rPr>
                <w:bCs/>
                <w:sz w:val="24"/>
              </w:rPr>
            </w:pPr>
            <w:r>
              <w:rPr>
                <w:rFonts w:hint="eastAsia"/>
                <w:bCs/>
                <w:sz w:val="24"/>
              </w:rPr>
              <w:t>公司已披露前三季度研发费用</w:t>
            </w:r>
            <w:r>
              <w:rPr>
                <w:rFonts w:hint="eastAsia"/>
                <w:bCs/>
                <w:sz w:val="24"/>
              </w:rPr>
              <w:t>1.20</w:t>
            </w:r>
            <w:r>
              <w:rPr>
                <w:rFonts w:hint="eastAsia"/>
                <w:bCs/>
                <w:sz w:val="24"/>
              </w:rPr>
              <w:t>亿元，较上年同期增长</w:t>
            </w:r>
            <w:r>
              <w:rPr>
                <w:rFonts w:hint="eastAsia"/>
                <w:bCs/>
                <w:sz w:val="24"/>
              </w:rPr>
              <w:t>43.76%</w:t>
            </w:r>
            <w:r>
              <w:rPr>
                <w:rFonts w:hint="eastAsia"/>
                <w:bCs/>
                <w:sz w:val="24"/>
              </w:rPr>
              <w:t>，第三季度研发费用</w:t>
            </w:r>
            <w:r>
              <w:rPr>
                <w:rFonts w:hint="eastAsia"/>
                <w:bCs/>
                <w:sz w:val="24"/>
              </w:rPr>
              <w:t>5041.19</w:t>
            </w:r>
            <w:r>
              <w:rPr>
                <w:rFonts w:hint="eastAsia"/>
                <w:bCs/>
                <w:sz w:val="24"/>
              </w:rPr>
              <w:t>万元，较上年同期增长</w:t>
            </w:r>
            <w:r>
              <w:rPr>
                <w:rFonts w:hint="eastAsia"/>
                <w:bCs/>
                <w:sz w:val="24"/>
              </w:rPr>
              <w:t xml:space="preserve"> 69.38%</w:t>
            </w:r>
            <w:r>
              <w:rPr>
                <w:rFonts w:hint="eastAsia"/>
                <w:bCs/>
                <w:sz w:val="24"/>
              </w:rPr>
              <w:t>。为了保持产品的技术领先，前三季度加大了研发投入力度，研发人员数量、研发材料费用等均较去年同期有较大幅度增长。</w:t>
            </w:r>
          </w:p>
          <w:p w14:paraId="4EF5F40A" w14:textId="77777777" w:rsidR="00726AAD" w:rsidRDefault="00000000">
            <w:pPr>
              <w:spacing w:beforeLines="50" w:before="156" w:line="360" w:lineRule="auto"/>
              <w:ind w:firstLineChars="200" w:firstLine="480"/>
              <w:rPr>
                <w:bCs/>
                <w:sz w:val="24"/>
              </w:rPr>
            </w:pPr>
            <w:r>
              <w:rPr>
                <w:rFonts w:hint="eastAsia"/>
                <w:bCs/>
                <w:sz w:val="24"/>
              </w:rPr>
              <w:t>公司一直将研发作为企业发展的核心驱动力，保持了持续增长的研发投入。公司近年来研发投入占营收的比重一直维持在</w:t>
            </w:r>
            <w:r>
              <w:rPr>
                <w:rFonts w:hint="eastAsia"/>
                <w:bCs/>
                <w:sz w:val="24"/>
              </w:rPr>
              <w:t xml:space="preserve"> 10%-15%</w:t>
            </w:r>
            <w:r>
              <w:rPr>
                <w:rFonts w:hint="eastAsia"/>
                <w:bCs/>
                <w:sz w:val="24"/>
              </w:rPr>
              <w:t>之间。公司的研发投入主要用于自主立项的创新药、改良型新药和仿制药项目。在自主研发</w:t>
            </w:r>
            <w:r>
              <w:rPr>
                <w:rFonts w:hint="eastAsia"/>
                <w:bCs/>
                <w:sz w:val="24"/>
              </w:rPr>
              <w:lastRenderedPageBreak/>
              <w:t>的创新药项目方面，公司在研产品主要应用在镇痛、肾病与透析、肿瘤辅助、心脑血管、抗菌用药等适应症领域；在改良型新药方面，公司在药物传递系统上开展技术研发及产业转化研究，以长效微球制剂、缓控释制剂等为研发重点；在仿制药方面，公司在研产品重点包括复杂注射剂、多肽制剂、局部递送与透皮吸收药物、儿童用药、罕见病用药及其他特殊制剂等。</w:t>
            </w:r>
          </w:p>
          <w:p w14:paraId="2CB3A874" w14:textId="77777777" w:rsidR="00726AAD" w:rsidRDefault="00000000">
            <w:pPr>
              <w:spacing w:beforeLines="50" w:before="156" w:line="360" w:lineRule="auto"/>
              <w:ind w:firstLineChars="200" w:firstLine="480"/>
              <w:rPr>
                <w:bCs/>
                <w:sz w:val="24"/>
              </w:rPr>
            </w:pPr>
            <w:r>
              <w:rPr>
                <w:rFonts w:hint="eastAsia"/>
                <w:bCs/>
                <w:sz w:val="24"/>
              </w:rPr>
              <w:t>为了在行业中保持良好的竞争力，为了长期可持续发展，公司未来将持续注重研发和创新能力提升。</w:t>
            </w:r>
          </w:p>
          <w:p w14:paraId="06D63D85" w14:textId="77777777" w:rsidR="00726AAD" w:rsidRDefault="00000000">
            <w:pPr>
              <w:numPr>
                <w:ilvl w:val="0"/>
                <w:numId w:val="2"/>
              </w:numPr>
              <w:spacing w:beforeLines="50" w:before="156" w:line="360" w:lineRule="auto"/>
              <w:ind w:firstLineChars="200" w:firstLine="482"/>
              <w:rPr>
                <w:b/>
                <w:sz w:val="24"/>
              </w:rPr>
            </w:pPr>
            <w:r>
              <w:rPr>
                <w:rFonts w:hint="eastAsia"/>
                <w:b/>
                <w:sz w:val="24"/>
              </w:rPr>
              <w:t>公司动保业务情况？</w:t>
            </w:r>
          </w:p>
          <w:p w14:paraId="54712820" w14:textId="77777777" w:rsidR="00726AAD" w:rsidRDefault="00000000">
            <w:pPr>
              <w:spacing w:beforeLines="50" w:before="156" w:line="360" w:lineRule="auto"/>
              <w:ind w:firstLineChars="200" w:firstLine="480"/>
              <w:rPr>
                <w:bCs/>
                <w:sz w:val="24"/>
              </w:rPr>
            </w:pPr>
            <w:r>
              <w:rPr>
                <w:rFonts w:hint="eastAsia"/>
                <w:bCs/>
                <w:sz w:val="24"/>
              </w:rPr>
              <w:t>公司聚焦于</w:t>
            </w:r>
            <w:r>
              <w:rPr>
                <w:rFonts w:hint="eastAsia"/>
                <w:bCs/>
                <w:sz w:val="24"/>
              </w:rPr>
              <w:t>1</w:t>
            </w:r>
            <w:r>
              <w:rPr>
                <w:rFonts w:hint="eastAsia"/>
                <w:bCs/>
                <w:sz w:val="24"/>
              </w:rPr>
              <w:t>类、</w:t>
            </w:r>
            <w:r>
              <w:rPr>
                <w:rFonts w:hint="eastAsia"/>
                <w:bCs/>
                <w:sz w:val="24"/>
              </w:rPr>
              <w:t>2</w:t>
            </w:r>
            <w:r>
              <w:rPr>
                <w:rFonts w:hint="eastAsia"/>
                <w:bCs/>
                <w:sz w:val="24"/>
              </w:rPr>
              <w:t>类、</w:t>
            </w:r>
            <w:r>
              <w:rPr>
                <w:rFonts w:hint="eastAsia"/>
                <w:bCs/>
                <w:sz w:val="24"/>
              </w:rPr>
              <w:t>5</w:t>
            </w:r>
            <w:r>
              <w:rPr>
                <w:rFonts w:hint="eastAsia"/>
                <w:bCs/>
                <w:sz w:val="24"/>
              </w:rPr>
              <w:t>类新兽药的研发，同时注重人转兽产品以及比对目录产品的开发。服务链条涵盖了药学研发、临床研究、注册事务管理、药学研究项目管理、临床研究项目管理、数据管理与统计服务等多个关键环节，形成了一套完整的闭环服务体系。</w:t>
            </w:r>
          </w:p>
          <w:p w14:paraId="37707B2E" w14:textId="77777777" w:rsidR="00726AAD" w:rsidRDefault="00000000">
            <w:pPr>
              <w:spacing w:beforeLines="50" w:before="156" w:line="360" w:lineRule="auto"/>
              <w:ind w:firstLineChars="200" w:firstLine="480"/>
              <w:rPr>
                <w:bCs/>
                <w:sz w:val="24"/>
              </w:rPr>
            </w:pPr>
            <w:r>
              <w:rPr>
                <w:rFonts w:hint="eastAsia"/>
                <w:bCs/>
                <w:sz w:val="24"/>
              </w:rPr>
              <w:t>随着我国经济水平的提高、居民对食品消费中蛋白消费的质量要求持续提升，动物类食物消费规模将持续增加，禽畜养殖规模化的不断扩大，畜牧业产值和集约化程度的持续增长，我国动保行业市场前景广阔。据中国兽药协会《兽药产业发展报告》统计，近年来我国兽药产业整体规模逐步扩大，自</w:t>
            </w:r>
            <w:r>
              <w:rPr>
                <w:rFonts w:hint="eastAsia"/>
                <w:bCs/>
                <w:sz w:val="24"/>
              </w:rPr>
              <w:t>2018</w:t>
            </w:r>
            <w:r>
              <w:rPr>
                <w:rFonts w:hint="eastAsia"/>
                <w:bCs/>
                <w:sz w:val="24"/>
              </w:rPr>
              <w:t>年至</w:t>
            </w:r>
            <w:r>
              <w:rPr>
                <w:rFonts w:hint="eastAsia"/>
                <w:bCs/>
                <w:sz w:val="24"/>
              </w:rPr>
              <w:t>2022</w:t>
            </w:r>
            <w:r>
              <w:rPr>
                <w:rFonts w:hint="eastAsia"/>
                <w:bCs/>
                <w:sz w:val="24"/>
              </w:rPr>
              <w:t>年，中国兽药市场销售额由</w:t>
            </w:r>
            <w:r>
              <w:rPr>
                <w:rFonts w:hint="eastAsia"/>
                <w:bCs/>
                <w:sz w:val="24"/>
              </w:rPr>
              <w:t>466.10</w:t>
            </w:r>
            <w:r>
              <w:rPr>
                <w:rFonts w:hint="eastAsia"/>
                <w:bCs/>
                <w:sz w:val="24"/>
              </w:rPr>
              <w:t>亿元增长至</w:t>
            </w:r>
            <w:r>
              <w:rPr>
                <w:rFonts w:hint="eastAsia"/>
                <w:bCs/>
                <w:sz w:val="24"/>
              </w:rPr>
              <w:t>673.45</w:t>
            </w:r>
            <w:r>
              <w:rPr>
                <w:rFonts w:hint="eastAsia"/>
                <w:bCs/>
                <w:sz w:val="24"/>
              </w:rPr>
              <w:t>亿元，年复合增长率达</w:t>
            </w:r>
            <w:r>
              <w:rPr>
                <w:rFonts w:hint="eastAsia"/>
                <w:bCs/>
                <w:sz w:val="24"/>
              </w:rPr>
              <w:t>10.06%</w:t>
            </w:r>
            <w:r>
              <w:rPr>
                <w:rFonts w:hint="eastAsia"/>
                <w:bCs/>
                <w:sz w:val="24"/>
              </w:rPr>
              <w:t>，累计批准国内新兽药达</w:t>
            </w:r>
            <w:r>
              <w:rPr>
                <w:rFonts w:hint="eastAsia"/>
                <w:bCs/>
                <w:sz w:val="24"/>
              </w:rPr>
              <w:t>355</w:t>
            </w:r>
            <w:r>
              <w:rPr>
                <w:rFonts w:hint="eastAsia"/>
                <w:bCs/>
                <w:sz w:val="24"/>
              </w:rPr>
              <w:t>个，每年批准的新兽药数量均超过</w:t>
            </w:r>
            <w:r>
              <w:rPr>
                <w:rFonts w:hint="eastAsia"/>
                <w:bCs/>
                <w:sz w:val="24"/>
              </w:rPr>
              <w:t>70</w:t>
            </w:r>
            <w:r>
              <w:rPr>
                <w:rFonts w:hint="eastAsia"/>
                <w:bCs/>
                <w:sz w:val="24"/>
              </w:rPr>
              <w:t>个，</w:t>
            </w:r>
            <w:r>
              <w:rPr>
                <w:rFonts w:hint="eastAsia"/>
                <w:bCs/>
                <w:sz w:val="24"/>
              </w:rPr>
              <w:t>2022</w:t>
            </w:r>
            <w:r>
              <w:rPr>
                <w:rFonts w:hint="eastAsia"/>
                <w:bCs/>
                <w:sz w:val="24"/>
              </w:rPr>
              <w:t>年批准新兽药</w:t>
            </w:r>
            <w:r>
              <w:rPr>
                <w:rFonts w:hint="eastAsia"/>
                <w:bCs/>
                <w:sz w:val="24"/>
              </w:rPr>
              <w:t>78</w:t>
            </w:r>
            <w:r>
              <w:rPr>
                <w:rFonts w:hint="eastAsia"/>
                <w:bCs/>
                <w:sz w:val="24"/>
              </w:rPr>
              <w:t>个，创历史新高。这一显著增长正逐步推动我国兽药行业减少对进口产品的依赖，增强国内兽药产业的自主创新能力和市场竞争力。</w:t>
            </w:r>
          </w:p>
        </w:tc>
      </w:tr>
      <w:tr w:rsidR="00726AAD" w14:paraId="4A63DE4C" w14:textId="77777777">
        <w:trPr>
          <w:trHeight w:val="821"/>
        </w:trPr>
        <w:tc>
          <w:tcPr>
            <w:tcW w:w="2093" w:type="dxa"/>
            <w:vAlign w:val="center"/>
          </w:tcPr>
          <w:p w14:paraId="49E359F1" w14:textId="77777777" w:rsidR="00726AAD" w:rsidRDefault="00000000">
            <w:pPr>
              <w:spacing w:line="360" w:lineRule="auto"/>
              <w:jc w:val="left"/>
              <w:rPr>
                <w:rFonts w:ascii="宋体" w:hAnsi="宋体" w:hint="eastAsia"/>
                <w:b/>
                <w:bCs/>
                <w:iCs/>
                <w:sz w:val="24"/>
                <w:szCs w:val="24"/>
              </w:rPr>
            </w:pPr>
            <w:r>
              <w:rPr>
                <w:rFonts w:ascii="宋体" w:hAnsi="宋体" w:hint="eastAsia"/>
                <w:b/>
                <w:bCs/>
                <w:iCs/>
                <w:sz w:val="24"/>
                <w:szCs w:val="24"/>
              </w:rPr>
              <w:lastRenderedPageBreak/>
              <w:t>附件清单（如有）</w:t>
            </w:r>
          </w:p>
        </w:tc>
        <w:tc>
          <w:tcPr>
            <w:tcW w:w="6203" w:type="dxa"/>
          </w:tcPr>
          <w:p w14:paraId="41A52917" w14:textId="77777777" w:rsidR="00726AAD" w:rsidRDefault="00000000">
            <w:pPr>
              <w:spacing w:line="360" w:lineRule="auto"/>
              <w:rPr>
                <w:rFonts w:ascii="宋体" w:hAnsi="宋体" w:cs="宋体" w:hint="eastAsia"/>
                <w:sz w:val="24"/>
                <w:szCs w:val="24"/>
              </w:rPr>
            </w:pPr>
            <w:r>
              <w:rPr>
                <w:rFonts w:ascii="宋体" w:hAnsi="宋体" w:hint="eastAsia"/>
                <w:bCs/>
                <w:iCs/>
                <w:sz w:val="24"/>
                <w:szCs w:val="24"/>
              </w:rPr>
              <w:t>无</w:t>
            </w:r>
          </w:p>
        </w:tc>
      </w:tr>
      <w:tr w:rsidR="00726AAD" w14:paraId="5D6C77D5" w14:textId="77777777">
        <w:tc>
          <w:tcPr>
            <w:tcW w:w="2093" w:type="dxa"/>
            <w:vAlign w:val="center"/>
          </w:tcPr>
          <w:p w14:paraId="717A6FD2" w14:textId="77777777" w:rsidR="00726AAD" w:rsidRDefault="00000000">
            <w:pPr>
              <w:spacing w:line="360" w:lineRule="auto"/>
              <w:jc w:val="left"/>
              <w:rPr>
                <w:rFonts w:ascii="宋体" w:hAnsi="宋体" w:hint="eastAsia"/>
                <w:b/>
                <w:bCs/>
                <w:iCs/>
                <w:sz w:val="24"/>
                <w:szCs w:val="24"/>
              </w:rPr>
            </w:pPr>
            <w:r>
              <w:rPr>
                <w:rFonts w:ascii="宋体" w:hAnsi="宋体" w:hint="eastAsia"/>
                <w:b/>
                <w:bCs/>
                <w:iCs/>
                <w:sz w:val="24"/>
                <w:szCs w:val="24"/>
              </w:rPr>
              <w:t>日期</w:t>
            </w:r>
          </w:p>
        </w:tc>
        <w:tc>
          <w:tcPr>
            <w:tcW w:w="6203" w:type="dxa"/>
          </w:tcPr>
          <w:p w14:paraId="1087953D" w14:textId="77777777" w:rsidR="00726AAD" w:rsidRDefault="00000000">
            <w:pPr>
              <w:spacing w:line="360" w:lineRule="auto"/>
              <w:rPr>
                <w:rFonts w:ascii="宋体" w:hAnsi="宋体" w:hint="eastAsia"/>
                <w:bCs/>
                <w:iCs/>
                <w:sz w:val="24"/>
                <w:szCs w:val="24"/>
              </w:rPr>
            </w:pPr>
            <w:r>
              <w:rPr>
                <w:bCs/>
                <w:iCs/>
                <w:sz w:val="24"/>
                <w:szCs w:val="24"/>
              </w:rPr>
              <w:t>2024</w:t>
            </w:r>
            <w:r>
              <w:rPr>
                <w:bCs/>
                <w:iCs/>
                <w:sz w:val="24"/>
                <w:szCs w:val="24"/>
              </w:rPr>
              <w:t>年</w:t>
            </w:r>
            <w:r>
              <w:rPr>
                <w:rFonts w:hint="eastAsia"/>
                <w:bCs/>
                <w:iCs/>
                <w:sz w:val="24"/>
                <w:szCs w:val="24"/>
              </w:rPr>
              <w:t>12</w:t>
            </w:r>
            <w:r>
              <w:rPr>
                <w:bCs/>
                <w:iCs/>
                <w:sz w:val="24"/>
                <w:szCs w:val="24"/>
              </w:rPr>
              <w:t>月</w:t>
            </w:r>
            <w:r>
              <w:rPr>
                <w:rFonts w:hint="eastAsia"/>
                <w:bCs/>
                <w:iCs/>
                <w:sz w:val="24"/>
                <w:szCs w:val="24"/>
              </w:rPr>
              <w:t>20</w:t>
            </w:r>
            <w:r>
              <w:rPr>
                <w:bCs/>
                <w:iCs/>
                <w:sz w:val="24"/>
                <w:szCs w:val="24"/>
              </w:rPr>
              <w:t>日</w:t>
            </w:r>
          </w:p>
        </w:tc>
      </w:tr>
    </w:tbl>
    <w:p w14:paraId="3B62B907" w14:textId="77777777" w:rsidR="00726AAD" w:rsidRDefault="00726AAD"/>
    <w:sectPr w:rsidR="00726A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57804" w14:textId="77777777" w:rsidR="00625583" w:rsidRDefault="00625583">
      <w:r>
        <w:separator/>
      </w:r>
    </w:p>
  </w:endnote>
  <w:endnote w:type="continuationSeparator" w:id="0">
    <w:p w14:paraId="20D68A81" w14:textId="77777777" w:rsidR="00625583" w:rsidRDefault="0062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0B871" w14:textId="77777777" w:rsidR="007D4196" w:rsidRDefault="007D41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03045" w14:textId="77777777" w:rsidR="007D4196" w:rsidRDefault="007D419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BA16" w14:textId="77777777" w:rsidR="007D4196" w:rsidRDefault="007D4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48A4" w14:textId="77777777" w:rsidR="00625583" w:rsidRDefault="00625583">
      <w:r>
        <w:separator/>
      </w:r>
    </w:p>
  </w:footnote>
  <w:footnote w:type="continuationSeparator" w:id="0">
    <w:p w14:paraId="7C69FFAE" w14:textId="77777777" w:rsidR="00625583" w:rsidRDefault="00625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B7F9" w14:textId="77777777" w:rsidR="007D4196" w:rsidRDefault="007D41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E615" w14:textId="77777777" w:rsidR="007D4196" w:rsidRDefault="007D41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A567" w14:textId="77777777" w:rsidR="007D4196" w:rsidRDefault="007D41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58ED3D"/>
    <w:multiLevelType w:val="singleLevel"/>
    <w:tmpl w:val="AF58ED3D"/>
    <w:lvl w:ilvl="0">
      <w:start w:val="2"/>
      <w:numFmt w:val="decimal"/>
      <w:lvlText w:val="%1."/>
      <w:lvlJc w:val="left"/>
      <w:pPr>
        <w:tabs>
          <w:tab w:val="left" w:pos="312"/>
        </w:tabs>
      </w:pPr>
    </w:lvl>
  </w:abstractNum>
  <w:abstractNum w:abstractNumId="1" w15:restartNumberingAfterBreak="0">
    <w:nsid w:val="DC9D47E6"/>
    <w:multiLevelType w:val="singleLevel"/>
    <w:tmpl w:val="DC9D47E6"/>
    <w:lvl w:ilvl="0">
      <w:start w:val="3"/>
      <w:numFmt w:val="decimal"/>
      <w:lvlText w:val="%1."/>
      <w:lvlJc w:val="left"/>
      <w:pPr>
        <w:tabs>
          <w:tab w:val="left" w:pos="312"/>
        </w:tabs>
      </w:pPr>
    </w:lvl>
  </w:abstractNum>
  <w:num w:numId="1" w16cid:durableId="565722114">
    <w:abstractNumId w:val="0"/>
  </w:num>
  <w:num w:numId="2" w16cid:durableId="76935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2MTRlOTE5NzU3Y2FhZmJjMTA4ODAwNjMyZWVhZDcifQ=="/>
  </w:docVars>
  <w:rsids>
    <w:rsidRoot w:val="52FF551A"/>
    <w:rsid w:val="00005800"/>
    <w:rsid w:val="0006611F"/>
    <w:rsid w:val="000B4978"/>
    <w:rsid w:val="000D2DB1"/>
    <w:rsid w:val="000F6F0C"/>
    <w:rsid w:val="00151CD9"/>
    <w:rsid w:val="0019145F"/>
    <w:rsid w:val="001C5C17"/>
    <w:rsid w:val="00237515"/>
    <w:rsid w:val="00325B7F"/>
    <w:rsid w:val="00422481"/>
    <w:rsid w:val="00443875"/>
    <w:rsid w:val="004B3E39"/>
    <w:rsid w:val="00547FE7"/>
    <w:rsid w:val="005E3CAE"/>
    <w:rsid w:val="00625583"/>
    <w:rsid w:val="00642C23"/>
    <w:rsid w:val="0066732A"/>
    <w:rsid w:val="006A73CB"/>
    <w:rsid w:val="00710088"/>
    <w:rsid w:val="00726AAD"/>
    <w:rsid w:val="007649CF"/>
    <w:rsid w:val="00782A9C"/>
    <w:rsid w:val="007C7638"/>
    <w:rsid w:val="007D4196"/>
    <w:rsid w:val="007D7786"/>
    <w:rsid w:val="00810B22"/>
    <w:rsid w:val="00847F54"/>
    <w:rsid w:val="00961B62"/>
    <w:rsid w:val="009C3F19"/>
    <w:rsid w:val="00A06CDD"/>
    <w:rsid w:val="00B83C8A"/>
    <w:rsid w:val="00BA0745"/>
    <w:rsid w:val="00BA6485"/>
    <w:rsid w:val="00BB2E0E"/>
    <w:rsid w:val="00BE0004"/>
    <w:rsid w:val="00BF064F"/>
    <w:rsid w:val="00C920F3"/>
    <w:rsid w:val="00CA75C3"/>
    <w:rsid w:val="00D72E71"/>
    <w:rsid w:val="00E179C8"/>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F54F1"/>
    <w:rsid w:val="14EC5248"/>
    <w:rsid w:val="14ED4281"/>
    <w:rsid w:val="15930D03"/>
    <w:rsid w:val="15AA2CEE"/>
    <w:rsid w:val="15B14D16"/>
    <w:rsid w:val="16761466"/>
    <w:rsid w:val="16DA51E9"/>
    <w:rsid w:val="17345A11"/>
    <w:rsid w:val="17FB3086"/>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303D276E"/>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99C16F8"/>
    <w:rsid w:val="5A2A67F5"/>
    <w:rsid w:val="5A4F27F0"/>
    <w:rsid w:val="5A880128"/>
    <w:rsid w:val="5AAE4583"/>
    <w:rsid w:val="5B1D47FA"/>
    <w:rsid w:val="5D012421"/>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8423920"/>
    <w:rsid w:val="78A45D63"/>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E4F6774"/>
    <w:rsid w:val="7F173DB2"/>
    <w:rsid w:val="7F2266A0"/>
    <w:rsid w:val="7F2E17A9"/>
    <w:rsid w:val="7FAD2049"/>
    <w:rsid w:val="7FEE7A90"/>
    <w:rsid w:val="7FF23572"/>
    <w:rsid w:val="ABEE9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F291"/>
  <w15:docId w15:val="{2A8ECCC8-4BBC-4486-93D1-C723C82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paragraph" w:customStyle="1" w:styleId="1">
    <w:name w:val="修订1"/>
    <w:hidden/>
    <w:uiPriority w:val="99"/>
    <w:unhideWhenUsed/>
    <w:qFormat/>
    <w:rPr>
      <w:kern w:val="2"/>
      <w:sz w:val="21"/>
    </w:rPr>
  </w:style>
  <w:style w:type="character" w:customStyle="1" w:styleId="a4">
    <w:name w:val="批注文字 字符"/>
    <w:basedOn w:val="a0"/>
    <w:link w:val="a3"/>
    <w:qFormat/>
    <w:rPr>
      <w:kern w:val="2"/>
      <w:sz w:val="21"/>
    </w:rPr>
  </w:style>
  <w:style w:type="character" w:customStyle="1" w:styleId="aa">
    <w:name w:val="批注主题 字符"/>
    <w:basedOn w:val="a4"/>
    <w:link w:val="a9"/>
    <w:qFormat/>
    <w:rPr>
      <w:b/>
      <w:bCs/>
      <w:kern w:val="2"/>
      <w:sz w:val="21"/>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paragraph" w:customStyle="1" w:styleId="2">
    <w:name w:val="修订2"/>
    <w:hidden/>
    <w:uiPriority w:val="99"/>
    <w:unhideWhenUsed/>
    <w:rPr>
      <w:kern w:val="2"/>
      <w:sz w:val="21"/>
    </w:rPr>
  </w:style>
  <w:style w:type="paragraph" w:styleId="ac">
    <w:name w:val="Revision"/>
    <w:hidden/>
    <w:uiPriority w:val="99"/>
    <w:unhideWhenUsed/>
    <w:rsid w:val="00847F5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杨贵娇</dc:creator>
  <cp:lastModifiedBy>Cynthia G</cp:lastModifiedBy>
  <cp:revision>3</cp:revision>
  <dcterms:created xsi:type="dcterms:W3CDTF">2024-12-23T05:15:00Z</dcterms:created>
  <dcterms:modified xsi:type="dcterms:W3CDTF">2024-12-23T05:20:00Z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6F95F409C63B4284935C02D732EACD19_13</vt:lpwstr>
  </property>
</Properties>
</file>