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7"/>
        <w:ind w:right="1"/>
        <w:jc w:val="center"/>
      </w:pPr>
      <w:r>
        <w:rPr>
          <w:rFonts w:ascii="宋体" w:hAnsi="宋体" w:eastAsia="宋体" w:cs="宋体"/>
          <w:b/>
          <w:sz w:val="28"/>
        </w:rPr>
        <w:t>投资者关系活动记录表</w:t>
      </w:r>
    </w:p>
    <w:p>
      <w:pPr>
        <w:tabs>
          <w:tab w:val="center" w:pos="4740"/>
          <w:tab w:val="right" w:pos="9620"/>
        </w:tabs>
        <w:spacing w:after="257"/>
      </w:pPr>
      <w:r>
        <w:rPr>
          <w:rFonts w:ascii="宋体" w:hAnsi="宋体" w:eastAsia="宋体" w:cs="宋体"/>
          <w:sz w:val="24"/>
        </w:rPr>
        <w:t>股票名称：海目星</w:t>
      </w:r>
      <w:r>
        <w:rPr>
          <w:rFonts w:ascii="Times New Roman" w:hAnsi="Times New Roman" w:eastAsia="Times New Roman" w:cs="Times New Roman"/>
          <w:sz w:val="24"/>
        </w:rPr>
        <w:t xml:space="preserve">            </w:t>
      </w:r>
      <w:r>
        <w:rPr>
          <w:rFonts w:ascii="Times New Roman" w:hAnsi="Times New Roman" w:eastAsia="Times New Roman" w:cs="Times New Roman"/>
          <w:sz w:val="24"/>
        </w:rPr>
        <w:tab/>
      </w:r>
      <w:r>
        <w:rPr>
          <w:rFonts w:ascii="宋体" w:hAnsi="宋体" w:eastAsia="宋体" w:cs="宋体"/>
          <w:sz w:val="24"/>
        </w:rPr>
        <w:t>股票代码：</w:t>
      </w:r>
      <w:r>
        <w:rPr>
          <w:rFonts w:ascii="Times New Roman" w:hAnsi="Times New Roman" w:eastAsia="Times New Roman" w:cs="Times New Roman"/>
          <w:sz w:val="24"/>
        </w:rPr>
        <w:t xml:space="preserve">688559            </w:t>
      </w:r>
      <w:r>
        <w:rPr>
          <w:rFonts w:ascii="Times New Roman" w:hAnsi="Times New Roman" w:eastAsia="Times New Roman" w:cs="Times New Roman"/>
          <w:sz w:val="24"/>
        </w:rPr>
        <w:tab/>
      </w:r>
      <w:r>
        <w:rPr>
          <w:rFonts w:ascii="宋体" w:hAnsi="宋体" w:eastAsia="宋体" w:cs="宋体"/>
          <w:sz w:val="24"/>
        </w:rPr>
        <w:t>编号：【调】</w:t>
      </w:r>
      <w:r>
        <w:rPr>
          <w:rFonts w:ascii="Times New Roman" w:hAnsi="Times New Roman" w:eastAsia="Times New Roman" w:cs="Times New Roman"/>
          <w:sz w:val="24"/>
        </w:rPr>
        <w:t>202412-01</w:t>
      </w:r>
    </w:p>
    <w:tbl>
      <w:tblPr>
        <w:tblStyle w:val="9"/>
        <w:tblW w:w="9770" w:type="dxa"/>
        <w:tblInd w:w="-4" w:type="dxa"/>
        <w:tblLayout w:type="autofit"/>
        <w:tblCellMar>
          <w:top w:w="42" w:type="dxa"/>
          <w:left w:w="0" w:type="dxa"/>
          <w:bottom w:w="109" w:type="dxa"/>
          <w:right w:w="0" w:type="dxa"/>
        </w:tblCellMar>
      </w:tblPr>
      <w:tblGrid>
        <w:gridCol w:w="1417"/>
        <w:gridCol w:w="3827"/>
        <w:gridCol w:w="4526"/>
      </w:tblGrid>
      <w:tr>
        <w:tblPrEx>
          <w:tblCellMar>
            <w:top w:w="42" w:type="dxa"/>
            <w:left w:w="0" w:type="dxa"/>
            <w:bottom w:w="109" w:type="dxa"/>
            <w:right w:w="0" w:type="dxa"/>
          </w:tblCellMar>
        </w:tblPrEx>
        <w:trPr>
          <w:trHeight w:val="2388" w:hRule="atLeast"/>
        </w:trPr>
        <w:tc>
          <w:tcPr>
            <w:tcW w:w="141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cs="Times New Roman"/>
              </w:rPr>
            </w:pPr>
            <w:r>
              <w:rPr>
                <w:rFonts w:ascii="Times New Roman" w:hAnsi="Times New Roman" w:eastAsia="宋体" w:cs="Times New Roman"/>
                <w:sz w:val="24"/>
              </w:rPr>
              <w:t>投资者关系活动类别</w:t>
            </w:r>
          </w:p>
        </w:tc>
        <w:tc>
          <w:tcPr>
            <w:tcW w:w="3827" w:type="dxa"/>
            <w:tcBorders>
              <w:top w:val="single" w:color="000000" w:sz="4" w:space="0"/>
              <w:left w:val="single" w:color="000000" w:sz="4" w:space="0"/>
              <w:bottom w:val="single" w:color="000000" w:sz="4" w:space="0"/>
              <w:right w:val="nil"/>
            </w:tcBorders>
            <w:vAlign w:val="center"/>
          </w:tcPr>
          <w:p>
            <w:pPr>
              <w:spacing w:after="67"/>
              <w:ind w:left="210"/>
              <w:jc w:val="both"/>
              <w:rPr>
                <w:rFonts w:ascii="Times New Roman" w:hAnsi="Times New Roman" w:cs="Times New Roman"/>
              </w:rPr>
            </w:pPr>
            <w:r>
              <w:rPr>
                <w:rFonts w:hint="eastAsia" w:ascii="Times New Roman" w:hAnsi="Times New Roman" w:eastAsia="宋体" w:cs="Times New Roman"/>
                <w:sz w:val="24"/>
              </w:rPr>
              <w:t>☑</w:t>
            </w:r>
            <w:r>
              <w:rPr>
                <w:rFonts w:ascii="Times New Roman" w:hAnsi="Times New Roman" w:eastAsia="宋体" w:cs="Times New Roman"/>
                <w:sz w:val="24"/>
              </w:rPr>
              <w:t>特定对象调研</w:t>
            </w:r>
          </w:p>
          <w:p>
            <w:pPr>
              <w:spacing w:after="87"/>
              <w:ind w:left="210"/>
              <w:jc w:val="both"/>
              <w:rPr>
                <w:rFonts w:ascii="Times New Roman" w:hAnsi="Times New Roman" w:cs="Times New Roman"/>
              </w:rPr>
            </w:pPr>
            <w:r>
              <w:rPr>
                <w:rFonts w:ascii="Times New Roman" w:hAnsi="Times New Roman" w:eastAsia="Times New Roman" w:cs="Times New Roman"/>
                <w:sz w:val="24"/>
              </w:rPr>
              <w:t>□</w:t>
            </w:r>
            <w:r>
              <w:rPr>
                <w:rFonts w:ascii="Times New Roman" w:hAnsi="Times New Roman" w:eastAsia="宋体" w:cs="Times New Roman"/>
                <w:sz w:val="24"/>
              </w:rPr>
              <w:t>媒体采访</w:t>
            </w:r>
          </w:p>
          <w:p>
            <w:pPr>
              <w:spacing w:after="75"/>
              <w:ind w:left="210"/>
              <w:jc w:val="both"/>
              <w:rPr>
                <w:rFonts w:ascii="Times New Roman" w:hAnsi="Times New Roman" w:cs="Times New Roman"/>
              </w:rPr>
            </w:pPr>
            <w:r>
              <w:rPr>
                <w:rFonts w:ascii="Times New Roman" w:hAnsi="Times New Roman" w:eastAsia="Times New Roman" w:cs="Times New Roman"/>
                <w:sz w:val="24"/>
              </w:rPr>
              <w:t>□</w:t>
            </w:r>
            <w:r>
              <w:rPr>
                <w:rFonts w:ascii="Times New Roman" w:hAnsi="Times New Roman" w:eastAsia="宋体" w:cs="Times New Roman"/>
                <w:sz w:val="24"/>
              </w:rPr>
              <w:t>新闻发布会</w:t>
            </w:r>
          </w:p>
          <w:p>
            <w:pPr>
              <w:spacing w:after="86"/>
              <w:ind w:left="210"/>
              <w:jc w:val="both"/>
              <w:rPr>
                <w:rFonts w:ascii="Times New Roman" w:hAnsi="Times New Roman" w:cs="Times New Roman"/>
              </w:rPr>
            </w:pPr>
            <w:r>
              <w:rPr>
                <w:rFonts w:ascii="Times New Roman" w:hAnsi="Times New Roman" w:eastAsia="Segoe UI Symbol" w:cs="Times New Roman"/>
                <w:sz w:val="24"/>
              </w:rPr>
              <w:t>☑</w:t>
            </w:r>
            <w:r>
              <w:rPr>
                <w:rFonts w:ascii="Times New Roman" w:hAnsi="Times New Roman" w:eastAsia="宋体" w:cs="Times New Roman"/>
                <w:sz w:val="24"/>
              </w:rPr>
              <w:t>现场参观</w:t>
            </w:r>
            <w:r>
              <w:rPr>
                <w:rFonts w:hint="eastAsia" w:ascii="Times New Roman" w:hAnsi="Times New Roman" w:eastAsia="宋体" w:cs="Times New Roman"/>
                <w:sz w:val="24"/>
              </w:rPr>
              <w:t>（投资者开放日）</w:t>
            </w:r>
          </w:p>
          <w:p>
            <w:pPr>
              <w:spacing w:after="0"/>
              <w:ind w:left="210"/>
              <w:jc w:val="both"/>
              <w:rPr>
                <w:rFonts w:ascii="Times New Roman" w:hAnsi="Times New Roman" w:cs="Times New Roman"/>
              </w:rPr>
            </w:pPr>
            <w:r>
              <w:rPr>
                <w:rFonts w:ascii="Times New Roman" w:hAnsi="Times New Roman" w:eastAsia="Times New Roman" w:cs="Times New Roman"/>
                <w:sz w:val="24"/>
              </w:rPr>
              <w:t>□</w:t>
            </w:r>
            <w:r>
              <w:rPr>
                <w:rFonts w:ascii="Times New Roman" w:hAnsi="Times New Roman" w:eastAsia="宋体" w:cs="Times New Roman"/>
                <w:sz w:val="24"/>
              </w:rPr>
              <w:t>其他（电话及线上网络交流）</w:t>
            </w:r>
          </w:p>
        </w:tc>
        <w:tc>
          <w:tcPr>
            <w:tcW w:w="4526" w:type="dxa"/>
            <w:tcBorders>
              <w:top w:val="single" w:color="000000" w:sz="4" w:space="0"/>
              <w:left w:val="nil"/>
              <w:bottom w:val="single" w:color="000000" w:sz="4" w:space="0"/>
              <w:right w:val="single" w:color="000000" w:sz="4" w:space="0"/>
            </w:tcBorders>
            <w:vAlign w:val="center"/>
          </w:tcPr>
          <w:p>
            <w:pPr>
              <w:spacing w:after="66"/>
              <w:jc w:val="both"/>
              <w:rPr>
                <w:rFonts w:ascii="Times New Roman" w:hAnsi="Times New Roman" w:cs="Times New Roman"/>
              </w:rPr>
            </w:pPr>
            <w:r>
              <w:rPr>
                <w:rFonts w:ascii="Times New Roman" w:hAnsi="Times New Roman" w:eastAsia="Times New Roman" w:cs="Times New Roman"/>
                <w:sz w:val="24"/>
              </w:rPr>
              <w:t>□</w:t>
            </w:r>
            <w:r>
              <w:rPr>
                <w:rFonts w:ascii="Times New Roman" w:hAnsi="Times New Roman" w:eastAsia="宋体" w:cs="Times New Roman"/>
                <w:sz w:val="24"/>
              </w:rPr>
              <w:t>分析师会议</w:t>
            </w:r>
          </w:p>
          <w:p>
            <w:pPr>
              <w:spacing w:after="89"/>
              <w:jc w:val="both"/>
              <w:rPr>
                <w:rFonts w:ascii="Times New Roman" w:hAnsi="Times New Roman" w:cs="Times New Roman"/>
              </w:rPr>
            </w:pPr>
            <w:r>
              <w:rPr>
                <w:rFonts w:ascii="Times New Roman" w:hAnsi="Times New Roman" w:eastAsia="Times New Roman" w:cs="Times New Roman"/>
                <w:sz w:val="24"/>
              </w:rPr>
              <w:t>□</w:t>
            </w:r>
            <w:r>
              <w:rPr>
                <w:rFonts w:ascii="Times New Roman" w:hAnsi="Times New Roman" w:eastAsia="宋体" w:cs="Times New Roman"/>
                <w:sz w:val="24"/>
              </w:rPr>
              <w:t>业绩说明会</w:t>
            </w:r>
          </w:p>
          <w:p>
            <w:pPr>
              <w:spacing w:after="472"/>
              <w:jc w:val="both"/>
              <w:rPr>
                <w:rFonts w:ascii="Times New Roman" w:hAnsi="Times New Roman" w:cs="Times New Roman" w:eastAsiaTheme="minorEastAsia"/>
              </w:rPr>
            </w:pPr>
            <w:r>
              <w:rPr>
                <w:rFonts w:ascii="Times New Roman" w:hAnsi="Times New Roman" w:eastAsia="Times New Roman" w:cs="Times New Roman"/>
                <w:sz w:val="24"/>
              </w:rPr>
              <w:t>□</w:t>
            </w:r>
            <w:r>
              <w:rPr>
                <w:rFonts w:ascii="Times New Roman" w:hAnsi="Times New Roman" w:eastAsia="宋体" w:cs="Times New Roman"/>
                <w:sz w:val="24"/>
              </w:rPr>
              <w:t>路演活动</w:t>
            </w:r>
          </w:p>
        </w:tc>
      </w:tr>
      <w:tr>
        <w:tblPrEx>
          <w:tblCellMar>
            <w:top w:w="42" w:type="dxa"/>
            <w:left w:w="0" w:type="dxa"/>
            <w:bottom w:w="109" w:type="dxa"/>
            <w:right w:w="0" w:type="dxa"/>
          </w:tblCellMar>
        </w:tblPrEx>
        <w:trPr>
          <w:trHeight w:val="2614" w:hRule="atLeast"/>
        </w:trPr>
        <w:tc>
          <w:tcPr>
            <w:tcW w:w="141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cs="Times New Roman"/>
              </w:rPr>
            </w:pPr>
            <w:r>
              <w:rPr>
                <w:rFonts w:ascii="Times New Roman" w:hAnsi="Times New Roman" w:eastAsia="宋体" w:cs="Times New Roman"/>
                <w:sz w:val="24"/>
              </w:rPr>
              <w:t>参与单位名称及人员姓名</w:t>
            </w:r>
          </w:p>
        </w:tc>
        <w:tc>
          <w:tcPr>
            <w:tcW w:w="8353"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宋体" w:cs="Times New Roman"/>
                <w:b/>
                <w:bCs/>
                <w:sz w:val="24"/>
                <w:szCs w:val="24"/>
              </w:rPr>
            </w:pPr>
            <w:r>
              <w:rPr>
                <w:rFonts w:ascii="Times New Roman" w:hAnsi="Times New Roman" w:eastAsia="宋体" w:cs="Times New Roman"/>
                <w:b/>
                <w:bCs/>
                <w:sz w:val="24"/>
                <w:szCs w:val="24"/>
              </w:rPr>
              <w:t>12月1</w:t>
            </w:r>
            <w:r>
              <w:rPr>
                <w:rFonts w:hint="eastAsia" w:ascii="Times New Roman" w:hAnsi="Times New Roman" w:eastAsia="宋体" w:cs="Times New Roman"/>
                <w:b/>
                <w:bCs/>
                <w:sz w:val="24"/>
                <w:szCs w:val="24"/>
              </w:rPr>
              <w:t>8</w:t>
            </w:r>
            <w:r>
              <w:rPr>
                <w:rFonts w:ascii="Times New Roman" w:hAnsi="Times New Roman" w:eastAsia="宋体" w:cs="Times New Roman"/>
                <w:b/>
                <w:bCs/>
                <w:sz w:val="24"/>
                <w:szCs w:val="24"/>
              </w:rPr>
              <w:t>日 投资者开放日</w:t>
            </w:r>
          </w:p>
          <w:p>
            <w:pPr>
              <w:spacing w:after="0"/>
              <w:jc w:val="both"/>
              <w:rPr>
                <w:rFonts w:ascii="Times New Roman" w:hAnsi="Times New Roman" w:eastAsia="宋体" w:cs="Times New Roman"/>
                <w:sz w:val="24"/>
                <w:szCs w:val="24"/>
              </w:rPr>
            </w:pPr>
            <w:r>
              <w:rPr>
                <w:rFonts w:ascii="Times New Roman" w:hAnsi="Times New Roman" w:eastAsia="宋体" w:cs="Times New Roman"/>
                <w:sz w:val="24"/>
                <w:szCs w:val="24"/>
              </w:rPr>
              <w:t>深圳民沣证券私募、博时基金、广西大嘉庆农业有限责任公司、景和资本、初华资本、格林基金、创金合信基金、黄石市国资基金、浦江国资产业基金、申万宏源、深圳融脉投资、仁毅资本、中信证券、第一创业、中邮证券、幸福阶乘基金、深圳前海宏惟创世资本、朱雀基金、新疆红山基金、招商证券、国元证券、冠军顾问、千一私募、广州私募协会、前海恒江联合、邮银股份、红思客资本、都宜私募、第一健康等。</w:t>
            </w:r>
          </w:p>
          <w:p>
            <w:pPr>
              <w:spacing w:after="0"/>
              <w:jc w:val="both"/>
              <w:rPr>
                <w:rFonts w:ascii="Times New Roman" w:hAnsi="Times New Roman" w:eastAsia="宋体" w:cs="Times New Roman"/>
                <w:sz w:val="24"/>
                <w:szCs w:val="24"/>
              </w:rPr>
            </w:pPr>
          </w:p>
          <w:p>
            <w:pPr>
              <w:spacing w:after="0"/>
              <w:jc w:val="both"/>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12月19日 申万宏源证券策略会</w:t>
            </w:r>
          </w:p>
          <w:p>
            <w:pPr>
              <w:spacing w:after="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申万宏源证券、东方阿尔法基金、关键点私募、恒泰证券、华西基金、创华投资、polymer capital、平安资管、安联资产、天榕基金等。</w:t>
            </w:r>
          </w:p>
        </w:tc>
      </w:tr>
      <w:tr>
        <w:tblPrEx>
          <w:tblCellMar>
            <w:top w:w="42" w:type="dxa"/>
            <w:left w:w="0" w:type="dxa"/>
            <w:bottom w:w="109" w:type="dxa"/>
            <w:right w:w="0" w:type="dxa"/>
          </w:tblCellMar>
        </w:tblPrEx>
        <w:trPr>
          <w:trHeight w:val="708" w:hRule="atLeast"/>
        </w:trPr>
        <w:tc>
          <w:tcPr>
            <w:tcW w:w="141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宋体" w:cs="Times New Roman"/>
                <w:sz w:val="24"/>
              </w:rPr>
            </w:pPr>
            <w:r>
              <w:rPr>
                <w:rFonts w:ascii="Times New Roman" w:hAnsi="Times New Roman" w:eastAsia="宋体" w:cs="Times New Roman"/>
                <w:sz w:val="24"/>
              </w:rPr>
              <w:t>时间</w:t>
            </w:r>
          </w:p>
        </w:tc>
        <w:tc>
          <w:tcPr>
            <w:tcW w:w="8353"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宋体" w:cs="Times New Roman"/>
                <w:sz w:val="24"/>
              </w:rPr>
            </w:pPr>
            <w:r>
              <w:rPr>
                <w:rFonts w:ascii="Times New Roman" w:hAnsi="Times New Roman" w:eastAsia="Times New Roman" w:cs="Times New Roman"/>
                <w:sz w:val="24"/>
              </w:rPr>
              <w:t xml:space="preserve">2024 </w:t>
            </w:r>
            <w:r>
              <w:rPr>
                <w:rFonts w:ascii="Times New Roman" w:hAnsi="Times New Roman" w:eastAsia="宋体" w:cs="Times New Roman"/>
                <w:sz w:val="24"/>
              </w:rPr>
              <w:t xml:space="preserve">年 </w:t>
            </w:r>
            <w:r>
              <w:rPr>
                <w:rFonts w:ascii="Times New Roman" w:hAnsi="Times New Roman" w:eastAsia="Times New Roman" w:cs="Times New Roman"/>
                <w:sz w:val="24"/>
              </w:rPr>
              <w:t xml:space="preserve">12 </w:t>
            </w:r>
            <w:r>
              <w:rPr>
                <w:rFonts w:ascii="Times New Roman" w:hAnsi="Times New Roman" w:eastAsia="宋体" w:cs="Times New Roman"/>
                <w:sz w:val="24"/>
              </w:rPr>
              <w:t xml:space="preserve">月 </w:t>
            </w:r>
            <w:r>
              <w:rPr>
                <w:rFonts w:ascii="Times New Roman" w:hAnsi="Times New Roman" w:eastAsia="Times New Roman" w:cs="Times New Roman"/>
                <w:sz w:val="24"/>
              </w:rPr>
              <w:t>18</w:t>
            </w:r>
            <w:r>
              <w:rPr>
                <w:rFonts w:hint="eastAsia" w:ascii="Times New Roman" w:hAnsi="Times New Roman" w:eastAsia="宋体" w:cs="Times New Roman"/>
                <w:sz w:val="24"/>
                <w:szCs w:val="24"/>
              </w:rPr>
              <w:t>日</w:t>
            </w:r>
            <w:r>
              <w:rPr>
                <w:rFonts w:ascii="Times New Roman" w:hAnsi="Times New Roman" w:eastAsia="Times New Roman" w:cs="Times New Roman"/>
                <w:sz w:val="24"/>
              </w:rPr>
              <w:t xml:space="preserve"> </w:t>
            </w:r>
            <w:r>
              <w:rPr>
                <w:rFonts w:hint="eastAsia" w:ascii="Times New Roman" w:hAnsi="Times New Roman" w:eastAsia="宋体" w:cs="Times New Roman"/>
                <w:sz w:val="24"/>
              </w:rPr>
              <w:t>-</w:t>
            </w:r>
            <w:r>
              <w:rPr>
                <w:rFonts w:ascii="Times New Roman" w:hAnsi="Times New Roman" w:eastAsia="宋体" w:cs="Times New Roman"/>
                <w:sz w:val="24"/>
              </w:rPr>
              <w:t>12</w:t>
            </w:r>
            <w:r>
              <w:rPr>
                <w:rFonts w:hint="eastAsia" w:ascii="Times New Roman" w:hAnsi="Times New Roman" w:eastAsia="宋体" w:cs="Times New Roman"/>
                <w:sz w:val="24"/>
              </w:rPr>
              <w:t>月19</w:t>
            </w:r>
            <w:r>
              <w:rPr>
                <w:rFonts w:ascii="Times New Roman" w:hAnsi="Times New Roman" w:eastAsia="宋体" w:cs="Times New Roman"/>
                <w:sz w:val="24"/>
              </w:rPr>
              <w:t>日</w:t>
            </w:r>
          </w:p>
        </w:tc>
      </w:tr>
      <w:tr>
        <w:tblPrEx>
          <w:tblCellMar>
            <w:top w:w="42" w:type="dxa"/>
            <w:left w:w="0" w:type="dxa"/>
            <w:bottom w:w="109" w:type="dxa"/>
            <w:right w:w="0" w:type="dxa"/>
          </w:tblCellMar>
        </w:tblPrEx>
        <w:trPr>
          <w:trHeight w:val="699" w:hRule="atLeast"/>
        </w:trPr>
        <w:tc>
          <w:tcPr>
            <w:tcW w:w="141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宋体" w:cs="Times New Roman"/>
                <w:sz w:val="24"/>
              </w:rPr>
            </w:pPr>
            <w:r>
              <w:rPr>
                <w:rFonts w:ascii="Times New Roman" w:hAnsi="Times New Roman" w:eastAsia="宋体" w:cs="Times New Roman"/>
                <w:sz w:val="24"/>
              </w:rPr>
              <w:t>地点</w:t>
            </w:r>
          </w:p>
        </w:tc>
        <w:tc>
          <w:tcPr>
            <w:tcW w:w="8353"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深圳市龙华区</w:t>
            </w:r>
            <w:r>
              <w:rPr>
                <w:rFonts w:ascii="Times New Roman" w:hAnsi="Times New Roman" w:eastAsia="宋体" w:cs="Times New Roman"/>
                <w:sz w:val="24"/>
                <w:szCs w:val="24"/>
              </w:rPr>
              <w:t>科姆龙科技园B栋1楼会议室</w:t>
            </w:r>
          </w:p>
          <w:p>
            <w:pPr>
              <w:spacing w:after="0"/>
              <w:jc w:val="both"/>
              <w:rPr>
                <w:rFonts w:ascii="Times New Roman" w:hAnsi="Times New Roman" w:eastAsia="宋体" w:cs="Times New Roman"/>
                <w:sz w:val="24"/>
                <w:szCs w:val="24"/>
              </w:rPr>
            </w:pPr>
            <w:r>
              <w:rPr>
                <w:rFonts w:hint="eastAsia" w:ascii="Times New Roman" w:hAnsi="Times New Roman" w:eastAsia="宋体" w:cs="Times New Roman"/>
                <w:sz w:val="24"/>
                <w:szCs w:val="24"/>
              </w:rPr>
              <w:t>深圳市福田区香格里拉大酒店</w:t>
            </w:r>
          </w:p>
        </w:tc>
      </w:tr>
      <w:tr>
        <w:tblPrEx>
          <w:tblCellMar>
            <w:top w:w="42" w:type="dxa"/>
            <w:left w:w="0" w:type="dxa"/>
            <w:bottom w:w="109" w:type="dxa"/>
            <w:right w:w="0" w:type="dxa"/>
          </w:tblCellMar>
        </w:tblPrEx>
        <w:trPr>
          <w:trHeight w:val="909" w:hRule="atLeast"/>
        </w:trPr>
        <w:tc>
          <w:tcPr>
            <w:tcW w:w="141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宋体" w:cs="Times New Roman"/>
                <w:sz w:val="24"/>
              </w:rPr>
            </w:pPr>
            <w:r>
              <w:rPr>
                <w:rFonts w:ascii="Times New Roman" w:hAnsi="Times New Roman" w:eastAsia="宋体" w:cs="Times New Roman"/>
                <w:sz w:val="24"/>
              </w:rPr>
              <w:t>公司接待人员姓名</w:t>
            </w:r>
          </w:p>
        </w:tc>
        <w:tc>
          <w:tcPr>
            <w:tcW w:w="8353" w:type="dxa"/>
            <w:gridSpan w:val="2"/>
            <w:tcBorders>
              <w:top w:val="single" w:color="000000" w:sz="4" w:space="0"/>
              <w:left w:val="single" w:color="000000" w:sz="4" w:space="0"/>
              <w:bottom w:val="single" w:color="000000" w:sz="4" w:space="0"/>
              <w:right w:val="single" w:color="000000" w:sz="4" w:space="0"/>
            </w:tcBorders>
            <w:vAlign w:val="center"/>
          </w:tcPr>
          <w:p>
            <w:pPr>
              <w:spacing w:after="0"/>
              <w:jc w:val="both"/>
              <w:rPr>
                <w:rFonts w:ascii="Times New Roman" w:hAnsi="Times New Roman" w:eastAsia="宋体" w:cs="Times New Roman"/>
                <w:sz w:val="24"/>
              </w:rPr>
            </w:pPr>
            <w:r>
              <w:rPr>
                <w:rFonts w:ascii="Times New Roman" w:hAnsi="Times New Roman" w:eastAsia="宋体" w:cs="Times New Roman"/>
                <w:sz w:val="24"/>
                <w:szCs w:val="24"/>
              </w:rPr>
              <w:t>副总经理、首席资本运营官、</w:t>
            </w:r>
            <w:r>
              <w:rPr>
                <w:rFonts w:hint="eastAsia" w:ascii="Times New Roman" w:hAnsi="Times New Roman" w:eastAsia="宋体" w:cs="Times New Roman"/>
                <w:sz w:val="24"/>
                <w:szCs w:val="24"/>
              </w:rPr>
              <w:t>董秘</w:t>
            </w:r>
            <w:r>
              <w:rPr>
                <w:rFonts w:ascii="Times New Roman" w:hAnsi="Times New Roman" w:eastAsia="宋体" w:cs="Times New Roman"/>
                <w:sz w:val="24"/>
                <w:szCs w:val="24"/>
              </w:rPr>
              <w:t>：罗筱溪女士</w:t>
            </w:r>
          </w:p>
        </w:tc>
      </w:tr>
      <w:tr>
        <w:tblPrEx>
          <w:tblCellMar>
            <w:top w:w="42" w:type="dxa"/>
            <w:left w:w="0" w:type="dxa"/>
            <w:bottom w:w="109" w:type="dxa"/>
            <w:right w:w="0" w:type="dxa"/>
          </w:tblCellMar>
        </w:tblPrEx>
        <w:trPr>
          <w:trHeight w:val="5053" w:hRule="atLeast"/>
        </w:trPr>
        <w:tc>
          <w:tcPr>
            <w:tcW w:w="141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宋体" w:cs="Times New Roman"/>
                <w:sz w:val="24"/>
              </w:rPr>
            </w:pPr>
            <w:r>
              <w:rPr>
                <w:rFonts w:ascii="Times New Roman" w:hAnsi="Times New Roman" w:eastAsia="宋体" w:cs="Times New Roman"/>
                <w:b/>
                <w:sz w:val="24"/>
              </w:rPr>
              <w:t>投资者关系活动主要内容介绍</w:t>
            </w:r>
          </w:p>
        </w:tc>
        <w:tc>
          <w:tcPr>
            <w:tcW w:w="8353" w:type="dxa"/>
            <w:gridSpan w:val="2"/>
            <w:tcBorders>
              <w:top w:val="single" w:color="000000" w:sz="4" w:space="0"/>
              <w:left w:val="single" w:color="000000" w:sz="4" w:space="0"/>
              <w:bottom w:val="single" w:color="000000" w:sz="4" w:space="0"/>
              <w:right w:val="single" w:color="000000" w:sz="4" w:space="0"/>
            </w:tcBorders>
          </w:tcPr>
          <w:p>
            <w:pPr>
              <w:spacing w:after="68"/>
              <w:rPr>
                <w:rFonts w:ascii="Times New Roman" w:hAnsi="Times New Roman" w:cs="Times New Roman"/>
              </w:rPr>
            </w:pPr>
            <w:r>
              <w:rPr>
                <w:rFonts w:ascii="Times New Roman" w:hAnsi="Times New Roman" w:eastAsia="Times New Roman" w:cs="Times New Roman"/>
                <w:sz w:val="24"/>
              </w:rPr>
              <w:t>●</w:t>
            </w:r>
            <w:r>
              <w:rPr>
                <w:rFonts w:ascii="Times New Roman" w:hAnsi="Times New Roman" w:eastAsia="宋体" w:cs="Times New Roman"/>
                <w:b/>
                <w:sz w:val="24"/>
              </w:rPr>
              <w:t>公司情况概述</w:t>
            </w:r>
          </w:p>
          <w:p>
            <w:pPr>
              <w:spacing w:after="415"/>
              <w:rPr>
                <w:rFonts w:ascii="Times New Roman" w:hAnsi="Times New Roman" w:eastAsia="宋体" w:cs="Times New Roman"/>
                <w:sz w:val="24"/>
              </w:rPr>
            </w:pPr>
            <w:r>
              <w:rPr>
                <w:rFonts w:ascii="Times New Roman" w:hAnsi="Times New Roman" w:eastAsia="宋体" w:cs="Times New Roman"/>
                <w:sz w:val="24"/>
              </w:rPr>
              <w:t>海目星致力于成为全球领先的激光技术创新型高科技企业。自成立以来，公司始终坚持以激光创新技术应用的前沿需求为导向，主要集中于工业激光和医疗激光两大领域的激光技术创新研发。公司自 2008 年成立至今，先后完成工业激光在消费电子、动力及储能电池和光伏电池三个应用板块的布局，医疗激光目前主要聚焦在激光毛发再生治疗等能量源医疗器械板块上。</w:t>
            </w:r>
          </w:p>
          <w:p>
            <w:pPr>
              <w:spacing w:after="415"/>
              <w:rPr>
                <w:rFonts w:ascii="Times New Roman" w:hAnsi="Times New Roman" w:eastAsia="宋体" w:cs="Times New Roman"/>
                <w:sz w:val="24"/>
                <w:szCs w:val="24"/>
              </w:rPr>
            </w:pPr>
            <w:r>
              <w:rPr>
                <w:rFonts w:ascii="Times New Roman" w:hAnsi="Times New Roman" w:eastAsia="Times New Roman" w:cs="Times New Roman"/>
                <w:b/>
                <w:sz w:val="24"/>
              </w:rPr>
              <w:t>●</w:t>
            </w:r>
            <w:r>
              <w:rPr>
                <w:rFonts w:ascii="Times New Roman" w:hAnsi="Times New Roman" w:eastAsia="宋体" w:cs="Times New Roman"/>
                <w:b/>
                <w:sz w:val="24"/>
              </w:rPr>
              <w:t>提问环节</w:t>
            </w:r>
          </w:p>
          <w:p>
            <w:pPr>
              <w:adjustRightInd w:val="0"/>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highlight w:val="none"/>
              </w:rPr>
              <w:t>Q1：</w:t>
            </w:r>
            <w:r>
              <w:rPr>
                <w:rFonts w:hint="eastAsia" w:ascii="Times New Roman" w:hAnsi="Times New Roman" w:eastAsia="宋体" w:cs="Times New Roman"/>
                <w:b/>
                <w:bCs/>
                <w:sz w:val="24"/>
                <w:szCs w:val="24"/>
              </w:rPr>
              <w:t>公司在固态电池方面的进展情况？</w:t>
            </w:r>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rPr>
              <w:t>A：</w:t>
            </w:r>
            <w:r>
              <w:rPr>
                <w:rFonts w:hint="eastAsia" w:ascii="Times New Roman" w:hAnsi="Times New Roman" w:eastAsia="宋体" w:cs="Times New Roman"/>
                <w:sz w:val="24"/>
                <w:szCs w:val="24"/>
              </w:rPr>
              <w:t>2024年8月，公司已经实现固态电池设备的量产订单签约，签约金额约为4亿元</w:t>
            </w:r>
            <w:r>
              <w:rPr>
                <w:rFonts w:ascii="Times New Roman" w:hAnsi="Times New Roman" w:eastAsia="宋体" w:cs="Times New Roman"/>
                <w:sz w:val="24"/>
                <w:szCs w:val="24"/>
              </w:rPr>
              <w:t>，</w:t>
            </w:r>
            <w:r>
              <w:rPr>
                <w:rFonts w:hint="eastAsia" w:ascii="Times New Roman" w:hAnsi="Times New Roman" w:eastAsia="宋体" w:cs="Times New Roman"/>
                <w:sz w:val="24"/>
                <w:szCs w:val="24"/>
              </w:rPr>
              <w:t>这是行业内首家高能量锂金属固态电池设备的量产订单。目前设备所生产的固态电池主要应用在低空飞行领域和消费电子领域。</w:t>
            </w:r>
          </w:p>
          <w:p>
            <w:pPr>
              <w:adjustRightInd w:val="0"/>
              <w:snapToGrid w:val="0"/>
              <w:spacing w:line="360" w:lineRule="auto"/>
              <w:rPr>
                <w:rFonts w:ascii="Times New Roman" w:hAnsi="Times New Roman" w:eastAsia="宋体" w:cs="Times New Roman"/>
                <w:b/>
                <w:bCs/>
                <w:sz w:val="24"/>
                <w:szCs w:val="24"/>
              </w:rPr>
            </w:pPr>
          </w:p>
          <w:p>
            <w:pPr>
              <w:adjustRightInd w:val="0"/>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Q2：公司的固态电池设备核心环节有哪些？技术壁垒具体包括哪些方面？</w:t>
            </w:r>
          </w:p>
          <w:p>
            <w:pPr>
              <w:adjustRightInd w:val="0"/>
              <w:snapToGrid w:val="0"/>
              <w:spacing w:line="360" w:lineRule="auto"/>
              <w:rPr>
                <w:rFonts w:hint="eastAsia" w:ascii="Times New Roman" w:hAnsi="Times New Roman" w:eastAsia="宋体" w:cs="Times New Roman"/>
                <w:sz w:val="24"/>
                <w:szCs w:val="24"/>
                <w:lang w:eastAsia="zh-CN"/>
              </w:rPr>
            </w:pPr>
            <w:r>
              <w:rPr>
                <w:rFonts w:hint="eastAsia" w:ascii="Times New Roman" w:hAnsi="Times New Roman" w:eastAsia="宋体" w:cs="Times New Roman"/>
                <w:b/>
                <w:bCs/>
                <w:sz w:val="24"/>
                <w:szCs w:val="24"/>
              </w:rPr>
              <w:t>A：</w:t>
            </w:r>
            <w:r>
              <w:rPr>
                <w:rFonts w:ascii="Times New Roman" w:hAnsi="Times New Roman" w:eastAsia="宋体" w:cs="Times New Roman"/>
                <w:sz w:val="24"/>
                <w:szCs w:val="24"/>
              </w:rPr>
              <w:t>公司目前是欣界能源固态电池的生产设备整线供应商</w:t>
            </w:r>
            <w:r>
              <w:rPr>
                <w:rFonts w:hint="eastAsia" w:ascii="Times New Roman" w:hAnsi="Times New Roman" w:eastAsia="宋体" w:cs="Times New Roman"/>
                <w:sz w:val="24"/>
                <w:szCs w:val="24"/>
              </w:rPr>
              <w:t>，布局的固态电池核心设备主要围绕在电池结构和材料的革新方面。公司在前制程中的电池前段极片的激光设备、电池结构形成过程中的特种叠片、控制层的负极制程等几款关键设备上具有独特的技术和创新实力</w:t>
            </w:r>
            <w:r>
              <w:rPr>
                <w:rFonts w:hint="eastAsia" w:ascii="Times New Roman" w:hAnsi="Times New Roman" w:eastAsia="宋体" w:cs="Times New Roman"/>
                <w:sz w:val="24"/>
                <w:szCs w:val="24"/>
                <w:lang w:eastAsia="zh-CN"/>
              </w:rPr>
              <w:t>。</w:t>
            </w:r>
          </w:p>
          <w:p>
            <w:pPr>
              <w:adjustRightInd w:val="0"/>
              <w:snapToGrid w:val="0"/>
              <w:spacing w:line="360" w:lineRule="auto"/>
              <w:rPr>
                <w:rFonts w:hint="eastAsia" w:ascii="Times New Roman" w:hAnsi="Times New Roman" w:eastAsia="宋体" w:cs="Times New Roman"/>
                <w:sz w:val="24"/>
                <w:szCs w:val="24"/>
                <w:lang w:eastAsia="zh-CN"/>
              </w:rPr>
            </w:pPr>
          </w:p>
          <w:p>
            <w:pPr>
              <w:adjustRightInd w:val="0"/>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Q3：公司的固态电池设备价值量大约是多少？</w:t>
            </w:r>
          </w:p>
          <w:p>
            <w:pPr>
              <w:adjustRightInd w:val="0"/>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sz w:val="24"/>
                <w:szCs w:val="24"/>
              </w:rPr>
              <w:t>A：根据已实际合作订单的情况，公司所提供的固态电池设备单GWh价值量约2-3亿元。</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highlight w:val="none"/>
              </w:rPr>
            </w:pPr>
            <w:r>
              <w:rPr>
                <w:rFonts w:hint="eastAsia" w:ascii="Times New Roman" w:hAnsi="Times New Roman" w:eastAsia="宋体" w:cs="Times New Roman"/>
                <w:b/>
                <w:bCs/>
                <w:sz w:val="24"/>
                <w:szCs w:val="24"/>
              </w:rPr>
              <w:t>Q4：</w:t>
            </w:r>
            <w:r>
              <w:rPr>
                <w:rFonts w:hint="eastAsia" w:ascii="Times New Roman" w:hAnsi="Times New Roman" w:eastAsia="宋体" w:cs="Times New Roman"/>
                <w:b/>
                <w:bCs/>
                <w:sz w:val="24"/>
                <w:szCs w:val="24"/>
                <w:highlight w:val="none"/>
              </w:rPr>
              <w:t>公司是否有参股广州蓝海机器人系统有限公司？</w:t>
            </w:r>
          </w:p>
          <w:p>
            <w:pPr>
              <w:adjustRightInd w:val="0"/>
              <w:snapToGrid w:val="0"/>
              <w:spacing w:line="360" w:lineRule="auto"/>
              <w:rPr>
                <w:rFonts w:hint="eastAsia" w:ascii="Times New Roman" w:hAnsi="Times New Roman" w:eastAsia="宋体" w:cs="Times New Roman"/>
                <w:sz w:val="24"/>
                <w:szCs w:val="24"/>
              </w:rPr>
            </w:pPr>
            <w:r>
              <w:rPr>
                <w:rFonts w:hint="eastAsia" w:ascii="Times New Roman" w:hAnsi="Times New Roman" w:eastAsia="宋体" w:cs="Times New Roman"/>
                <w:b/>
                <w:bCs/>
                <w:sz w:val="24"/>
                <w:szCs w:val="24"/>
                <w:highlight w:val="none"/>
              </w:rPr>
              <w:t>A:</w:t>
            </w:r>
            <w:r>
              <w:rPr>
                <w:rFonts w:hint="eastAsia" w:ascii="Times New Roman" w:hAnsi="Times New Roman" w:eastAsia="宋体" w:cs="Times New Roman"/>
                <w:sz w:val="24"/>
                <w:szCs w:val="24"/>
                <w:highlight w:val="none"/>
              </w:rPr>
              <w:t>公司有参股广州蓝海机器人系统有限公司，持股比例12.62306%，是其第二大股东。根据公开资料，蓝海机器人专注于工业应用移动机器人领域的技术开发及业务拓展。</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Q5：公司的锂电出海情况如何？目前新签订单规模如何？</w:t>
            </w:r>
          </w:p>
          <w:p>
            <w:pPr>
              <w:adjustRightInd w:val="0"/>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2024年以来，公司积极拓展海外市场并取得了重大突破性进展，8月份成功斩获12.5亿元的海外头部车企的动力电池设备订单，目前已成功跻身海外锂电设备供应商的第一梯队，全年海外订单预计同比实现较大增长。</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Q6：目前公司海外锂电订单对应的客户主要包括哪些企业？</w:t>
            </w:r>
          </w:p>
          <w:p>
            <w:pPr>
              <w:adjustRightInd w:val="0"/>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A：公司在欧洲、东南亚等市场取得了较大的进展，海外主要对接的客户包括大众、奔驰、Sumsung、LG、Acc等众多车企及电池厂商；国内跟随出海客户主要是远景动力和CATL。</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Q</w:t>
            </w:r>
            <w:r>
              <w:rPr>
                <w:rFonts w:hint="eastAsia" w:ascii="Times New Roman" w:hAnsi="Times New Roman" w:eastAsia="宋体" w:cs="Times New Roman"/>
                <w:b/>
                <w:bCs/>
                <w:sz w:val="24"/>
                <w:szCs w:val="24"/>
              </w:rPr>
              <w:t>7</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展望未来，公司光伏订单预期如何？</w:t>
            </w:r>
          </w:p>
          <w:p>
            <w:pPr>
              <w:adjustRightInd w:val="0"/>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公司预计明年光伏订单同比将有较大增长，主要得益于TOPCon+提效技术的持续升级以及BC电池的图形化开模技术。其中，TOPCon+的背面图形化技术已在头部客户的GW级别量产线上生产，预计近期订单将陆续落地；正面与铜替银技术预计在明年开始陆续落地；BC电池的终端应用逐步打开，公司在BC电池设备已在部分头部企业完成验证，有实际订单陆续交付中，预计近期订单将陆续落地。</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Q8：光伏中</w:t>
            </w:r>
            <w:r>
              <w:rPr>
                <w:rFonts w:ascii="Times New Roman" w:hAnsi="Times New Roman" w:eastAsia="宋体" w:cs="Times New Roman"/>
                <w:b/>
                <w:bCs/>
                <w:sz w:val="24"/>
                <w:szCs w:val="24"/>
              </w:rPr>
              <w:t>BC电池</w:t>
            </w:r>
            <w:r>
              <w:rPr>
                <w:rFonts w:hint="eastAsia" w:ascii="Times New Roman" w:hAnsi="Times New Roman" w:eastAsia="宋体" w:cs="Times New Roman"/>
                <w:b/>
                <w:bCs/>
                <w:sz w:val="24"/>
                <w:szCs w:val="24"/>
              </w:rPr>
              <w:t>的市场逐步发展，如何判断这一技术趋势对公司的影响？</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A：BC</w:t>
            </w:r>
            <w:r>
              <w:rPr>
                <w:rFonts w:hint="eastAsia" w:ascii="Times New Roman" w:hAnsi="Times New Roman" w:eastAsia="宋体" w:cs="Times New Roman"/>
                <w:sz w:val="24"/>
                <w:szCs w:val="24"/>
              </w:rPr>
              <w:t>电池技术</w:t>
            </w:r>
            <w:r>
              <w:rPr>
                <w:rFonts w:ascii="Times New Roman" w:hAnsi="Times New Roman" w:eastAsia="宋体" w:cs="Times New Roman"/>
                <w:sz w:val="24"/>
                <w:szCs w:val="24"/>
              </w:rPr>
              <w:t>对激光设备需求较大</w:t>
            </w:r>
            <w:r>
              <w:rPr>
                <w:rFonts w:hint="eastAsia" w:ascii="Times New Roman" w:hAnsi="Times New Roman" w:eastAsia="宋体" w:cs="Times New Roman"/>
                <w:sz w:val="24"/>
                <w:szCs w:val="24"/>
              </w:rPr>
              <w:t>，</w:t>
            </w:r>
            <w:r>
              <w:rPr>
                <w:rFonts w:ascii="Times New Roman" w:hAnsi="Times New Roman" w:eastAsia="宋体" w:cs="Times New Roman"/>
                <w:sz w:val="24"/>
                <w:szCs w:val="24"/>
              </w:rPr>
              <w:t>依靠激光进行膜层的图形化去除，至少</w:t>
            </w:r>
            <w:r>
              <w:rPr>
                <w:rFonts w:hint="eastAsia" w:ascii="Times New Roman" w:hAnsi="Times New Roman" w:eastAsia="宋体" w:cs="Times New Roman"/>
                <w:sz w:val="24"/>
                <w:szCs w:val="24"/>
              </w:rPr>
              <w:t>有</w:t>
            </w:r>
            <w:r>
              <w:rPr>
                <w:rFonts w:ascii="Times New Roman" w:hAnsi="Times New Roman" w:eastAsia="宋体" w:cs="Times New Roman"/>
                <w:sz w:val="24"/>
                <w:szCs w:val="24"/>
              </w:rPr>
              <w:t>两道工序，膜层面积相对较大，精度相对较高。</w:t>
            </w:r>
            <w:r>
              <w:rPr>
                <w:rFonts w:hint="eastAsia" w:ascii="Times New Roman" w:hAnsi="Times New Roman" w:eastAsia="宋体" w:cs="Times New Roman"/>
                <w:sz w:val="24"/>
                <w:szCs w:val="24"/>
              </w:rPr>
              <w:t>公司</w:t>
            </w:r>
            <w:r>
              <w:rPr>
                <w:rFonts w:ascii="Times New Roman" w:hAnsi="Times New Roman" w:eastAsia="宋体" w:cs="Times New Roman"/>
                <w:sz w:val="24"/>
                <w:szCs w:val="24"/>
              </w:rPr>
              <w:t>在BC电池设备的技术储备已经有两年时间，</w:t>
            </w:r>
            <w:r>
              <w:rPr>
                <w:rFonts w:hint="eastAsia" w:ascii="Times New Roman" w:hAnsi="Times New Roman" w:eastAsia="宋体" w:cs="Times New Roman"/>
                <w:sz w:val="24"/>
                <w:szCs w:val="24"/>
              </w:rPr>
              <w:t>预计后续也有相应的设备订单需求。</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hint="eastAsia" w:ascii="Times New Roman" w:hAnsi="Times New Roman" w:eastAsia="宋体" w:cs="Times New Roman"/>
                <w:b/>
                <w:bCs/>
                <w:sz w:val="24"/>
                <w:szCs w:val="24"/>
              </w:rPr>
              <w:t>Q9：TOPCon+与BC设备的利润率水平如何？</w:t>
            </w:r>
          </w:p>
          <w:p>
            <w:pPr>
              <w:adjustRightInd w:val="0"/>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A：从不同设备价值量看，</w:t>
            </w:r>
            <w:r>
              <w:rPr>
                <w:rFonts w:ascii="Times New Roman" w:hAnsi="Times New Roman" w:eastAsia="宋体" w:cs="Times New Roman"/>
                <w:sz w:val="24"/>
                <w:szCs w:val="24"/>
              </w:rPr>
              <w:t>TOPCon+双面</w:t>
            </w:r>
            <w:r>
              <w:rPr>
                <w:rFonts w:hint="eastAsia" w:ascii="Times New Roman" w:hAnsi="Times New Roman" w:eastAsia="宋体" w:cs="Times New Roman"/>
                <w:sz w:val="24"/>
                <w:szCs w:val="24"/>
              </w:rPr>
              <w:t>技术</w:t>
            </w:r>
            <w:r>
              <w:rPr>
                <w:rFonts w:ascii="Times New Roman" w:hAnsi="Times New Roman" w:eastAsia="宋体" w:cs="Times New Roman"/>
                <w:sz w:val="24"/>
                <w:szCs w:val="24"/>
              </w:rPr>
              <w:t>合计价值量</w:t>
            </w:r>
            <w:r>
              <w:rPr>
                <w:rFonts w:hint="eastAsia" w:ascii="Times New Roman" w:hAnsi="Times New Roman" w:eastAsia="宋体" w:cs="Times New Roman"/>
                <w:sz w:val="24"/>
                <w:szCs w:val="24"/>
                <w:lang w:val="en-US" w:eastAsia="zh-CN"/>
              </w:rPr>
              <w:t>预计</w:t>
            </w:r>
            <w:r>
              <w:rPr>
                <w:rFonts w:ascii="Times New Roman" w:hAnsi="Times New Roman" w:eastAsia="宋体" w:cs="Times New Roman"/>
                <w:sz w:val="24"/>
                <w:szCs w:val="24"/>
              </w:rPr>
              <w:t>约2000万元/GW；铜替银的光伏激光设备预计为500-600万</w:t>
            </w:r>
            <w:r>
              <w:rPr>
                <w:rFonts w:hint="eastAsia" w:ascii="Times New Roman" w:hAnsi="Times New Roman" w:eastAsia="宋体" w:cs="Times New Roman"/>
                <w:sz w:val="24"/>
                <w:szCs w:val="24"/>
              </w:rPr>
              <w:t>元</w:t>
            </w:r>
            <w:r>
              <w:rPr>
                <w:rFonts w:ascii="Times New Roman" w:hAnsi="Times New Roman" w:eastAsia="宋体" w:cs="Times New Roman"/>
                <w:sz w:val="24"/>
                <w:szCs w:val="24"/>
              </w:rPr>
              <w:t>/GW；BC激光设备</w:t>
            </w:r>
            <w:r>
              <w:rPr>
                <w:rFonts w:hint="eastAsia" w:ascii="Times New Roman" w:hAnsi="Times New Roman" w:eastAsia="宋体" w:cs="Times New Roman"/>
                <w:sz w:val="24"/>
                <w:szCs w:val="24"/>
                <w:lang w:val="en-US" w:eastAsia="zh-CN"/>
              </w:rPr>
              <w:t>预计</w:t>
            </w:r>
            <w:r>
              <w:rPr>
                <w:rFonts w:ascii="Times New Roman" w:hAnsi="Times New Roman" w:eastAsia="宋体" w:cs="Times New Roman"/>
                <w:sz w:val="24"/>
                <w:szCs w:val="24"/>
              </w:rPr>
              <w:t>约5000万元/GW。</w:t>
            </w:r>
            <w:r>
              <w:rPr>
                <w:rFonts w:hint="eastAsia" w:ascii="Times New Roman" w:hAnsi="Times New Roman" w:eastAsia="宋体" w:cs="Times New Roman"/>
                <w:sz w:val="24"/>
                <w:szCs w:val="24"/>
              </w:rPr>
              <w:t>目前公司自研超快倍频激光器在性能优异的基础上实现成本可控，光伏业务的综合毛利率预计在40%左右，光伏部门人效较高，预计净利率可观。</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Q</w:t>
            </w:r>
            <w:r>
              <w:rPr>
                <w:rFonts w:hint="eastAsia" w:ascii="Times New Roman" w:hAnsi="Times New Roman" w:eastAsia="宋体" w:cs="Times New Roman"/>
                <w:b/>
                <w:bCs/>
                <w:sz w:val="24"/>
                <w:szCs w:val="24"/>
              </w:rPr>
              <w:t>10</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目前市场普遍关注锂电以及光伏的订单结转情况，</w:t>
            </w:r>
            <w:r>
              <w:rPr>
                <w:rFonts w:ascii="Times New Roman" w:hAnsi="Times New Roman" w:eastAsia="宋体" w:cs="Times New Roman"/>
                <w:b/>
                <w:bCs/>
                <w:sz w:val="24"/>
                <w:szCs w:val="24"/>
              </w:rPr>
              <w:t>请问公司的设备交付周期如何？</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A：锂电与光伏板块订单以“3-3-3-1”的收入确认模式为主，即预付款支付30%、发货款支付30%、验收款支付30%、质保金支付10%。</w:t>
            </w:r>
          </w:p>
          <w:p>
            <w:pPr>
              <w:adjustRightInd w:val="0"/>
              <w:snapToGrid w:val="0"/>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分板块看，</w:t>
            </w:r>
            <w:r>
              <w:rPr>
                <w:rFonts w:ascii="Times New Roman" w:hAnsi="Times New Roman" w:eastAsia="宋体" w:cs="Times New Roman"/>
                <w:sz w:val="24"/>
                <w:szCs w:val="24"/>
              </w:rPr>
              <w:t>光伏产品较锂电产品相对更加标准化，故交付验收期更短。光伏的交付期1至3个月，验收期1年；国内锂电的交付周期4至6个月，验收期1年；海外锂电的交付期6至9个月，验收期1.5至2年。3C大部分订单的交付验收周期较快，当年可实现收入的确认。</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Q</w:t>
            </w:r>
            <w:r>
              <w:rPr>
                <w:rFonts w:hint="eastAsia" w:ascii="Times New Roman" w:hAnsi="Times New Roman" w:eastAsia="宋体" w:cs="Times New Roman"/>
                <w:b/>
                <w:bCs/>
                <w:sz w:val="24"/>
                <w:szCs w:val="24"/>
              </w:rPr>
              <w:t>11</w:t>
            </w:r>
            <w:r>
              <w:rPr>
                <w:rFonts w:ascii="Times New Roman" w:hAnsi="Times New Roman" w:eastAsia="宋体" w:cs="Times New Roman"/>
                <w:b/>
                <w:bCs/>
                <w:sz w:val="24"/>
                <w:szCs w:val="24"/>
              </w:rPr>
              <w:t>：</w:t>
            </w:r>
            <w:r>
              <w:rPr>
                <w:rFonts w:hint="eastAsia" w:ascii="Times New Roman" w:hAnsi="Times New Roman" w:eastAsia="宋体" w:cs="Times New Roman"/>
                <w:b/>
                <w:bCs/>
                <w:sz w:val="24"/>
                <w:szCs w:val="24"/>
              </w:rPr>
              <w:t>工业激光的逻辑与医疗激光逻辑差别较大，</w:t>
            </w:r>
            <w:r>
              <w:rPr>
                <w:rFonts w:ascii="Times New Roman" w:hAnsi="Times New Roman" w:eastAsia="宋体" w:cs="Times New Roman"/>
                <w:b/>
                <w:bCs/>
                <w:sz w:val="24"/>
                <w:szCs w:val="24"/>
              </w:rPr>
              <w:t>公司</w:t>
            </w:r>
            <w:r>
              <w:rPr>
                <w:rFonts w:hint="eastAsia" w:ascii="Times New Roman" w:hAnsi="Times New Roman" w:eastAsia="宋体" w:cs="Times New Roman"/>
                <w:b/>
                <w:bCs/>
                <w:sz w:val="24"/>
                <w:szCs w:val="24"/>
              </w:rPr>
              <w:t>判断</w:t>
            </w:r>
            <w:r>
              <w:rPr>
                <w:rFonts w:ascii="Times New Roman" w:hAnsi="Times New Roman" w:eastAsia="宋体" w:cs="Times New Roman"/>
                <w:b/>
                <w:bCs/>
                <w:sz w:val="24"/>
                <w:szCs w:val="24"/>
              </w:rPr>
              <w:t>医疗器械产品的未来发展路径如何？</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w:t>
            </w:r>
            <w:r>
              <w:rPr>
                <w:rFonts w:hint="eastAsia" w:ascii="Times New Roman" w:hAnsi="Times New Roman" w:eastAsia="宋体" w:cs="Times New Roman"/>
                <w:sz w:val="24"/>
                <w:szCs w:val="24"/>
              </w:rPr>
              <w:t>：公司目前已自主研发成功并推出新型高功率长波长可调谐中红外飞秒固体激光器，为全球开创性产品，技术壁垒高，产品力与市场竞争力强。目前，</w:t>
            </w:r>
            <w:r>
              <w:rPr>
                <w:rFonts w:ascii="Times New Roman" w:hAnsi="Times New Roman" w:eastAsia="宋体" w:cs="Times New Roman"/>
                <w:sz w:val="24"/>
                <w:szCs w:val="24"/>
              </w:rPr>
              <w:t>公司</w:t>
            </w:r>
            <w:r>
              <w:rPr>
                <w:rFonts w:hint="eastAsia" w:ascii="Times New Roman" w:hAnsi="Times New Roman" w:eastAsia="宋体" w:cs="Times New Roman"/>
                <w:sz w:val="24"/>
                <w:szCs w:val="24"/>
              </w:rPr>
              <w:t>的医疗业务板块中，</w:t>
            </w:r>
            <w:r>
              <w:rPr>
                <w:rFonts w:ascii="Times New Roman" w:hAnsi="Times New Roman" w:eastAsia="宋体" w:cs="Times New Roman"/>
                <w:sz w:val="24"/>
                <w:szCs w:val="24"/>
              </w:rPr>
              <w:t>品牌矩阵建设、市场宣传筹备、核心产品定位、产品矩阵规划、渠道管理策略、销售团队组建等相关工作都在紧锣密鼓的筹备中。</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Q</w:t>
            </w:r>
            <w:r>
              <w:rPr>
                <w:rFonts w:hint="eastAsia" w:ascii="Times New Roman" w:hAnsi="Times New Roman" w:eastAsia="宋体" w:cs="Times New Roman"/>
                <w:b/>
                <w:bCs/>
                <w:sz w:val="24"/>
                <w:szCs w:val="24"/>
              </w:rPr>
              <w:t>12：</w:t>
            </w:r>
            <w:r>
              <w:rPr>
                <w:rFonts w:ascii="Times New Roman" w:hAnsi="Times New Roman" w:eastAsia="宋体" w:cs="Times New Roman"/>
                <w:b/>
                <w:bCs/>
                <w:sz w:val="24"/>
                <w:szCs w:val="24"/>
              </w:rPr>
              <w:t>公司</w:t>
            </w:r>
            <w:r>
              <w:rPr>
                <w:rFonts w:hint="eastAsia" w:ascii="Times New Roman" w:hAnsi="Times New Roman" w:eastAsia="宋体" w:cs="Times New Roman"/>
                <w:b/>
                <w:bCs/>
                <w:sz w:val="24"/>
                <w:szCs w:val="24"/>
              </w:rPr>
              <w:t>的</w:t>
            </w:r>
            <w:r>
              <w:rPr>
                <w:rFonts w:ascii="Times New Roman" w:hAnsi="Times New Roman" w:eastAsia="宋体" w:cs="Times New Roman"/>
                <w:b/>
                <w:bCs/>
                <w:sz w:val="24"/>
                <w:szCs w:val="24"/>
              </w:rPr>
              <w:t>医疗设备</w:t>
            </w:r>
            <w:r>
              <w:rPr>
                <w:rFonts w:hint="eastAsia" w:ascii="Times New Roman" w:hAnsi="Times New Roman" w:eastAsia="宋体" w:cs="Times New Roman"/>
                <w:b/>
                <w:bCs/>
                <w:sz w:val="24"/>
                <w:szCs w:val="24"/>
              </w:rPr>
              <w:t>业务进展如何</w:t>
            </w:r>
            <w:r>
              <w:rPr>
                <w:rFonts w:ascii="Times New Roman" w:hAnsi="Times New Roman" w:eastAsia="宋体" w:cs="Times New Roman"/>
                <w:b/>
                <w:bCs/>
                <w:sz w:val="24"/>
                <w:szCs w:val="24"/>
              </w:rPr>
              <w:t>？</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公司正在有序推进二类与</w:t>
            </w:r>
            <w:r>
              <w:rPr>
                <w:rFonts w:hint="eastAsia" w:ascii="Times New Roman" w:hAnsi="Times New Roman" w:eastAsia="宋体" w:cs="Times New Roman"/>
                <w:sz w:val="24"/>
                <w:szCs w:val="24"/>
              </w:rPr>
              <w:t>三类医疗器械注册证</w:t>
            </w:r>
            <w:r>
              <w:rPr>
                <w:rFonts w:ascii="Times New Roman" w:hAnsi="Times New Roman" w:eastAsia="宋体" w:cs="Times New Roman"/>
                <w:sz w:val="24"/>
                <w:szCs w:val="24"/>
              </w:rPr>
              <w:t>的申请。其中，二类证对应的是应用于皮肤科、检测、理疗方面的产品，</w:t>
            </w:r>
            <w:r>
              <w:rPr>
                <w:rFonts w:hint="eastAsia" w:ascii="Times New Roman" w:hAnsi="Times New Roman" w:eastAsia="宋体" w:cs="Times New Roman"/>
                <w:sz w:val="24"/>
                <w:szCs w:val="24"/>
                <w:lang w:val="en-US" w:eastAsia="zh-CN"/>
              </w:rPr>
              <w:t>该类产品</w:t>
            </w:r>
            <w:r>
              <w:rPr>
                <w:rFonts w:ascii="Times New Roman" w:hAnsi="Times New Roman" w:eastAsia="宋体" w:cs="Times New Roman"/>
                <w:sz w:val="24"/>
                <w:szCs w:val="24"/>
              </w:rPr>
              <w:t>不需要进行临床</w:t>
            </w:r>
            <w:r>
              <w:rPr>
                <w:rFonts w:hint="eastAsia" w:ascii="Times New Roman" w:hAnsi="Times New Roman" w:eastAsia="宋体" w:cs="Times New Roman"/>
                <w:sz w:val="24"/>
                <w:szCs w:val="24"/>
                <w:lang w:val="en-US" w:eastAsia="zh-CN"/>
              </w:rPr>
              <w:t>实验</w:t>
            </w:r>
            <w:r>
              <w:rPr>
                <w:rFonts w:ascii="Times New Roman" w:hAnsi="Times New Roman" w:eastAsia="宋体" w:cs="Times New Roman"/>
                <w:sz w:val="24"/>
                <w:szCs w:val="24"/>
              </w:rPr>
              <w:t>；三类证</w:t>
            </w:r>
            <w:r>
              <w:rPr>
                <w:rFonts w:hint="eastAsia" w:ascii="Times New Roman" w:hAnsi="Times New Roman" w:eastAsia="宋体" w:cs="Times New Roman"/>
                <w:sz w:val="24"/>
                <w:szCs w:val="24"/>
              </w:rPr>
              <w:t>的首批产品</w:t>
            </w:r>
            <w:r>
              <w:rPr>
                <w:rFonts w:ascii="Times New Roman" w:hAnsi="Times New Roman" w:eastAsia="宋体" w:cs="Times New Roman"/>
                <w:sz w:val="24"/>
                <w:szCs w:val="24"/>
              </w:rPr>
              <w:t>包括毛发再生类等产品</w:t>
            </w:r>
            <w:r>
              <w:rPr>
                <w:rFonts w:hint="eastAsia" w:ascii="Times New Roman" w:hAnsi="Times New Roman" w:eastAsia="宋体" w:cs="Times New Roman"/>
                <w:sz w:val="24"/>
                <w:szCs w:val="24"/>
              </w:rPr>
              <w:t>，</w:t>
            </w:r>
            <w:r>
              <w:rPr>
                <w:rFonts w:ascii="Times New Roman" w:hAnsi="Times New Roman" w:eastAsia="宋体" w:cs="Times New Roman"/>
                <w:sz w:val="24"/>
                <w:szCs w:val="24"/>
              </w:rPr>
              <w:t>目前正在推进</w:t>
            </w:r>
            <w:r>
              <w:rPr>
                <w:rFonts w:hint="eastAsia" w:ascii="Times New Roman" w:hAnsi="Times New Roman" w:eastAsia="宋体" w:cs="Times New Roman"/>
                <w:sz w:val="24"/>
                <w:szCs w:val="24"/>
                <w:lang w:val="en-US" w:eastAsia="zh-CN"/>
              </w:rPr>
              <w:t>三类医疗器械注册证</w:t>
            </w:r>
            <w:bookmarkStart w:id="0" w:name="_GoBack"/>
            <w:bookmarkEnd w:id="0"/>
            <w:r>
              <w:rPr>
                <w:rFonts w:hint="eastAsia" w:ascii="Times New Roman" w:hAnsi="Times New Roman" w:eastAsia="宋体" w:cs="Times New Roman"/>
                <w:sz w:val="24"/>
                <w:szCs w:val="24"/>
                <w:lang w:val="en-US" w:eastAsia="zh-CN"/>
              </w:rPr>
              <w:t>的申报过程中</w:t>
            </w:r>
            <w:r>
              <w:rPr>
                <w:rFonts w:ascii="Times New Roman" w:hAnsi="Times New Roman" w:eastAsia="宋体" w:cs="Times New Roman"/>
                <w:sz w:val="24"/>
                <w:szCs w:val="24"/>
              </w:rPr>
              <w:t>。</w:t>
            </w:r>
          </w:p>
          <w:p>
            <w:pPr>
              <w:adjustRightInd w:val="0"/>
              <w:snapToGrid w:val="0"/>
              <w:spacing w:line="360" w:lineRule="auto"/>
              <w:rPr>
                <w:rFonts w:hint="default" w:ascii="Times New Roman" w:hAnsi="Times New Roman" w:eastAsia="宋体" w:cs="Times New Roman"/>
                <w:sz w:val="24"/>
                <w:szCs w:val="24"/>
                <w:lang w:val="en-US"/>
              </w:rPr>
            </w:pPr>
            <w:r>
              <w:rPr>
                <w:rFonts w:ascii="Times New Roman" w:hAnsi="Times New Roman" w:eastAsia="宋体" w:cs="Times New Roman"/>
                <w:sz w:val="24"/>
                <w:szCs w:val="24"/>
              </w:rPr>
              <w:t xml:space="preserve">    </w:t>
            </w:r>
          </w:p>
          <w:p>
            <w:pPr>
              <w:adjustRightInd w:val="0"/>
              <w:snapToGrid w:val="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Q</w:t>
            </w:r>
            <w:r>
              <w:rPr>
                <w:rFonts w:hint="eastAsia" w:ascii="Times New Roman" w:hAnsi="Times New Roman" w:eastAsia="宋体" w:cs="Times New Roman"/>
                <w:b/>
                <w:bCs/>
                <w:sz w:val="24"/>
                <w:szCs w:val="24"/>
              </w:rPr>
              <w:t>13：</w:t>
            </w:r>
            <w:r>
              <w:rPr>
                <w:rFonts w:ascii="Times New Roman" w:hAnsi="Times New Roman" w:eastAsia="宋体" w:cs="Times New Roman"/>
                <w:b/>
                <w:bCs/>
                <w:sz w:val="24"/>
                <w:szCs w:val="24"/>
              </w:rPr>
              <w:t>第三季度</w:t>
            </w:r>
            <w:r>
              <w:rPr>
                <w:rFonts w:hint="eastAsia" w:ascii="Times New Roman" w:hAnsi="Times New Roman" w:eastAsia="宋体" w:cs="Times New Roman"/>
                <w:b/>
                <w:bCs/>
                <w:sz w:val="24"/>
                <w:szCs w:val="24"/>
              </w:rPr>
              <w:t>，</w:t>
            </w:r>
            <w:r>
              <w:rPr>
                <w:rFonts w:ascii="Times New Roman" w:hAnsi="Times New Roman" w:eastAsia="宋体" w:cs="Times New Roman"/>
                <w:b/>
                <w:bCs/>
                <w:sz w:val="24"/>
                <w:szCs w:val="24"/>
              </w:rPr>
              <w:t>公司</w:t>
            </w:r>
            <w:r>
              <w:rPr>
                <w:rFonts w:hint="eastAsia" w:ascii="Times New Roman" w:hAnsi="Times New Roman" w:eastAsia="宋体" w:cs="Times New Roman"/>
                <w:b/>
                <w:bCs/>
                <w:sz w:val="24"/>
                <w:szCs w:val="24"/>
              </w:rPr>
              <w:t>业绩为什么呈现收入上升但净利</w:t>
            </w:r>
            <w:r>
              <w:rPr>
                <w:rFonts w:ascii="Times New Roman" w:hAnsi="Times New Roman" w:eastAsia="宋体" w:cs="Times New Roman"/>
                <w:b/>
                <w:bCs/>
                <w:sz w:val="24"/>
                <w:szCs w:val="24"/>
              </w:rPr>
              <w:t>下滑</w:t>
            </w:r>
            <w:r>
              <w:rPr>
                <w:rFonts w:hint="eastAsia" w:ascii="Times New Roman" w:hAnsi="Times New Roman" w:eastAsia="宋体" w:cs="Times New Roman"/>
                <w:b/>
                <w:bCs/>
                <w:sz w:val="24"/>
                <w:szCs w:val="24"/>
              </w:rPr>
              <w:t>的情况</w:t>
            </w:r>
            <w:r>
              <w:rPr>
                <w:rFonts w:ascii="Times New Roman" w:hAnsi="Times New Roman" w:eastAsia="宋体" w:cs="Times New Roman"/>
                <w:b/>
                <w:bCs/>
                <w:sz w:val="24"/>
                <w:szCs w:val="24"/>
              </w:rPr>
              <w:t>？</w:t>
            </w:r>
          </w:p>
          <w:p>
            <w:pPr>
              <w:adjustRightInd w:val="0"/>
              <w:snapToGrid w:val="0"/>
              <w:spacing w:line="360" w:lineRule="auto"/>
              <w:rPr>
                <w:rFonts w:ascii="Times New Roman" w:hAnsi="Times New Roman" w:eastAsia="宋体" w:cs="Times New Roman"/>
                <w:sz w:val="24"/>
                <w:szCs w:val="24"/>
              </w:rPr>
            </w:pPr>
            <w:r>
              <w:rPr>
                <w:rFonts w:ascii="Times New Roman" w:hAnsi="Times New Roman" w:eastAsia="宋体" w:cs="Times New Roman"/>
                <w:sz w:val="24"/>
                <w:szCs w:val="24"/>
              </w:rPr>
              <w:t>A</w:t>
            </w:r>
            <w:r>
              <w:rPr>
                <w:rFonts w:hint="eastAsia" w:ascii="Times New Roman" w:hAnsi="Times New Roman" w:eastAsia="宋体" w:cs="Times New Roman"/>
                <w:sz w:val="24"/>
                <w:szCs w:val="24"/>
              </w:rPr>
              <w:t>：</w:t>
            </w:r>
            <w:r>
              <w:rPr>
                <w:rFonts w:ascii="Times New Roman" w:hAnsi="Times New Roman" w:eastAsia="宋体" w:cs="Times New Roman"/>
                <w:sz w:val="24"/>
                <w:szCs w:val="24"/>
              </w:rPr>
              <w:t>公司2024年前三季度实现营收36.27亿元，同比增长7.92%，归属上市公司股东净利润为1.67亿元，同比下滑46.38%。2024年以来，国内新能源行业处于周期性调整底部，公司前三季度营业收入实现正增长，主要得益于2023年的光伏订单形成批量验收。利润发生较大下滑的原因主要是受到国内锂电设备市场内卷、产品价格竞争激烈的影响，毛利率承压；此外公司加大海外业务开拓，销售和管理方面的投入有所增加；下游客户资金安排，销售回款进度有所推迟，公司借款增加导致财务费用增加，给短期业绩带来一定影响。</w:t>
            </w:r>
          </w:p>
          <w:p>
            <w:pPr>
              <w:adjustRightInd w:val="0"/>
              <w:snapToGrid w:val="0"/>
              <w:spacing w:line="360" w:lineRule="auto"/>
              <w:rPr>
                <w:rFonts w:ascii="Times New Roman" w:hAnsi="Times New Roman" w:eastAsia="宋体" w:cs="Times New Roman"/>
                <w:sz w:val="24"/>
                <w:szCs w:val="24"/>
              </w:rPr>
            </w:pPr>
          </w:p>
          <w:p>
            <w:pPr>
              <w:adjustRightInd w:val="0"/>
              <w:snapToGrid w:val="0"/>
              <w:spacing w:line="360" w:lineRule="auto"/>
              <w:rPr>
                <w:rFonts w:ascii="Times New Roman" w:hAnsi="Times New Roman" w:eastAsia="宋体" w:cs="Times New Roman"/>
                <w:sz w:val="24"/>
                <w:szCs w:val="24"/>
              </w:rPr>
            </w:pPr>
          </w:p>
          <w:p>
            <w:pPr>
              <w:spacing w:after="393" w:line="376" w:lineRule="auto"/>
              <w:rPr>
                <w:rFonts w:ascii="Times New Roman" w:hAnsi="Times New Roman" w:cs="Times New Roman" w:eastAsiaTheme="minorEastAsia"/>
              </w:rPr>
            </w:pPr>
            <w:r>
              <w:rPr>
                <w:rFonts w:ascii="Times New Roman" w:hAnsi="Times New Roman" w:eastAsia="宋体" w:cs="Times New Roman"/>
                <w:sz w:val="24"/>
              </w:rPr>
              <w:t>接待过程中，海目星与投资者进行了充分的交流与沟通，严格按照《信息披露管理制度》等规定，保证信息披露的真实、准确、完整、及时、公平。没有出现未公开重大信息泄露等情况。</w:t>
            </w:r>
          </w:p>
        </w:tc>
      </w:tr>
      <w:tr>
        <w:tblPrEx>
          <w:tblCellMar>
            <w:top w:w="42" w:type="dxa"/>
            <w:left w:w="0" w:type="dxa"/>
            <w:bottom w:w="109" w:type="dxa"/>
            <w:right w:w="0" w:type="dxa"/>
          </w:tblCellMar>
        </w:tblPrEx>
        <w:trPr>
          <w:trHeight w:val="691" w:hRule="atLeast"/>
        </w:trPr>
        <w:tc>
          <w:tcPr>
            <w:tcW w:w="1417" w:type="dxa"/>
            <w:tcBorders>
              <w:top w:val="single" w:color="000000" w:sz="4" w:space="0"/>
              <w:left w:val="single" w:color="000000" w:sz="4" w:space="0"/>
              <w:bottom w:val="single" w:color="000000" w:sz="4" w:space="0"/>
              <w:right w:val="single" w:color="000000" w:sz="4" w:space="0"/>
            </w:tcBorders>
            <w:vAlign w:val="center"/>
          </w:tcPr>
          <w:p>
            <w:pPr>
              <w:spacing w:after="0"/>
              <w:jc w:val="center"/>
              <w:rPr>
                <w:rFonts w:ascii="Times New Roman" w:hAnsi="Times New Roman" w:eastAsia="宋体" w:cs="Times New Roman"/>
                <w:sz w:val="24"/>
              </w:rPr>
            </w:pPr>
            <w:r>
              <w:rPr>
                <w:rFonts w:ascii="Times New Roman" w:hAnsi="Times New Roman" w:eastAsia="宋体" w:cs="Times New Roman"/>
                <w:sz w:val="24"/>
              </w:rPr>
              <w:t>日期</w:t>
            </w:r>
          </w:p>
        </w:tc>
        <w:tc>
          <w:tcPr>
            <w:tcW w:w="8353" w:type="dxa"/>
            <w:gridSpan w:val="2"/>
            <w:tcBorders>
              <w:top w:val="single" w:color="000000" w:sz="4" w:space="0"/>
              <w:left w:val="single" w:color="000000" w:sz="4" w:space="0"/>
              <w:bottom w:val="single" w:color="000000" w:sz="4" w:space="0"/>
              <w:right w:val="single" w:color="000000" w:sz="4" w:space="0"/>
            </w:tcBorders>
            <w:vAlign w:val="center"/>
          </w:tcPr>
          <w:p>
            <w:pPr>
              <w:spacing w:after="0"/>
              <w:rPr>
                <w:rFonts w:ascii="Times New Roman" w:hAnsi="Times New Roman" w:eastAsia="宋体" w:cs="Times New Roman"/>
                <w:sz w:val="24"/>
                <w:szCs w:val="24"/>
              </w:rPr>
            </w:pPr>
            <w:r>
              <w:rPr>
                <w:rFonts w:ascii="Times New Roman" w:hAnsi="Times New Roman" w:eastAsia="宋体" w:cs="Times New Roman"/>
                <w:sz w:val="24"/>
                <w:szCs w:val="24"/>
              </w:rPr>
              <w:t>2024年12月</w:t>
            </w:r>
            <w:r>
              <w:rPr>
                <w:rFonts w:hint="eastAsia" w:ascii="Times New Roman" w:hAnsi="Times New Roman" w:eastAsia="宋体" w:cs="Times New Roman"/>
                <w:sz w:val="24"/>
                <w:szCs w:val="24"/>
              </w:rPr>
              <w:t>23</w:t>
            </w:r>
            <w:r>
              <w:rPr>
                <w:rFonts w:ascii="Times New Roman" w:hAnsi="Times New Roman" w:eastAsia="宋体" w:cs="Times New Roman"/>
                <w:sz w:val="24"/>
                <w:szCs w:val="24"/>
              </w:rPr>
              <w:t>日</w:t>
            </w:r>
          </w:p>
        </w:tc>
      </w:tr>
    </w:tbl>
    <w:p>
      <w:pPr>
        <w:spacing w:after="0"/>
        <w:ind w:left="-1143" w:right="10763"/>
      </w:pPr>
    </w:p>
    <w:sectPr>
      <w:headerReference r:id="rId7" w:type="first"/>
      <w:footerReference r:id="rId10" w:type="first"/>
      <w:headerReference r:id="rId5" w:type="default"/>
      <w:footerReference r:id="rId8" w:type="default"/>
      <w:headerReference r:id="rId6" w:type="even"/>
      <w:footerReference r:id="rId9" w:type="even"/>
      <w:pgSz w:w="11906" w:h="16838"/>
      <w:pgMar w:top="1082" w:right="1143" w:bottom="1190" w:left="1143" w:header="574" w:footer="86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rPr>
        <w:rFonts w:ascii="等线" w:hAnsi="等线" w:eastAsia="等线" w:cs="等线"/>
        <w:sz w:val="18"/>
      </w:rPr>
      <w:t xml:space="preserve">第 </w:t>
    </w:r>
    <w:r>
      <w:fldChar w:fldCharType="begin"/>
    </w:r>
    <w:r>
      <w:instrText xml:space="preserve"> PAGE   \* MERGEFORMAT </w:instrText>
    </w:r>
    <w:r>
      <w:fldChar w:fldCharType="separate"/>
    </w:r>
    <w:r>
      <w:rPr>
        <w:rFonts w:ascii="等线" w:hAnsi="等线" w:eastAsia="等线" w:cs="等线"/>
        <w:sz w:val="18"/>
      </w:rPr>
      <w:t>5</w:t>
    </w:r>
    <w:r>
      <w:rPr>
        <w:rFonts w:ascii="等线" w:hAnsi="等线" w:eastAsia="等线" w:cs="等线"/>
        <w:sz w:val="18"/>
      </w:rPr>
      <w:fldChar w:fldCharType="end"/>
    </w:r>
    <w:r>
      <w:rPr>
        <w:rFonts w:ascii="等线" w:hAnsi="等线" w:eastAsia="等线" w:cs="等线"/>
        <w:sz w:val="18"/>
      </w:rPr>
      <w:t xml:space="preserve"> 页 / 共 </w:t>
    </w:r>
    <w:r>
      <w:fldChar w:fldCharType="begin"/>
    </w:r>
    <w:r>
      <w:instrText xml:space="preserve"> NUMPAGES   \* MERGEFORMAT </w:instrText>
    </w:r>
    <w:r>
      <w:fldChar w:fldCharType="separate"/>
    </w:r>
    <w:r>
      <w:rPr>
        <w:rFonts w:ascii="等线" w:hAnsi="等线" w:eastAsia="等线" w:cs="等线"/>
        <w:sz w:val="18"/>
      </w:rPr>
      <w:t>5</w:t>
    </w:r>
    <w:r>
      <w:rPr>
        <w:rFonts w:ascii="等线" w:hAnsi="等线" w:eastAsia="等线" w:cs="等线"/>
        <w:sz w:val="18"/>
      </w:rPr>
      <w:fldChar w:fldCharType="end"/>
    </w:r>
    <w:r>
      <w:rPr>
        <w:rFonts w:ascii="等线" w:hAnsi="等线" w:eastAsia="等线" w:cs="等线"/>
        <w:sz w:val="18"/>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rPr>
        <w:rFonts w:ascii="等线" w:hAnsi="等线" w:eastAsia="等线" w:cs="等线"/>
        <w:sz w:val="18"/>
      </w:rPr>
      <w:t xml:space="preserve">第 </w:t>
    </w:r>
    <w:r>
      <w:fldChar w:fldCharType="begin"/>
    </w:r>
    <w:r>
      <w:instrText xml:space="preserve"> PAGE   \* MERGEFORMAT </w:instrText>
    </w:r>
    <w:r>
      <w:fldChar w:fldCharType="separate"/>
    </w:r>
    <w:r>
      <w:rPr>
        <w:rFonts w:ascii="等线" w:hAnsi="等线" w:eastAsia="等线" w:cs="等线"/>
        <w:sz w:val="18"/>
      </w:rPr>
      <w:t>1</w:t>
    </w:r>
    <w:r>
      <w:rPr>
        <w:rFonts w:ascii="等线" w:hAnsi="等线" w:eastAsia="等线" w:cs="等线"/>
        <w:sz w:val="18"/>
      </w:rPr>
      <w:fldChar w:fldCharType="end"/>
    </w:r>
    <w:r>
      <w:rPr>
        <w:rFonts w:ascii="等线" w:hAnsi="等线" w:eastAsia="等线" w:cs="等线"/>
        <w:sz w:val="18"/>
      </w:rPr>
      <w:t xml:space="preserve"> 页 / 共 </w:t>
    </w:r>
    <w:r>
      <w:fldChar w:fldCharType="begin"/>
    </w:r>
    <w:r>
      <w:instrText xml:space="preserve"> NUMPAGES   \* MERGEFORMAT </w:instrText>
    </w:r>
    <w:r>
      <w:fldChar w:fldCharType="separate"/>
    </w:r>
    <w:r>
      <w:rPr>
        <w:rFonts w:ascii="等线" w:hAnsi="等线" w:eastAsia="等线" w:cs="等线"/>
        <w:sz w:val="18"/>
      </w:rPr>
      <w:t>6</w:t>
    </w:r>
    <w:r>
      <w:rPr>
        <w:rFonts w:ascii="等线" w:hAnsi="等线" w:eastAsia="等线" w:cs="等线"/>
        <w:sz w:val="18"/>
      </w:rPr>
      <w:fldChar w:fldCharType="end"/>
    </w:r>
    <w:r>
      <w:rPr>
        <w:rFonts w:ascii="等线" w:hAnsi="等线" w:eastAsia="等线" w:cs="等线"/>
        <w:sz w:val="18"/>
      </w:rPr>
      <w:t xml:space="preserve"> 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jc w:val="center"/>
    </w:pPr>
    <w:r>
      <w:rPr>
        <w:rFonts w:ascii="等线" w:hAnsi="等线" w:eastAsia="等线" w:cs="等线"/>
        <w:sz w:val="18"/>
      </w:rPr>
      <w:t xml:space="preserve">第 </w:t>
    </w:r>
    <w:r>
      <w:fldChar w:fldCharType="begin"/>
    </w:r>
    <w:r>
      <w:instrText xml:space="preserve"> PAGE   \* MERGEFORMAT </w:instrText>
    </w:r>
    <w:r>
      <w:fldChar w:fldCharType="separate"/>
    </w:r>
    <w:r>
      <w:rPr>
        <w:rFonts w:ascii="等线" w:hAnsi="等线" w:eastAsia="等线" w:cs="等线"/>
        <w:sz w:val="18"/>
      </w:rPr>
      <w:t>1</w:t>
    </w:r>
    <w:r>
      <w:rPr>
        <w:rFonts w:ascii="等线" w:hAnsi="等线" w:eastAsia="等线" w:cs="等线"/>
        <w:sz w:val="18"/>
      </w:rPr>
      <w:fldChar w:fldCharType="end"/>
    </w:r>
    <w:r>
      <w:rPr>
        <w:rFonts w:ascii="等线" w:hAnsi="等线" w:eastAsia="等线" w:cs="等线"/>
        <w:sz w:val="18"/>
      </w:rPr>
      <w:t xml:space="preserve"> 页 / 共 </w:t>
    </w:r>
    <w:r>
      <w:fldChar w:fldCharType="begin"/>
    </w:r>
    <w:r>
      <w:instrText xml:space="preserve"> NUMPAGES   \* MERGEFORMAT </w:instrText>
    </w:r>
    <w:r>
      <w:fldChar w:fldCharType="separate"/>
    </w:r>
    <w:r>
      <w:rPr>
        <w:rFonts w:ascii="等线" w:hAnsi="等线" w:eastAsia="等线" w:cs="等线"/>
        <w:sz w:val="18"/>
      </w:rPr>
      <w:t>6</w:t>
    </w:r>
    <w:r>
      <w:rPr>
        <w:rFonts w:ascii="等线" w:hAnsi="等线" w:eastAsia="等线" w:cs="等线"/>
        <w:sz w:val="18"/>
      </w:rPr>
      <w:fldChar w:fldCharType="end"/>
    </w:r>
    <w:r>
      <w:rPr>
        <w:rFonts w:ascii="等线" w:hAnsi="等线" w:eastAsia="等线" w:cs="等线"/>
        <w:sz w:val="18"/>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20"/>
      </w:tabs>
      <w:spacing w:after="0"/>
      <w:ind w:left="-9" w:right="-1"/>
    </w:pPr>
    <w:r>
      <mc:AlternateContent>
        <mc:Choice Requires="wpg">
          <w:drawing>
            <wp:anchor distT="0" distB="0" distL="114300" distR="114300" simplePos="0" relativeHeight="251660288" behindDoc="0" locked="0" layoutInCell="1" allowOverlap="1">
              <wp:simplePos x="0" y="0"/>
              <wp:positionH relativeFrom="page">
                <wp:posOffset>701675</wp:posOffset>
              </wp:positionH>
              <wp:positionV relativeFrom="page">
                <wp:posOffset>532130</wp:posOffset>
              </wp:positionV>
              <wp:extent cx="6156960" cy="9525"/>
              <wp:effectExtent l="0" t="0" r="0" b="0"/>
              <wp:wrapSquare wrapText="bothSides"/>
              <wp:docPr id="5619" name="Group 5619"/>
              <wp:cNvGraphicFramePr/>
              <a:graphic xmlns:a="http://schemas.openxmlformats.org/drawingml/2006/main">
                <a:graphicData uri="http://schemas.microsoft.com/office/word/2010/wordprocessingGroup">
                  <wpg:wgp>
                    <wpg:cNvGrpSpPr/>
                    <wpg:grpSpPr>
                      <a:xfrm>
                        <a:off x="0" y="0"/>
                        <a:ext cx="6156960" cy="9525"/>
                        <a:chOff x="0" y="0"/>
                        <a:chExt cx="6156960" cy="9525"/>
                      </a:xfrm>
                    </wpg:grpSpPr>
                    <wps:wsp>
                      <wps:cNvPr id="5620" name="Shape 5620"/>
                      <wps:cNvSpPr/>
                      <wps:spPr>
                        <a:xfrm>
                          <a:off x="0" y="0"/>
                          <a:ext cx="6156960" cy="0"/>
                        </a:xfrm>
                        <a:custGeom>
                          <a:avLst/>
                          <a:gdLst/>
                          <a:ahLst/>
                          <a:cxnLst/>
                          <a:rect l="0" t="0" r="0" b="0"/>
                          <a:pathLst>
                            <a:path w="6156960">
                              <a:moveTo>
                                <a:pt x="0" y="0"/>
                              </a:moveTo>
                              <a:lnTo>
                                <a:pt x="615696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5619" o:spid="_x0000_s1026" o:spt="203" style="position:absolute;left:0pt;margin-left:55.25pt;margin-top:41.9pt;height:0.75pt;width:484.8pt;mso-position-horizontal-relative:page;mso-position-vertical-relative:page;mso-wrap-distance-bottom:0pt;mso-wrap-distance-left:9pt;mso-wrap-distance-right:9pt;mso-wrap-distance-top:0pt;z-index:251660288;mso-width-relative:page;mso-height-relative:page;" coordsize="6156960,9525" o:gfxdata="UEsDBAoAAAAAAIdO4kAAAAAAAAAAAAAAAAAEAAAAZHJzL1BLAwQUAAAACACHTuJAedHwJtgAAAAK&#10;AQAADwAAAGRycy9kb3ducmV2LnhtbE2PwWrDMBBE74X+g9hAb42kGhfjWg4htD2FQpNC6U2xN7aJ&#10;tTKWYid/382pPc7sY3amWF1cLyYcQ+fJgF4qEEiVrztqDHzt3x4zECFaqm3vCQ1cMcCqvL8rbF77&#10;mT5x2sVGcAiF3BpoYxxyKUPVorNh6Qckvh396GxkOTayHu3M4a6XT0o9S2c74g+tHXDTYnXanZ2B&#10;99nO60S/TtvTcXP92acf31uNxjwstHoBEfES/2C41efqUHKngz9THUTPWquUUQNZwhNugMqUBnFg&#10;J01AloX8P6H8BVBLAwQUAAAACACHTuJAxr+1qlACAACXBQAADgAAAGRycy9lMm9Eb2MueG1spVTN&#10;jhoxDL5X6jtEuZcBJGh3BOyhFC5Vu9JuHyBkMjOR8qc4MPD2dTwwUFZarbYcBsd2bH+fHS8ej9aw&#10;g4qgvVvyyWjMmXLSV9o1S/7nZfPlG2eQhKuE8U4t+UkBf1x9/rToQqmmvvWmUpFhEAdlF5a8TSmU&#10;RQGyVVbAyAfl0Fj7aEXCY2yKKooOo1tTTMfjedH5WIXopQJA7bo38nPE+J6Avq61VGsv91a51EeN&#10;yoiEkKDVAfiKqq1rJdPvugaVmFlyRJroi0lQ3uVvsVqIsokitFqeSxDvKeEOkxXaYdIh1FokwfZR&#10;vwpltYwefJ1G0tuiB0KMIIrJ+I6bbfT7QFiasmvCQDo26o71D4eVvw5PkelqyWfzyQNnTljsOSVm&#10;pEGCutCU6LeN4Tk8xbOi6U8Z87GONv8jGnYkak8DteqYmETlfDKbP8yRdYm2h9l01jMvW2zPq0uy&#10;/fHWteKSssiVDYV0AQcSrizB/7H03IqgiHzI6AeWpgiiZ4k8kCXUECnkN1AEJSBbH+KH4g0oRSn3&#10;kLbKE8ni8BNSP7XVRRLtRZJHdxEjzv6bUx9EyvdyhVlk3bVLWWf9Qb14sqa7DmFpV6txt15Dny8j&#10;gL69Bwo5zWpxFig1yrfgnN9oYwidcbkgmhQmBe6ZGt83jo8NOKvgGs6EaXCByRTp4YE3usq3c8UQ&#10;m913E9lB4LPf0C+3CLP94xYipLWAtvcjUz+WVifccUZbXJDTr+PxpSHGYZA8Z31rs7Tz1YkeBelx&#10;/siD3islPO+WvBBuz+R13ae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HnR8CbYAAAACgEAAA8A&#10;AAAAAAAAAQAgAAAAIgAAAGRycy9kb3ducmV2LnhtbFBLAQIUABQAAAAIAIdO4kDGv7WqUAIAAJcF&#10;AAAOAAAAAAAAAAEAIAAAACcBAABkcnMvZTJvRG9jLnhtbFBLBQYAAAAABgAGAFkBAADpBQAAAAA=&#10;">
              <o:lock v:ext="edit" aspectratio="f"/>
              <v:shape id="Shape 5620" o:spid="_x0000_s1026" o:spt="100" style="position:absolute;left:0;top:0;height:0;width:6156960;" filled="f" stroked="t" coordsize="6156960,1" o:gfxdata="UEsDBAoAAAAAAIdO4kAAAAAAAAAAAAAAAAAEAAAAZHJzL1BLAwQUAAAACACHTuJANq/oKr0AAADd&#10;AAAADwAAAGRycy9kb3ducmV2LnhtbEVPy4rCMBTdD/gP4QqzG9MKVqlGF4IiOMOMj4XLS3Nti81N&#10;TWKrfz9ZDMzycN6L1dM0oiPna8sK0lECgriwuuZSwfm0+ZiB8AFZY2OZFLzIw2o5eFtgrm3PB+qO&#10;oRQxhH2OCqoQ2lxKX1Rk0I9sSxy5q3UGQ4SulNphH8NNI8dJkkmDNceGCltaV1Tcjg+j4PuV3td9&#10;5raTafdTXDZfe3n6nCr1PkyTOYhAz/Av/nPvtIJJNo7745v4BO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r+gqvQAA&#10;AN0AAAAPAAAAAAAAAAEAIAAAACIAAABkcnMvZG93bnJldi54bWxQSwECFAAUAAAACACHTuJAMy8F&#10;njsAAAA5AAAAEAAAAAAAAAABACAAAAAMAQAAZHJzL3NoYXBleG1sLnhtbFBLBQYAAAAABgAGAFsB&#10;AAC2AwAAAAA=&#10;" path="m0,0l6156960,0e">
                <v:fill on="f" focussize="0,0"/>
                <v:stroke color="#000000" miterlimit="1" joinstyle="miter"/>
                <v:imagedata o:title=""/>
                <o:lock v:ext="edit" aspectratio="f"/>
              </v:shape>
              <w10:wrap type="square"/>
            </v:group>
          </w:pict>
        </mc:Fallback>
      </mc:AlternateContent>
    </w:r>
    <w:r>
      <w:rPr>
        <w:rFonts w:ascii="等线" w:hAnsi="等线" w:eastAsia="等线" w:cs="等线"/>
        <w:sz w:val="18"/>
      </w:rPr>
      <w:t xml:space="preserve">海目星激光科技集团股份有限公司                                             </w:t>
    </w:r>
    <w:r>
      <w:rPr>
        <w:rFonts w:ascii="等线" w:hAnsi="等线" w:eastAsia="等线" w:cs="等线"/>
        <w:sz w:val="18"/>
      </w:rPr>
      <w:tab/>
    </w:r>
    <w:r>
      <w:rPr>
        <w:rFonts w:ascii="等线" w:hAnsi="等线" w:eastAsia="等线" w:cs="等线"/>
        <w:sz w:val="18"/>
      </w:rPr>
      <w:t xml:space="preserve">投资者调研和媒体采访接待备查文档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20"/>
      </w:tabs>
      <w:spacing w:after="0"/>
      <w:ind w:left="-9" w:right="-1"/>
    </w:pPr>
    <w:r>
      <mc:AlternateContent>
        <mc:Choice Requires="wpg">
          <w:drawing>
            <wp:anchor distT="0" distB="0" distL="114300" distR="114300" simplePos="0" relativeHeight="251659264" behindDoc="0" locked="0" layoutInCell="1" allowOverlap="1">
              <wp:simplePos x="0" y="0"/>
              <wp:positionH relativeFrom="page">
                <wp:posOffset>701675</wp:posOffset>
              </wp:positionH>
              <wp:positionV relativeFrom="page">
                <wp:posOffset>532130</wp:posOffset>
              </wp:positionV>
              <wp:extent cx="6156960" cy="9525"/>
              <wp:effectExtent l="0" t="0" r="0" b="0"/>
              <wp:wrapSquare wrapText="bothSides"/>
              <wp:docPr id="5647" name="Group 5647"/>
              <wp:cNvGraphicFramePr/>
              <a:graphic xmlns:a="http://schemas.openxmlformats.org/drawingml/2006/main">
                <a:graphicData uri="http://schemas.microsoft.com/office/word/2010/wordprocessingGroup">
                  <wpg:wgp>
                    <wpg:cNvGrpSpPr/>
                    <wpg:grpSpPr>
                      <a:xfrm>
                        <a:off x="0" y="0"/>
                        <a:ext cx="6156960" cy="9525"/>
                        <a:chOff x="0" y="0"/>
                        <a:chExt cx="6156960" cy="9525"/>
                      </a:xfrm>
                    </wpg:grpSpPr>
                    <wps:wsp>
                      <wps:cNvPr id="5648" name="Shape 5648"/>
                      <wps:cNvSpPr/>
                      <wps:spPr>
                        <a:xfrm>
                          <a:off x="0" y="0"/>
                          <a:ext cx="6156960" cy="0"/>
                        </a:xfrm>
                        <a:custGeom>
                          <a:avLst/>
                          <a:gdLst/>
                          <a:ahLst/>
                          <a:cxnLst/>
                          <a:rect l="0" t="0" r="0" b="0"/>
                          <a:pathLst>
                            <a:path w="6156960">
                              <a:moveTo>
                                <a:pt x="0" y="0"/>
                              </a:moveTo>
                              <a:lnTo>
                                <a:pt x="615696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5647" o:spid="_x0000_s1026" o:spt="203" style="position:absolute;left:0pt;margin-left:55.25pt;margin-top:41.9pt;height:0.75pt;width:484.8pt;mso-position-horizontal-relative:page;mso-position-vertical-relative:page;mso-wrap-distance-bottom:0pt;mso-wrap-distance-left:9pt;mso-wrap-distance-right:9pt;mso-wrap-distance-top:0pt;z-index:251659264;mso-width-relative:page;mso-height-relative:page;" coordsize="6156960,9525" o:gfxdata="UEsDBAoAAAAAAIdO4kAAAAAAAAAAAAAAAAAEAAAAZHJzL1BLAwQUAAAACACHTuJAedHwJtgAAAAK&#10;AQAADwAAAGRycy9kb3ducmV2LnhtbE2PwWrDMBBE74X+g9hAb42kGhfjWg4htD2FQpNC6U2xN7aJ&#10;tTKWYid/382pPc7sY3amWF1cLyYcQ+fJgF4qEEiVrztqDHzt3x4zECFaqm3vCQ1cMcCqvL8rbF77&#10;mT5x2sVGcAiF3BpoYxxyKUPVorNh6Qckvh396GxkOTayHu3M4a6XT0o9S2c74g+tHXDTYnXanZ2B&#10;99nO60S/TtvTcXP92acf31uNxjwstHoBEfES/2C41efqUHKngz9THUTPWquUUQNZwhNugMqUBnFg&#10;J01AloX8P6H8BVBLAwQUAAAACACHTuJAYnHXSlMCAACXBQAADgAAAGRycy9lMm9Eb2MueG1spVTN&#10;btswDL4P2DsIui92giVtjTg9LEsuw1ag3QMosmwL0B9EJU7efpQcO2kKFEWXg0NRFMnv48/y8agV&#10;OQgP0pqSTic5JcJwW0nTlPTvy+bbPSUQmKmYskaU9CSAPq6+fll2rhAz21pVCU/QiYGicyVtQ3BF&#10;lgFvhWYwsU4YvKyt1yzg0TdZ5VmH3rXKZnm+yDrrK+ctFwCoXfeX9OzRf8ShrWvJxdryvRYm9F69&#10;UCwgJGilA7pK2da14OFPXYMIRJUUkYb0xSAo7+I3Wy1Z0XjmWsnPKbCPpHCDSTNpMOjoas0CI3sv&#10;37jSknsLtg4TbnXWA0mMIIppfsPN1tu9S1iaomvcSDoW6ob1T7vlvw9PnsiqpPPF9ztKDNNY8xSY&#10;JA0S1LmmQLutd8/uyZ8VTX+KmI+11/Ef0ZBjovY0UiuOgXBULqbzxcMCWed49zCfzXvmeYvlefOI&#10;tz/fe5YNIbOY2ZhI57Ah4cIS/B9Lzy1zIpEPEf2FJZyPnqVkEVm6j2BieLQbKYICkK1P8ZPackTJ&#10;Cr6HsBU2kcwOvyD0XVsNEmsHiR/NIHrs/Xe73rEQ38UMo0i6S5WiTtuDeLHpNtxUCFO73CpzbTXW&#10;eWgBtO0tUIhhVsuzkEKjfA3O2I1UKqFTJiaUOoVwhnumxvnG9tEOexVMQwlTDS4wHnwaPLBKVvF1&#10;zBh8s/uhPDkwHPtN+sUSYbRXZs5DWDNoe7t01bellgF3nJIaF+TsLs+HgiiDTmKh+9JGaWerUxqK&#10;pMf+SxZpXlPA826JC+H6nKwu+3T1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HnR8CbYAAAACgEA&#10;AA8AAAAAAAAAAQAgAAAAIgAAAGRycy9kb3ducmV2LnhtbFBLAQIUABQAAAAIAIdO4kBicddKUwIA&#10;AJcFAAAOAAAAAAAAAAEAIAAAACcBAABkcnMvZTJvRG9jLnhtbFBLBQYAAAAABgAGAFkBAADsBQAA&#10;AAA=&#10;">
              <o:lock v:ext="edit" aspectratio="f"/>
              <v:shape id="Shape 5648" o:spid="_x0000_s1026" o:spt="100" style="position:absolute;left:0;top:0;height:0;width:6156960;" filled="f" stroked="t" coordsize="6156960,1" o:gfxdata="UEsDBAoAAAAAAIdO4kAAAAAAAAAAAAAAAAAEAAAAZHJzL1BLAwQUAAAACACHTuJAFQYBjL4AAADd&#10;AAAADwAAAGRycy9kb3ducmV2LnhtbEVPz2vCMBS+C/4P4QneZlrROmpTD4JjsI1tuoPHR/PWljUv&#10;Ncla/e+Xw8Djx/e72F1NJwZyvrWsIF0kIIgrq1uuFXydDg+PIHxA1thZJgU38rArp5MCc21H/qTh&#10;GGoRQ9jnqKAJoc+l9FVDBv3C9sSR+7bOYIjQ1VI7HGO46eQySTJpsOXY0GBP+4aqn+OvUfB+Sy/7&#10;MXNP683wUZ0Pby/y9LpRaj5Lky2IQNdwF/+7n7WCdbaKc+Ob+ARk+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QYBjL4A&#10;AADdAAAADwAAAAAAAAABACAAAAAiAAAAZHJzL2Rvd25yZXYueG1sUEsBAhQAFAAAAAgAh07iQDMv&#10;BZ47AAAAOQAAABAAAAAAAAAAAQAgAAAADQEAAGRycy9zaGFwZXhtbC54bWxQSwUGAAAAAAYABgBb&#10;AQAAtwMAAAAA&#10;" path="m0,0l6156960,0e">
                <v:fill on="f" focussize="0,0"/>
                <v:stroke color="#000000" miterlimit="1" joinstyle="miter"/>
                <v:imagedata o:title=""/>
                <o:lock v:ext="edit" aspectratio="f"/>
              </v:shape>
              <w10:wrap type="square"/>
            </v:group>
          </w:pict>
        </mc:Fallback>
      </mc:AlternateContent>
    </w:r>
    <w:r>
      <w:rPr>
        <w:rFonts w:ascii="等线" w:hAnsi="等线" w:eastAsia="等线" w:cs="等线"/>
        <w:sz w:val="18"/>
      </w:rPr>
      <w:t xml:space="preserve">海目星激光科技集团股份有限公司                                             </w:t>
    </w:r>
    <w:r>
      <w:rPr>
        <w:rFonts w:ascii="等线" w:hAnsi="等线" w:eastAsia="等线" w:cs="等线"/>
        <w:sz w:val="18"/>
      </w:rPr>
      <w:tab/>
    </w:r>
    <w:r>
      <w:rPr>
        <w:rFonts w:ascii="等线" w:hAnsi="等线" w:eastAsia="等线" w:cs="等线"/>
        <w:sz w:val="18"/>
      </w:rPr>
      <w:t xml:space="preserve">投资者调研和媒体采访接待备查文档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9620"/>
      </w:tabs>
      <w:spacing w:after="0"/>
      <w:ind w:left="-9" w:right="-1"/>
    </w:pPr>
    <w:r>
      <mc:AlternateContent>
        <mc:Choice Requires="wpg">
          <w:drawing>
            <wp:anchor distT="0" distB="0" distL="114300" distR="114300" simplePos="0" relativeHeight="251661312" behindDoc="0" locked="0" layoutInCell="1" allowOverlap="1">
              <wp:simplePos x="0" y="0"/>
              <wp:positionH relativeFrom="page">
                <wp:posOffset>701675</wp:posOffset>
              </wp:positionH>
              <wp:positionV relativeFrom="page">
                <wp:posOffset>532130</wp:posOffset>
              </wp:positionV>
              <wp:extent cx="6156960" cy="9525"/>
              <wp:effectExtent l="0" t="0" r="0" b="0"/>
              <wp:wrapSquare wrapText="bothSides"/>
              <wp:docPr id="5591" name="Group 5591"/>
              <wp:cNvGraphicFramePr/>
              <a:graphic xmlns:a="http://schemas.openxmlformats.org/drawingml/2006/main">
                <a:graphicData uri="http://schemas.microsoft.com/office/word/2010/wordprocessingGroup">
                  <wpg:wgp>
                    <wpg:cNvGrpSpPr/>
                    <wpg:grpSpPr>
                      <a:xfrm>
                        <a:off x="0" y="0"/>
                        <a:ext cx="6156960" cy="9525"/>
                        <a:chOff x="0" y="0"/>
                        <a:chExt cx="6156960" cy="9525"/>
                      </a:xfrm>
                    </wpg:grpSpPr>
                    <wps:wsp>
                      <wps:cNvPr id="5592" name="Shape 5592"/>
                      <wps:cNvSpPr/>
                      <wps:spPr>
                        <a:xfrm>
                          <a:off x="0" y="0"/>
                          <a:ext cx="6156960" cy="0"/>
                        </a:xfrm>
                        <a:custGeom>
                          <a:avLst/>
                          <a:gdLst/>
                          <a:ahLst/>
                          <a:cxnLst/>
                          <a:rect l="0" t="0" r="0" b="0"/>
                          <a:pathLst>
                            <a:path w="6156960">
                              <a:moveTo>
                                <a:pt x="0" y="0"/>
                              </a:moveTo>
                              <a:lnTo>
                                <a:pt x="6156960" y="0"/>
                              </a:lnTo>
                            </a:path>
                          </a:pathLst>
                        </a:custGeom>
                        <a:ln w="952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Group 5591" o:spid="_x0000_s1026" o:spt="203" style="position:absolute;left:0pt;margin-left:55.25pt;margin-top:41.9pt;height:0.75pt;width:484.8pt;mso-position-horizontal-relative:page;mso-position-vertical-relative:page;mso-wrap-distance-bottom:0pt;mso-wrap-distance-left:9pt;mso-wrap-distance-right:9pt;mso-wrap-distance-top:0pt;z-index:251661312;mso-width-relative:page;mso-height-relative:page;" coordsize="6156960,9525" o:gfxdata="UEsDBAoAAAAAAIdO4kAAAAAAAAAAAAAAAAAEAAAAZHJzL1BLAwQUAAAACACHTuJAedHwJtgAAAAK&#10;AQAADwAAAGRycy9kb3ducmV2LnhtbE2PwWrDMBBE74X+g9hAb42kGhfjWg4htD2FQpNC6U2xN7aJ&#10;tTKWYid/382pPc7sY3amWF1cLyYcQ+fJgF4qEEiVrztqDHzt3x4zECFaqm3vCQ1cMcCqvL8rbF77&#10;mT5x2sVGcAiF3BpoYxxyKUPVorNh6Qckvh396GxkOTayHu3M4a6XT0o9S2c74g+tHXDTYnXanZ2B&#10;99nO60S/TtvTcXP92acf31uNxjwstHoBEfES/2C41efqUHKngz9THUTPWquUUQNZwhNugMqUBnFg&#10;J01AloX8P6H8BVBLAwQUAAAACACHTuJA4t/Nz1ECAACXBQAADgAAAGRycy9lMm9Eb2MueG1spVTN&#10;btswDL4P2DsIui92DCRbjTg9LEsuw1ag3QMosmwL0B9EJU7efpQcO1kKFEWXg0ORFMnvI8XV40kr&#10;chQepDUVnc9ySoThtpamreifl+2Xb5RAYKZmyhpR0bMA+rj+/GnVu1IUtrOqFp5gEANl7yraheDK&#10;LAPeCc1gZp0waGys1yzg0bdZ7VmP0bXKijxfZr31tfOWCwDUbgYjvUT07wlom0ZysbH8oIUJQ1Qv&#10;FAsICTrpgK5TtU0jePjdNCACURVFpCF9MQnK+/jN1itWtp65TvJLCew9Jdxh0kwaTDqF2rDAyMHL&#10;V6G05N6CbcKMW50NQBIjiGKe33Gz8/bgEpa27Fs3kY6NumP9w2H5r+OTJ7Ku6GLxMKfEMI09T4lJ&#10;0iBBvWtL9Nt59+ye/EXRDqeI+dR4Hf8RDTklas8TteIUCEflcr5YPiyRdY62h0WxGJjnHbbn1SXe&#10;/XjrWjamzGJlUyG9w4GEK0vwfyw9d8yJRD5E9FeWipGl5BFZKiKYmB79JoqgBGTrQ/yksZxQspIf&#10;IOyETSSz408Iw9TWo8S6UeInM4oeZ//NqXcsxHuxwiiS/tqlqNP2KF5ssoa7DmFpV6syt15Tn8cR&#10;QN/BA4WYZr26CCk1yrfgjN1KpRI6ZWJBaVIIZ7hnGnzfOD7a4ayCaSlhqsUFxoNPDw+sknW8HSsG&#10;3+6/K0+ODJ/9Nv1iizDbP27OQ9gw6Aa/ZBrGUsuAO05JjQuy+JrnY0OUwSCx0UNro7S39Tk9iqTH&#10;+Use6b2mhJfdEhfC7Tl5Xffp+i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B50fAm2AAAAAoBAAAP&#10;AAAAAAAAAAEAIAAAACIAAABkcnMvZG93bnJldi54bWxQSwECFAAUAAAACACHTuJA4t/Nz1ECAACX&#10;BQAADgAAAAAAAAABACAAAAAnAQAAZHJzL2Uyb0RvYy54bWxQSwUGAAAAAAYABgBZAQAA6gUAAAAA&#10;">
              <o:lock v:ext="edit" aspectratio="f"/>
              <v:shape id="Shape 5592" o:spid="_x0000_s1026" o:spt="100" style="position:absolute;left:0;top:0;height:0;width:6156960;" filled="f" stroked="t" coordsize="6156960,1" o:gfxdata="UEsDBAoAAAAAAIdO4kAAAAAAAAAAAAAAAAAEAAAAZHJzL1BLAwQUAAAACACHTuJA0at7XcEAAADd&#10;AAAADwAAAGRycy9kb3ducmV2LnhtbEWPQWvCQBSE7wX/w/IKvdVNhGgbXT0IitBK2+jB4yP7TEKz&#10;b+PuNtF/7xYKPQ4z8w2zWF1NK3pyvrGsIB0nIIhLqxuuFBwPm+cXED4ga2wtk4IbeVgtRw8LzLUd&#10;+Iv6IlQiQtjnqKAOocul9GVNBv3YdsTRO1tnMETpKqkdDhFuWjlJkqk02HBcqLGjdU3ld/FjFHzc&#10;0st6mLptNus/y9Nm/yYP7zOlnh7TZA4i0DX8h//aO60gy14n8PsmPgG5vAN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0at7&#10;XcEAAADdAAAADwAAAAAAAAABACAAAAAiAAAAZHJzL2Rvd25yZXYueG1sUEsBAhQAFAAAAAgAh07i&#10;QDMvBZ47AAAAOQAAABAAAAAAAAAAAQAgAAAAEAEAAGRycy9zaGFwZXhtbC54bWxQSwUGAAAAAAYA&#10;BgBbAQAAugMAAAAA&#10;" path="m0,0l6156960,0e">
                <v:fill on="f" focussize="0,0"/>
                <v:stroke color="#000000" miterlimit="1" joinstyle="miter"/>
                <v:imagedata o:title=""/>
                <o:lock v:ext="edit" aspectratio="f"/>
              </v:shape>
              <w10:wrap type="square"/>
            </v:group>
          </w:pict>
        </mc:Fallback>
      </mc:AlternateContent>
    </w:r>
    <w:r>
      <w:rPr>
        <w:rFonts w:ascii="等线" w:hAnsi="等线" w:eastAsia="等线" w:cs="等线"/>
        <w:sz w:val="18"/>
      </w:rPr>
      <w:t xml:space="preserve">海目星激光科技集团股份有限公司                                             </w:t>
    </w:r>
    <w:r>
      <w:rPr>
        <w:rFonts w:ascii="等线" w:hAnsi="等线" w:eastAsia="等线" w:cs="等线"/>
        <w:sz w:val="18"/>
      </w:rPr>
      <w:tab/>
    </w:r>
    <w:r>
      <w:rPr>
        <w:rFonts w:ascii="等线" w:hAnsi="等线" w:eastAsia="等线" w:cs="等线"/>
        <w:sz w:val="18"/>
      </w:rPr>
      <w:t xml:space="preserve">投资者调研和媒体采访接待备查文档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kZjc5MTJiYmFhOGRlMWUzYzJjYmUzZTU0ZDJlYWUifQ=="/>
  </w:docVars>
  <w:rsids>
    <w:rsidRoot w:val="00964485"/>
    <w:rsid w:val="00064D09"/>
    <w:rsid w:val="000864FC"/>
    <w:rsid w:val="000F0F3F"/>
    <w:rsid w:val="002B4AF3"/>
    <w:rsid w:val="002F13E3"/>
    <w:rsid w:val="003D01D1"/>
    <w:rsid w:val="006D3187"/>
    <w:rsid w:val="006E6484"/>
    <w:rsid w:val="006F59D9"/>
    <w:rsid w:val="007E2EF7"/>
    <w:rsid w:val="00815BE0"/>
    <w:rsid w:val="00816EF5"/>
    <w:rsid w:val="00964485"/>
    <w:rsid w:val="00A566D5"/>
    <w:rsid w:val="00C17FDA"/>
    <w:rsid w:val="00CE7DB6"/>
    <w:rsid w:val="00CF5E67"/>
    <w:rsid w:val="00E53A53"/>
    <w:rsid w:val="00EA72C6"/>
    <w:rsid w:val="00ED5B3D"/>
    <w:rsid w:val="00ED65B4"/>
    <w:rsid w:val="00F50566"/>
    <w:rsid w:val="00F60DEC"/>
    <w:rsid w:val="011C532B"/>
    <w:rsid w:val="01311D17"/>
    <w:rsid w:val="01772047"/>
    <w:rsid w:val="01E46D89"/>
    <w:rsid w:val="01FF4EDD"/>
    <w:rsid w:val="02C646E1"/>
    <w:rsid w:val="042F2D37"/>
    <w:rsid w:val="04341C06"/>
    <w:rsid w:val="043F474B"/>
    <w:rsid w:val="047A39D5"/>
    <w:rsid w:val="052838D4"/>
    <w:rsid w:val="05C87A36"/>
    <w:rsid w:val="06093262"/>
    <w:rsid w:val="086329D2"/>
    <w:rsid w:val="0AE918B4"/>
    <w:rsid w:val="0B0B17DF"/>
    <w:rsid w:val="0B465C54"/>
    <w:rsid w:val="0B6251C3"/>
    <w:rsid w:val="0B907F82"/>
    <w:rsid w:val="0BCF0AAA"/>
    <w:rsid w:val="0CB101B0"/>
    <w:rsid w:val="0CC223BD"/>
    <w:rsid w:val="0DF77E44"/>
    <w:rsid w:val="0E512551"/>
    <w:rsid w:val="0E7E2314"/>
    <w:rsid w:val="0E925DBF"/>
    <w:rsid w:val="1102547E"/>
    <w:rsid w:val="11457119"/>
    <w:rsid w:val="11A45ABB"/>
    <w:rsid w:val="11DB182B"/>
    <w:rsid w:val="11E82659"/>
    <w:rsid w:val="121D3946"/>
    <w:rsid w:val="123955FE"/>
    <w:rsid w:val="123A0C48"/>
    <w:rsid w:val="13754A74"/>
    <w:rsid w:val="13E250F3"/>
    <w:rsid w:val="143E4B80"/>
    <w:rsid w:val="14AB24EF"/>
    <w:rsid w:val="15292570"/>
    <w:rsid w:val="155E42D6"/>
    <w:rsid w:val="159314C8"/>
    <w:rsid w:val="15E94BF5"/>
    <w:rsid w:val="16095600"/>
    <w:rsid w:val="1626040D"/>
    <w:rsid w:val="163559AE"/>
    <w:rsid w:val="17606A5A"/>
    <w:rsid w:val="17F65611"/>
    <w:rsid w:val="18DF42F7"/>
    <w:rsid w:val="19FE5F37"/>
    <w:rsid w:val="1AD935D1"/>
    <w:rsid w:val="1B067919"/>
    <w:rsid w:val="1CC158D0"/>
    <w:rsid w:val="1CD87093"/>
    <w:rsid w:val="1E4A0464"/>
    <w:rsid w:val="1EA5569B"/>
    <w:rsid w:val="1EBD29E4"/>
    <w:rsid w:val="1F040613"/>
    <w:rsid w:val="1F7237CF"/>
    <w:rsid w:val="1F8D0609"/>
    <w:rsid w:val="20A7394C"/>
    <w:rsid w:val="20E26732"/>
    <w:rsid w:val="220A3715"/>
    <w:rsid w:val="22CF2CE6"/>
    <w:rsid w:val="245C2C9F"/>
    <w:rsid w:val="263E08AF"/>
    <w:rsid w:val="264740D8"/>
    <w:rsid w:val="27AA4BCB"/>
    <w:rsid w:val="28760EC1"/>
    <w:rsid w:val="2A077209"/>
    <w:rsid w:val="2A846B58"/>
    <w:rsid w:val="2B822F24"/>
    <w:rsid w:val="2C8F6197"/>
    <w:rsid w:val="2CAD6198"/>
    <w:rsid w:val="2CD45AC9"/>
    <w:rsid w:val="2D6430A2"/>
    <w:rsid w:val="2E20089A"/>
    <w:rsid w:val="2E235D2B"/>
    <w:rsid w:val="2E3F5A61"/>
    <w:rsid w:val="2E6D4422"/>
    <w:rsid w:val="2F024034"/>
    <w:rsid w:val="2F860BD0"/>
    <w:rsid w:val="30051D1A"/>
    <w:rsid w:val="30706524"/>
    <w:rsid w:val="31555FA3"/>
    <w:rsid w:val="325F5E35"/>
    <w:rsid w:val="329A50BF"/>
    <w:rsid w:val="32C039D7"/>
    <w:rsid w:val="32C57C62"/>
    <w:rsid w:val="32E225C2"/>
    <w:rsid w:val="33D12D62"/>
    <w:rsid w:val="33DC659A"/>
    <w:rsid w:val="34E56399"/>
    <w:rsid w:val="367A2117"/>
    <w:rsid w:val="376E08C8"/>
    <w:rsid w:val="37D671F0"/>
    <w:rsid w:val="387729BC"/>
    <w:rsid w:val="3881462B"/>
    <w:rsid w:val="38E2156D"/>
    <w:rsid w:val="38E54BBA"/>
    <w:rsid w:val="39C11183"/>
    <w:rsid w:val="3A2A0158"/>
    <w:rsid w:val="3A493B46"/>
    <w:rsid w:val="3BFA097C"/>
    <w:rsid w:val="3CA56B3A"/>
    <w:rsid w:val="3CC11CFC"/>
    <w:rsid w:val="3D3305EA"/>
    <w:rsid w:val="3D8221D3"/>
    <w:rsid w:val="3DEB1AF2"/>
    <w:rsid w:val="3EB72E05"/>
    <w:rsid w:val="3ED25BE0"/>
    <w:rsid w:val="3FF658FE"/>
    <w:rsid w:val="405014B2"/>
    <w:rsid w:val="40784565"/>
    <w:rsid w:val="41287D39"/>
    <w:rsid w:val="41744D2D"/>
    <w:rsid w:val="417D311D"/>
    <w:rsid w:val="423F2A71"/>
    <w:rsid w:val="43234C5C"/>
    <w:rsid w:val="433E55F2"/>
    <w:rsid w:val="44C32D1F"/>
    <w:rsid w:val="453413AE"/>
    <w:rsid w:val="45E06E35"/>
    <w:rsid w:val="461C5478"/>
    <w:rsid w:val="466B2BA2"/>
    <w:rsid w:val="46A9191C"/>
    <w:rsid w:val="46BF2EEE"/>
    <w:rsid w:val="471A5C08"/>
    <w:rsid w:val="47751CC3"/>
    <w:rsid w:val="479C322F"/>
    <w:rsid w:val="47A22C9A"/>
    <w:rsid w:val="48432620"/>
    <w:rsid w:val="487970CD"/>
    <w:rsid w:val="48A44149"/>
    <w:rsid w:val="49AE2DA6"/>
    <w:rsid w:val="4A394D65"/>
    <w:rsid w:val="4B44740D"/>
    <w:rsid w:val="4B95421D"/>
    <w:rsid w:val="4BD411EA"/>
    <w:rsid w:val="4DD544C3"/>
    <w:rsid w:val="4E487C6D"/>
    <w:rsid w:val="4EB42C0C"/>
    <w:rsid w:val="4F053468"/>
    <w:rsid w:val="4F390EE0"/>
    <w:rsid w:val="50B12C64"/>
    <w:rsid w:val="51382DF2"/>
    <w:rsid w:val="517C290B"/>
    <w:rsid w:val="51F83758"/>
    <w:rsid w:val="521C2FA3"/>
    <w:rsid w:val="53530C46"/>
    <w:rsid w:val="545F714A"/>
    <w:rsid w:val="54680721"/>
    <w:rsid w:val="548F2152"/>
    <w:rsid w:val="562468CA"/>
    <w:rsid w:val="56C43C7F"/>
    <w:rsid w:val="572C35BD"/>
    <w:rsid w:val="574A58D7"/>
    <w:rsid w:val="59A044B9"/>
    <w:rsid w:val="59B469B8"/>
    <w:rsid w:val="5A371E42"/>
    <w:rsid w:val="5A7D2A4C"/>
    <w:rsid w:val="5A7D47FA"/>
    <w:rsid w:val="5AF25779"/>
    <w:rsid w:val="5B264E92"/>
    <w:rsid w:val="5C4D3A71"/>
    <w:rsid w:val="5D8440F2"/>
    <w:rsid w:val="5E684992"/>
    <w:rsid w:val="5ED864A3"/>
    <w:rsid w:val="5F917AF1"/>
    <w:rsid w:val="5F9235E9"/>
    <w:rsid w:val="606F1089"/>
    <w:rsid w:val="61073070"/>
    <w:rsid w:val="612E4AA0"/>
    <w:rsid w:val="619F07EB"/>
    <w:rsid w:val="620D46B6"/>
    <w:rsid w:val="62BE44B8"/>
    <w:rsid w:val="650F6997"/>
    <w:rsid w:val="652C0F2A"/>
    <w:rsid w:val="67C46BF1"/>
    <w:rsid w:val="681A7B2C"/>
    <w:rsid w:val="68802085"/>
    <w:rsid w:val="69DF102E"/>
    <w:rsid w:val="6B0D0EFB"/>
    <w:rsid w:val="6B1C1E0E"/>
    <w:rsid w:val="6B376C47"/>
    <w:rsid w:val="6C2B055A"/>
    <w:rsid w:val="6C303DC2"/>
    <w:rsid w:val="6C6904EA"/>
    <w:rsid w:val="6CBF0CA2"/>
    <w:rsid w:val="6CD21441"/>
    <w:rsid w:val="6D5B3677"/>
    <w:rsid w:val="6F207A55"/>
    <w:rsid w:val="6F844328"/>
    <w:rsid w:val="72AE3C93"/>
    <w:rsid w:val="74980130"/>
    <w:rsid w:val="751C3136"/>
    <w:rsid w:val="755E418E"/>
    <w:rsid w:val="774C75D7"/>
    <w:rsid w:val="774E77F3"/>
    <w:rsid w:val="77B77146"/>
    <w:rsid w:val="79206F6D"/>
    <w:rsid w:val="7A1C1267"/>
    <w:rsid w:val="7B0C77A9"/>
    <w:rsid w:val="7CE85AE7"/>
    <w:rsid w:val="7E0E1A8A"/>
    <w:rsid w:val="7E644B0D"/>
    <w:rsid w:val="7E802743"/>
    <w:rsid w:val="7ECA3C03"/>
    <w:rsid w:val="7FA51F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259" w:lineRule="auto"/>
    </w:pPr>
    <w:rPr>
      <w:rFonts w:ascii="Calibri" w:hAnsi="Calibri" w:eastAsia="Calibri" w:cs="Calibri"/>
      <w:color w:val="000000"/>
      <w:kern w:val="2"/>
      <w:sz w:val="22"/>
      <w:szCs w:val="22"/>
      <w:lang w:val="en-US" w:eastAsia="zh-CN"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0"/>
    <w:autoRedefine/>
    <w:semiHidden/>
    <w:unhideWhenUsed/>
    <w:qFormat/>
    <w:uiPriority w:val="99"/>
  </w:style>
  <w:style w:type="paragraph" w:styleId="3">
    <w:name w:val="Balloon Text"/>
    <w:basedOn w:val="1"/>
    <w:link w:val="12"/>
    <w:autoRedefine/>
    <w:semiHidden/>
    <w:unhideWhenUsed/>
    <w:qFormat/>
    <w:uiPriority w:val="99"/>
    <w:pPr>
      <w:spacing w:after="0" w:line="240" w:lineRule="auto"/>
    </w:pPr>
    <w:rPr>
      <w:sz w:val="18"/>
      <w:szCs w:val="18"/>
    </w:rPr>
  </w:style>
  <w:style w:type="paragraph" w:styleId="4">
    <w:name w:val="annotation subject"/>
    <w:basedOn w:val="2"/>
    <w:next w:val="2"/>
    <w:link w:val="11"/>
    <w:autoRedefine/>
    <w:semiHidden/>
    <w:unhideWhenUsed/>
    <w:qFormat/>
    <w:uiPriority w:val="99"/>
    <w:rPr>
      <w:b/>
      <w:bCs/>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annotation reference"/>
    <w:basedOn w:val="7"/>
    <w:autoRedefine/>
    <w:semiHidden/>
    <w:unhideWhenUsed/>
    <w:qFormat/>
    <w:uiPriority w:val="99"/>
    <w:rPr>
      <w:sz w:val="21"/>
      <w:szCs w:val="21"/>
    </w:rPr>
  </w:style>
  <w:style w:type="table" w:customStyle="1" w:styleId="9">
    <w:name w:val="TableGrid"/>
    <w:autoRedefine/>
    <w:qFormat/>
    <w:uiPriority w:val="0"/>
    <w:tblPr>
      <w:tblCellMar>
        <w:top w:w="0" w:type="dxa"/>
        <w:left w:w="0" w:type="dxa"/>
        <w:bottom w:w="0" w:type="dxa"/>
        <w:right w:w="0" w:type="dxa"/>
      </w:tblCellMar>
    </w:tblPr>
  </w:style>
  <w:style w:type="character" w:customStyle="1" w:styleId="10">
    <w:name w:val="批注文字 字符"/>
    <w:basedOn w:val="7"/>
    <w:link w:val="2"/>
    <w:autoRedefine/>
    <w:semiHidden/>
    <w:qFormat/>
    <w:uiPriority w:val="99"/>
    <w:rPr>
      <w:rFonts w:ascii="Calibri" w:hAnsi="Calibri" w:eastAsia="Calibri" w:cs="Calibri"/>
      <w:color w:val="000000"/>
      <w:kern w:val="2"/>
      <w:sz w:val="22"/>
      <w:szCs w:val="22"/>
    </w:rPr>
  </w:style>
  <w:style w:type="character" w:customStyle="1" w:styleId="11">
    <w:name w:val="批注主题 字符"/>
    <w:basedOn w:val="10"/>
    <w:link w:val="4"/>
    <w:autoRedefine/>
    <w:semiHidden/>
    <w:qFormat/>
    <w:uiPriority w:val="99"/>
    <w:rPr>
      <w:rFonts w:ascii="Calibri" w:hAnsi="Calibri" w:eastAsia="Calibri" w:cs="Calibri"/>
      <w:b/>
      <w:bCs/>
      <w:color w:val="000000"/>
      <w:kern w:val="2"/>
      <w:sz w:val="22"/>
      <w:szCs w:val="22"/>
    </w:rPr>
  </w:style>
  <w:style w:type="character" w:customStyle="1" w:styleId="12">
    <w:name w:val="批注框文本 字符"/>
    <w:basedOn w:val="7"/>
    <w:link w:val="3"/>
    <w:autoRedefine/>
    <w:semiHidden/>
    <w:qFormat/>
    <w:uiPriority w:val="99"/>
    <w:rPr>
      <w:rFonts w:ascii="Calibri" w:hAnsi="Calibri" w:eastAsia="Calibri" w:cs="Calibri"/>
      <w:color w:val="000000"/>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433</Words>
  <Characters>2469</Characters>
  <Lines>20</Lines>
  <Paragraphs>5</Paragraphs>
  <TotalTime>15</TotalTime>
  <ScaleCrop>false</ScaleCrop>
  <LinksUpToDate>false</LinksUpToDate>
  <CharactersWithSpaces>2897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2024-12-23T01:42:00Z</dcterms:created>
  <dc:creator>孙晓东</dc:creator>
  <cp:lastModifiedBy>R.哲</cp:lastModifiedBy>
  <dcterms:modified xsi:type="dcterms:W3CDTF">2024-12-23T09:05:55Z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15B965249ECB44ABB821786BFD6BB2E2_13</vt:lpwstr>
  </property>
</Properties>
</file>